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pPr>
        <w:rPr>
          <w:rFonts w:ascii="仿宋_GB2312" w:hAnsi="仿宋_GB2312" w:eastAsia="仿宋_GB2312" w:cs="仿宋_GB2312"/>
          <w:sz w:val="36"/>
          <w:szCs w:val="36"/>
        </w:rPr>
      </w:pPr>
      <w:bookmarkStart w:id="6" w:name="_GoBack"/>
      <w:bookmarkEnd w:id="6"/>
    </w:p>
    <w:p>
      <w:pPr>
        <w:rPr>
          <w:rFonts w:ascii="仿宋_GB2312" w:hAnsi="仿宋_GB2312" w:eastAsia="仿宋_GB2312" w:cs="仿宋_GB2312"/>
          <w:color w:val="auto"/>
          <w:sz w:val="36"/>
          <w:szCs w:val="36"/>
          <w:highlight w:val="none"/>
        </w:rPr>
      </w:pPr>
    </w:p>
    <w:p>
      <w:pPr>
        <w:rPr>
          <w:rFonts w:ascii="仿宋_GB2312" w:hAnsi="仿宋_GB2312" w:eastAsia="仿宋_GB2312" w:cs="仿宋_GB2312"/>
          <w:color w:val="auto"/>
          <w:sz w:val="36"/>
          <w:szCs w:val="36"/>
          <w:highlight w:val="none"/>
        </w:rPr>
      </w:pPr>
    </w:p>
    <w:p>
      <w:pPr>
        <w:rPr>
          <w:rFonts w:ascii="仿宋_GB2312" w:hAnsi="仿宋_GB2312" w:eastAsia="仿宋_GB2312" w:cs="仿宋_GB2312"/>
          <w:color w:val="auto"/>
          <w:sz w:val="36"/>
          <w:szCs w:val="36"/>
          <w:highlight w:val="none"/>
        </w:rPr>
      </w:pPr>
    </w:p>
    <w:p>
      <w:pPr>
        <w:adjustRightInd w:val="0"/>
        <w:snapToGrid w:val="0"/>
        <w:jc w:val="center"/>
        <w:rPr>
          <w:rFonts w:ascii="方正小标宋_GBK" w:eastAsia="方正小标宋_GBK"/>
          <w:bCs/>
          <w:color w:val="auto"/>
          <w:sz w:val="72"/>
          <w:szCs w:val="72"/>
          <w:highlight w:val="none"/>
        </w:rPr>
      </w:pPr>
      <w:r>
        <w:rPr>
          <w:rFonts w:hint="eastAsia" w:ascii="方正小标宋_GBK" w:eastAsia="方正小标宋_GBK"/>
          <w:bCs/>
          <w:color w:val="auto"/>
          <w:sz w:val="72"/>
          <w:szCs w:val="72"/>
          <w:highlight w:val="none"/>
        </w:rPr>
        <w:t>建设项目环境影响报告表</w:t>
      </w:r>
    </w:p>
    <w:p>
      <w:pPr>
        <w:adjustRightInd w:val="0"/>
        <w:snapToGrid w:val="0"/>
        <w:spacing w:beforeLines="80"/>
        <w:jc w:val="center"/>
        <w:rPr>
          <w:rFonts w:ascii="楷体_GB2312" w:eastAsia="楷体_GB2312"/>
          <w:bCs/>
          <w:color w:val="auto"/>
          <w:sz w:val="48"/>
          <w:szCs w:val="48"/>
          <w:highlight w:val="none"/>
        </w:rPr>
      </w:pPr>
      <w:r>
        <w:rPr>
          <w:rFonts w:hint="eastAsia" w:ascii="楷体_GB2312" w:eastAsia="楷体_GB2312"/>
          <w:bCs/>
          <w:color w:val="auto"/>
          <w:sz w:val="48"/>
          <w:szCs w:val="48"/>
          <w:highlight w:val="none"/>
        </w:rPr>
        <w:t>（污染影响类）</w:t>
      </w:r>
    </w:p>
    <w:p>
      <w:pPr>
        <w:adjustRightInd w:val="0"/>
        <w:snapToGrid w:val="0"/>
        <w:spacing w:line="288" w:lineRule="auto"/>
        <w:jc w:val="center"/>
        <w:rPr>
          <w:rFonts w:ascii="华文仿宋" w:hAnsi="华文仿宋" w:eastAsia="华文仿宋" w:cs="华文仿宋"/>
          <w:color w:val="auto"/>
          <w:kern w:val="44"/>
          <w:sz w:val="44"/>
          <w:szCs w:val="44"/>
          <w:highlight w:val="none"/>
        </w:rPr>
      </w:pPr>
    </w:p>
    <w:p>
      <w:pPr>
        <w:jc w:val="center"/>
        <w:rPr>
          <w:rFonts w:eastAsia="仿宋"/>
          <w:color w:val="auto"/>
          <w:sz w:val="52"/>
          <w:szCs w:val="52"/>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tabs>
          <w:tab w:val="left" w:pos="9460"/>
        </w:tabs>
        <w:adjustRightInd w:val="0"/>
        <w:snapToGrid w:val="0"/>
        <w:spacing w:line="360" w:lineRule="auto"/>
        <w:ind w:left="2151" w:leftChars="171" w:right="218" w:rightChars="104" w:hanging="1792" w:hangingChars="498"/>
        <w:jc w:val="left"/>
        <w:rPr>
          <w:rFonts w:ascii="仿宋_GB2312" w:eastAsia="仿宋_GB2312"/>
          <w:color w:val="auto"/>
          <w:sz w:val="36"/>
          <w:szCs w:val="36"/>
          <w:highlight w:val="none"/>
          <w:u w:val="single"/>
        </w:rPr>
      </w:pPr>
      <w:r>
        <w:rPr>
          <w:rFonts w:hint="eastAsia" w:ascii="仿宋_GB2312" w:eastAsia="仿宋_GB2312"/>
          <w:color w:val="auto"/>
          <w:sz w:val="36"/>
          <w:szCs w:val="36"/>
          <w:highlight w:val="none"/>
        </w:rPr>
        <w:t>项目名称：</w:t>
      </w:r>
      <w:r>
        <w:rPr>
          <w:rFonts w:hint="eastAsia" w:ascii="仿宋_GB2312" w:eastAsia="仿宋_GB2312"/>
          <w:color w:val="auto"/>
          <w:sz w:val="36"/>
          <w:szCs w:val="36"/>
          <w:highlight w:val="none"/>
          <w:u w:val="single"/>
        </w:rPr>
        <w:t xml:space="preserve">   洋县瑞庆新型节能建材厂泥沙分离项目                 </w:t>
      </w:r>
    </w:p>
    <w:p>
      <w:pPr>
        <w:adjustRightInd w:val="0"/>
        <w:snapToGrid w:val="0"/>
        <w:spacing w:line="360" w:lineRule="auto"/>
        <w:ind w:left="2" w:leftChars="1" w:right="218" w:rightChars="104" w:firstLine="360" w:firstLineChars="100"/>
        <w:jc w:val="left"/>
        <w:rPr>
          <w:rFonts w:ascii="仿宋_GB2312" w:eastAsia="仿宋_GB2312"/>
          <w:color w:val="auto"/>
          <w:sz w:val="36"/>
          <w:szCs w:val="36"/>
          <w:highlight w:val="none"/>
          <w:u w:val="single"/>
        </w:rPr>
      </w:pPr>
      <w:r>
        <w:rPr>
          <w:rFonts w:hint="eastAsia" w:ascii="仿宋_GB2312" w:eastAsia="仿宋_GB2312"/>
          <w:color w:val="auto"/>
          <w:sz w:val="36"/>
          <w:szCs w:val="36"/>
          <w:highlight w:val="none"/>
        </w:rPr>
        <w:t>建设单位（盖章）：</w:t>
      </w:r>
      <w:r>
        <w:rPr>
          <w:rFonts w:hint="eastAsia" w:ascii="仿宋_GB2312" w:eastAsia="仿宋_GB2312"/>
          <w:color w:val="auto"/>
          <w:sz w:val="36"/>
          <w:szCs w:val="36"/>
          <w:highlight w:val="none"/>
          <w:u w:val="single"/>
        </w:rPr>
        <w:t xml:space="preserve">    洋县瑞庆新型节能建材厂     </w:t>
      </w:r>
    </w:p>
    <w:p>
      <w:pPr>
        <w:adjustRightInd w:val="0"/>
        <w:snapToGrid w:val="0"/>
        <w:spacing w:line="360" w:lineRule="auto"/>
        <w:ind w:right="218" w:rightChars="104" w:firstLine="360" w:firstLineChars="100"/>
        <w:jc w:val="left"/>
        <w:rPr>
          <w:rFonts w:ascii="仿宋_GB2312" w:eastAsia="仿宋_GB2312"/>
          <w:color w:val="auto"/>
          <w:sz w:val="36"/>
          <w:szCs w:val="36"/>
          <w:highlight w:val="none"/>
          <w:u w:val="single"/>
        </w:rPr>
      </w:pPr>
      <w:r>
        <w:rPr>
          <w:rFonts w:hint="eastAsia" w:ascii="仿宋_GB2312" w:eastAsia="仿宋_GB2312"/>
          <w:color w:val="auto"/>
          <w:sz w:val="36"/>
          <w:szCs w:val="36"/>
          <w:highlight w:val="none"/>
        </w:rPr>
        <w:t>编制日期：</w:t>
      </w:r>
      <w:r>
        <w:rPr>
          <w:rFonts w:hint="eastAsia" w:ascii="仿宋_GB2312" w:eastAsia="仿宋_GB2312"/>
          <w:color w:val="auto"/>
          <w:sz w:val="36"/>
          <w:szCs w:val="36"/>
          <w:highlight w:val="none"/>
          <w:u w:val="single"/>
        </w:rPr>
        <w:t xml:space="preserve">             二〇二三年十二月                   </w:t>
      </w:r>
    </w:p>
    <w:p>
      <w:pPr>
        <w:adjustRightInd w:val="0"/>
        <w:snapToGrid w:val="0"/>
        <w:spacing w:line="288" w:lineRule="auto"/>
        <w:ind w:firstLine="1040"/>
        <w:rPr>
          <w:rFonts w:ascii="仿宋_GB2312" w:eastAsia="仿宋_GB2312"/>
          <w:color w:val="auto"/>
          <w:sz w:val="36"/>
          <w:szCs w:val="36"/>
          <w:highlight w:val="none"/>
          <w:u w:val="single"/>
        </w:rPr>
      </w:pPr>
      <w:bookmarkStart w:id="0" w:name="_Hlk57884087"/>
    </w:p>
    <w:p>
      <w:pPr>
        <w:adjustRightInd w:val="0"/>
        <w:snapToGrid w:val="0"/>
        <w:spacing w:line="360" w:lineRule="auto"/>
        <w:ind w:firstLine="1040"/>
        <w:rPr>
          <w:rFonts w:ascii="仿宋_GB2312" w:eastAsia="仿宋_GB2312"/>
          <w:color w:val="auto"/>
          <w:sz w:val="36"/>
          <w:szCs w:val="36"/>
          <w:highlight w:val="none"/>
        </w:rPr>
      </w:pPr>
    </w:p>
    <w:p>
      <w:pPr>
        <w:adjustRightInd w:val="0"/>
        <w:snapToGrid w:val="0"/>
        <w:spacing w:line="360" w:lineRule="auto"/>
        <w:rPr>
          <w:rFonts w:ascii="仿宋_GB2312" w:eastAsia="仿宋_GB2312"/>
          <w:color w:val="auto"/>
          <w:sz w:val="36"/>
          <w:szCs w:val="36"/>
          <w:highlight w:val="none"/>
        </w:rPr>
      </w:pPr>
    </w:p>
    <w:bookmarkEnd w:id="0"/>
    <w:p>
      <w:pPr>
        <w:adjustRightInd w:val="0"/>
        <w:snapToGrid w:val="0"/>
        <w:spacing w:line="288" w:lineRule="auto"/>
        <w:jc w:val="center"/>
        <w:rPr>
          <w:rFonts w:ascii="楷体_GB2312" w:eastAsia="楷体_GB2312"/>
          <w:color w:val="auto"/>
          <w:sz w:val="36"/>
          <w:szCs w:val="36"/>
          <w:highlight w:val="none"/>
        </w:rPr>
      </w:pPr>
      <w:r>
        <w:rPr>
          <w:rFonts w:hint="eastAsia" w:ascii="楷体_GB2312" w:eastAsia="楷体_GB2312"/>
          <w:color w:val="auto"/>
          <w:sz w:val="36"/>
          <w:szCs w:val="36"/>
          <w:highlight w:val="none"/>
        </w:rPr>
        <w:t>中华人民共和国生态环境部制</w:t>
      </w:r>
    </w:p>
    <w:p>
      <w:pPr>
        <w:adjustRightInd w:val="0"/>
        <w:snapToGrid w:val="0"/>
        <w:spacing w:line="288" w:lineRule="auto"/>
        <w:ind w:firstLine="1040"/>
        <w:rPr>
          <w:rFonts w:ascii="仿宋_GB2312" w:eastAsia="仿宋_GB2312"/>
          <w:color w:val="auto"/>
          <w:sz w:val="36"/>
          <w:szCs w:val="36"/>
          <w:highlight w:val="none"/>
        </w:rPr>
        <w:sectPr>
          <w:footerReference r:id="rId3" w:type="default"/>
          <w:footerReference r:id="rId4" w:type="even"/>
          <w:pgSz w:w="11906" w:h="16838"/>
          <w:pgMar w:top="1701" w:right="915" w:bottom="1701" w:left="1531" w:header="851" w:footer="1077" w:gutter="0"/>
          <w:pgNumType w:start="3"/>
          <w:cols w:space="720" w:num="1"/>
          <w:docGrid w:linePitch="312" w:charSpace="0"/>
        </w:sectPr>
      </w:pPr>
    </w:p>
    <w:p>
      <w:pPr>
        <w:pStyle w:val="29"/>
        <w:spacing w:before="0" w:beforeAutospacing="0" w:after="0" w:afterAutospacing="0" w:line="360" w:lineRule="auto"/>
        <w:jc w:val="center"/>
        <w:outlineLvl w:val="0"/>
        <w:rPr>
          <w:rFonts w:ascii="黑体" w:hAnsi="黑体" w:eastAsia="黑体"/>
          <w:snapToGrid w:val="0"/>
          <w:color w:val="auto"/>
          <w:sz w:val="30"/>
          <w:szCs w:val="30"/>
          <w:highlight w:val="none"/>
        </w:rPr>
      </w:pPr>
    </w:p>
    <w:p>
      <w:pPr>
        <w:pStyle w:val="29"/>
        <w:spacing w:before="0" w:beforeAutospacing="0" w:after="0" w:afterAutospacing="0" w:line="360" w:lineRule="auto"/>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一、建设项目基本情况</w:t>
      </w:r>
    </w:p>
    <w:tbl>
      <w:tblPr>
        <w:tblStyle w:val="34"/>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17"/>
        <w:gridCol w:w="1142"/>
        <w:gridCol w:w="1935"/>
        <w:gridCol w:w="1432"/>
        <w:gridCol w:w="3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建设项目</w:t>
            </w:r>
          </w:p>
          <w:p>
            <w:pPr>
              <w:adjustRightInd w:val="0"/>
              <w:snapToGrid w:val="0"/>
              <w:jc w:val="center"/>
              <w:rPr>
                <w:color w:val="auto"/>
                <w:sz w:val="24"/>
                <w:highlight w:val="none"/>
              </w:rPr>
            </w:pPr>
            <w:r>
              <w:rPr>
                <w:color w:val="auto"/>
                <w:sz w:val="24"/>
                <w:highlight w:val="none"/>
              </w:rPr>
              <w:t>名称</w:t>
            </w:r>
          </w:p>
        </w:tc>
        <w:tc>
          <w:tcPr>
            <w:tcW w:w="7111" w:type="dxa"/>
            <w:gridSpan w:val="3"/>
            <w:vAlign w:val="center"/>
          </w:tcPr>
          <w:p>
            <w:pPr>
              <w:adjustRightInd w:val="0"/>
              <w:snapToGrid w:val="0"/>
              <w:jc w:val="center"/>
              <w:rPr>
                <w:color w:val="auto"/>
                <w:sz w:val="24"/>
                <w:highlight w:val="none"/>
              </w:rPr>
            </w:pPr>
            <w:r>
              <w:rPr>
                <w:rFonts w:hint="eastAsia"/>
                <w:color w:val="auto"/>
                <w:sz w:val="24"/>
                <w:highlight w:val="none"/>
              </w:rPr>
              <w:t xml:space="preserve">洋县瑞庆新型节能建材厂泥沙分离项目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项目代码</w:t>
            </w:r>
          </w:p>
        </w:tc>
        <w:tc>
          <w:tcPr>
            <w:tcW w:w="7111" w:type="dxa"/>
            <w:gridSpan w:val="3"/>
            <w:vAlign w:val="center"/>
          </w:tcPr>
          <w:p>
            <w:pPr>
              <w:adjustRightInd w:val="0"/>
              <w:snapToGrid w:val="0"/>
              <w:jc w:val="center"/>
              <w:rPr>
                <w:color w:val="auto"/>
                <w:sz w:val="24"/>
                <w:highlight w:val="none"/>
              </w:rPr>
            </w:pPr>
            <w:r>
              <w:rPr>
                <w:rFonts w:hint="eastAsia"/>
                <w:color w:val="auto"/>
                <w:sz w:val="24"/>
                <w:highlight w:val="none"/>
              </w:rPr>
              <w:t>2305-610723-04-02-116371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建设单位</w:t>
            </w:r>
          </w:p>
          <w:p>
            <w:pPr>
              <w:adjustRightInd w:val="0"/>
              <w:snapToGrid w:val="0"/>
              <w:jc w:val="center"/>
              <w:rPr>
                <w:color w:val="auto"/>
                <w:sz w:val="24"/>
                <w:highlight w:val="none"/>
              </w:rPr>
            </w:pPr>
            <w:r>
              <w:rPr>
                <w:color w:val="auto"/>
                <w:sz w:val="24"/>
                <w:highlight w:val="none"/>
              </w:rPr>
              <w:t>联系人</w:t>
            </w:r>
          </w:p>
        </w:tc>
        <w:tc>
          <w:tcPr>
            <w:tcW w:w="1935" w:type="dxa"/>
            <w:vAlign w:val="center"/>
          </w:tcPr>
          <w:p>
            <w:pPr>
              <w:adjustRightInd w:val="0"/>
              <w:snapToGrid w:val="0"/>
              <w:jc w:val="center"/>
              <w:rPr>
                <w:color w:val="auto"/>
                <w:sz w:val="24"/>
                <w:highlight w:val="none"/>
              </w:rPr>
            </w:pPr>
            <w:r>
              <w:rPr>
                <w:rFonts w:hint="eastAsia"/>
                <w:color w:val="auto"/>
                <w:sz w:val="24"/>
                <w:highlight w:val="none"/>
              </w:rPr>
              <w:t>王肖荃</w:t>
            </w:r>
          </w:p>
        </w:tc>
        <w:tc>
          <w:tcPr>
            <w:tcW w:w="1432" w:type="dxa"/>
            <w:vAlign w:val="center"/>
          </w:tcPr>
          <w:p>
            <w:pPr>
              <w:adjustRightInd w:val="0"/>
              <w:snapToGrid w:val="0"/>
              <w:jc w:val="center"/>
              <w:rPr>
                <w:color w:val="auto"/>
                <w:sz w:val="24"/>
                <w:highlight w:val="none"/>
              </w:rPr>
            </w:pPr>
            <w:r>
              <w:rPr>
                <w:color w:val="auto"/>
                <w:sz w:val="24"/>
                <w:highlight w:val="none"/>
              </w:rPr>
              <w:t>联系方式</w:t>
            </w:r>
          </w:p>
        </w:tc>
        <w:tc>
          <w:tcPr>
            <w:tcW w:w="3744" w:type="dxa"/>
            <w:vAlign w:val="center"/>
          </w:tcPr>
          <w:p>
            <w:pPr>
              <w:adjustRightInd w:val="0"/>
              <w:snapToGrid w:val="0"/>
              <w:jc w:val="center"/>
              <w:rPr>
                <w:color w:val="auto"/>
                <w:sz w:val="24"/>
                <w:highlight w:val="none"/>
              </w:rPr>
            </w:pPr>
            <w:r>
              <w:rPr>
                <w:rFonts w:hint="eastAsia"/>
                <w:color w:val="auto"/>
                <w:sz w:val="24"/>
                <w:highlight w:val="none"/>
              </w:rPr>
              <w:t>13038459789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建设地点</w:t>
            </w:r>
          </w:p>
        </w:tc>
        <w:tc>
          <w:tcPr>
            <w:tcW w:w="7111" w:type="dxa"/>
            <w:gridSpan w:val="3"/>
            <w:vAlign w:val="center"/>
          </w:tcPr>
          <w:p>
            <w:pPr>
              <w:adjustRightInd w:val="0"/>
              <w:snapToGrid w:val="0"/>
              <w:jc w:val="center"/>
              <w:rPr>
                <w:color w:val="auto"/>
                <w:sz w:val="24"/>
                <w:highlight w:val="none"/>
              </w:rPr>
            </w:pPr>
            <w:r>
              <w:rPr>
                <w:rFonts w:hint="eastAsia"/>
                <w:color w:val="auto"/>
                <w:sz w:val="24"/>
                <w:highlight w:val="none"/>
              </w:rPr>
              <w:t>陕西</w:t>
            </w:r>
            <w:r>
              <w:rPr>
                <w:color w:val="auto"/>
                <w:sz w:val="24"/>
                <w:highlight w:val="none"/>
              </w:rPr>
              <w:t>省</w:t>
            </w:r>
            <w:r>
              <w:rPr>
                <w:rFonts w:hint="eastAsia"/>
                <w:color w:val="auto"/>
                <w:sz w:val="24"/>
                <w:highlight w:val="none"/>
              </w:rPr>
              <w:t>汉中市洋县磨子桥镇冯杨村二组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地理坐标</w:t>
            </w:r>
          </w:p>
        </w:tc>
        <w:tc>
          <w:tcPr>
            <w:tcW w:w="7111" w:type="dxa"/>
            <w:gridSpan w:val="3"/>
            <w:vAlign w:val="center"/>
          </w:tcPr>
          <w:p>
            <w:pPr>
              <w:jc w:val="center"/>
              <w:rPr>
                <w:color w:val="auto"/>
                <w:sz w:val="24"/>
                <w:highlight w:val="none"/>
              </w:rPr>
            </w:pPr>
            <w:r>
              <w:rPr>
                <w:rFonts w:hint="eastAsia"/>
                <w:color w:val="auto"/>
                <w:sz w:val="24"/>
                <w:highlight w:val="none"/>
              </w:rPr>
              <w:t>（ 107 度 31 分 23.509秒， 33 度 10 分 50.118秒）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国民经济</w:t>
            </w:r>
          </w:p>
          <w:p>
            <w:pPr>
              <w:adjustRightInd w:val="0"/>
              <w:snapToGrid w:val="0"/>
              <w:jc w:val="center"/>
              <w:rPr>
                <w:color w:val="auto"/>
                <w:sz w:val="24"/>
                <w:highlight w:val="none"/>
              </w:rPr>
            </w:pPr>
            <w:r>
              <w:rPr>
                <w:color w:val="auto"/>
                <w:sz w:val="24"/>
                <w:highlight w:val="none"/>
              </w:rPr>
              <w:t>行业类别</w:t>
            </w:r>
          </w:p>
        </w:tc>
        <w:tc>
          <w:tcPr>
            <w:tcW w:w="1935" w:type="dxa"/>
            <w:vAlign w:val="center"/>
          </w:tcPr>
          <w:p>
            <w:pPr>
              <w:adjustRightInd w:val="0"/>
              <w:snapToGrid w:val="0"/>
              <w:jc w:val="center"/>
              <w:rPr>
                <w:rFonts w:hint="default"/>
                <w:color w:val="auto"/>
                <w:sz w:val="24"/>
                <w:highlight w:val="none"/>
                <w:lang w:val="en-US"/>
              </w:rPr>
            </w:pPr>
            <w:r>
              <w:rPr>
                <w:rFonts w:hint="eastAsia"/>
                <w:color w:val="auto"/>
                <w:sz w:val="24"/>
                <w:highlight w:val="none"/>
                <w:lang w:eastAsia="zh-CN"/>
              </w:rPr>
              <w:t>固体废物治理</w:t>
            </w:r>
            <w:r>
              <w:rPr>
                <w:rFonts w:hint="eastAsia"/>
                <w:color w:val="auto"/>
                <w:sz w:val="24"/>
                <w:highlight w:val="none"/>
                <w:lang w:val="en-US" w:eastAsia="zh-CN"/>
              </w:rPr>
              <w:t>N7723</w:t>
            </w:r>
          </w:p>
        </w:tc>
        <w:tc>
          <w:tcPr>
            <w:tcW w:w="1432" w:type="dxa"/>
            <w:vAlign w:val="center"/>
          </w:tcPr>
          <w:p>
            <w:pPr>
              <w:adjustRightInd w:val="0"/>
              <w:snapToGrid w:val="0"/>
              <w:jc w:val="center"/>
              <w:rPr>
                <w:color w:val="auto"/>
                <w:sz w:val="24"/>
                <w:highlight w:val="none"/>
              </w:rPr>
            </w:pPr>
            <w:bookmarkStart w:id="1" w:name="_Hlk49843745"/>
            <w:r>
              <w:rPr>
                <w:color w:val="auto"/>
                <w:sz w:val="24"/>
                <w:highlight w:val="none"/>
              </w:rPr>
              <w:t>建设项目</w:t>
            </w:r>
          </w:p>
          <w:p>
            <w:pPr>
              <w:adjustRightInd w:val="0"/>
              <w:snapToGrid w:val="0"/>
              <w:jc w:val="center"/>
              <w:rPr>
                <w:color w:val="auto"/>
                <w:sz w:val="24"/>
                <w:highlight w:val="none"/>
              </w:rPr>
            </w:pPr>
            <w:r>
              <w:rPr>
                <w:color w:val="auto"/>
                <w:sz w:val="24"/>
                <w:highlight w:val="none"/>
              </w:rPr>
              <w:t>行业类别</w:t>
            </w:r>
            <w:bookmarkEnd w:id="1"/>
          </w:p>
        </w:tc>
        <w:tc>
          <w:tcPr>
            <w:tcW w:w="3744" w:type="dxa"/>
            <w:vAlign w:val="center"/>
          </w:tcPr>
          <w:p>
            <w:pPr>
              <w:adjustRightInd w:val="0"/>
              <w:snapToGrid w:val="0"/>
              <w:rPr>
                <w:color w:val="auto"/>
                <w:sz w:val="24"/>
                <w:highlight w:val="none"/>
              </w:rPr>
            </w:pPr>
            <w:r>
              <w:rPr>
                <w:rFonts w:hint="eastAsia"/>
                <w:color w:val="auto"/>
                <w:sz w:val="24"/>
                <w:highlight w:val="none"/>
                <w:lang w:eastAsia="zh-CN"/>
              </w:rPr>
              <w:t>四</w:t>
            </w:r>
            <w:r>
              <w:rPr>
                <w:rFonts w:hint="eastAsia"/>
                <w:color w:val="auto"/>
                <w:sz w:val="24"/>
                <w:highlight w:val="none"/>
              </w:rPr>
              <w:t>十七、</w:t>
            </w:r>
            <w:r>
              <w:rPr>
                <w:rFonts w:hint="eastAsia"/>
                <w:color w:val="auto"/>
                <w:sz w:val="24"/>
                <w:highlight w:val="none"/>
                <w:lang w:eastAsia="zh-CN"/>
              </w:rPr>
              <w:t>生态保护和环境治理</w:t>
            </w:r>
            <w:r>
              <w:rPr>
                <w:rFonts w:hint="eastAsia"/>
                <w:color w:val="auto"/>
                <w:sz w:val="24"/>
                <w:highlight w:val="none"/>
              </w:rPr>
              <w:t xml:space="preserve">业 </w:t>
            </w:r>
          </w:p>
          <w:p>
            <w:pPr>
              <w:adjustRightInd w:val="0"/>
              <w:snapToGrid w:val="0"/>
              <w:rPr>
                <w:color w:val="auto"/>
                <w:sz w:val="24"/>
                <w:highlight w:val="none"/>
              </w:rPr>
            </w:pPr>
            <w:r>
              <w:rPr>
                <w:rFonts w:hint="eastAsia"/>
                <w:color w:val="auto"/>
                <w:sz w:val="24"/>
                <w:highlight w:val="none"/>
              </w:rPr>
              <w:t>60.一般工业固体废物（含污水处理污泥）、建筑施工废弃物处置及综合利用</w:t>
            </w:r>
            <w:r>
              <w:rPr>
                <w:rFonts w:hint="eastAsia"/>
                <w:color w:val="auto"/>
                <w:sz w:val="24"/>
                <w:highlight w:val="none"/>
                <w:lang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建设性质</w:t>
            </w:r>
          </w:p>
        </w:tc>
        <w:tc>
          <w:tcPr>
            <w:tcW w:w="1935" w:type="dxa"/>
            <w:vAlign w:val="center"/>
          </w:tcPr>
          <w:p>
            <w:pPr>
              <w:jc w:val="left"/>
              <w:rPr>
                <w:color w:val="auto"/>
                <w:sz w:val="24"/>
                <w:highlight w:val="none"/>
              </w:rPr>
            </w:pPr>
            <w:r>
              <w:rPr>
                <w:rFonts w:eastAsia="Wingdings 2"/>
                <w:color w:val="auto"/>
                <w:szCs w:val="21"/>
                <w:highlight w:val="none"/>
              </w:rPr>
              <w:sym w:font="Wingdings 2" w:char="00A3"/>
            </w:r>
            <w:r>
              <w:rPr>
                <w:color w:val="auto"/>
                <w:sz w:val="24"/>
                <w:highlight w:val="none"/>
              </w:rPr>
              <w:t>新建（迁建）</w:t>
            </w:r>
          </w:p>
          <w:p>
            <w:pPr>
              <w:jc w:val="left"/>
              <w:rPr>
                <w:color w:val="auto"/>
                <w:sz w:val="24"/>
                <w:highlight w:val="none"/>
              </w:rPr>
            </w:pPr>
            <w:r>
              <w:rPr>
                <w:color w:val="auto"/>
                <w:sz w:val="24"/>
                <w:highlight w:val="none"/>
              </w:rPr>
              <w:sym w:font="Wingdings 2" w:char="00A3"/>
            </w:r>
            <w:r>
              <w:rPr>
                <w:color w:val="auto"/>
                <w:sz w:val="24"/>
                <w:highlight w:val="none"/>
              </w:rPr>
              <w:t>改建</w:t>
            </w:r>
          </w:p>
          <w:p>
            <w:pPr>
              <w:jc w:val="left"/>
              <w:rPr>
                <w:color w:val="auto"/>
                <w:sz w:val="24"/>
                <w:highlight w:val="none"/>
              </w:rPr>
            </w:pPr>
            <w:r>
              <w:rPr>
                <w:color w:val="auto"/>
                <w:sz w:val="24"/>
                <w:highlight w:val="none"/>
              </w:rPr>
              <w:sym w:font="Wingdings 2" w:char="0052"/>
            </w:r>
            <w:r>
              <w:rPr>
                <w:color w:val="auto"/>
                <w:sz w:val="24"/>
                <w:highlight w:val="none"/>
              </w:rPr>
              <w:t>扩建</w:t>
            </w:r>
          </w:p>
          <w:p>
            <w:pPr>
              <w:jc w:val="left"/>
              <w:rPr>
                <w:color w:val="auto"/>
                <w:sz w:val="24"/>
                <w:highlight w:val="none"/>
              </w:rPr>
            </w:pPr>
            <w:r>
              <w:rPr>
                <w:color w:val="auto"/>
                <w:sz w:val="24"/>
                <w:highlight w:val="none"/>
              </w:rPr>
              <w:sym w:font="Wingdings 2" w:char="00A3"/>
            </w:r>
            <w:r>
              <w:rPr>
                <w:color w:val="auto"/>
                <w:sz w:val="24"/>
                <w:highlight w:val="none"/>
              </w:rPr>
              <w:t>技术改造</w:t>
            </w:r>
          </w:p>
        </w:tc>
        <w:tc>
          <w:tcPr>
            <w:tcW w:w="1432" w:type="dxa"/>
            <w:vAlign w:val="center"/>
          </w:tcPr>
          <w:p>
            <w:pPr>
              <w:adjustRightInd w:val="0"/>
              <w:snapToGrid w:val="0"/>
              <w:jc w:val="center"/>
              <w:rPr>
                <w:color w:val="auto"/>
                <w:sz w:val="24"/>
                <w:highlight w:val="none"/>
              </w:rPr>
            </w:pPr>
            <w:r>
              <w:rPr>
                <w:color w:val="auto"/>
                <w:sz w:val="24"/>
                <w:highlight w:val="none"/>
              </w:rPr>
              <w:t>建设项目</w:t>
            </w:r>
          </w:p>
          <w:p>
            <w:pPr>
              <w:adjustRightInd w:val="0"/>
              <w:snapToGrid w:val="0"/>
              <w:jc w:val="center"/>
              <w:rPr>
                <w:color w:val="auto"/>
                <w:sz w:val="24"/>
                <w:highlight w:val="none"/>
              </w:rPr>
            </w:pPr>
            <w:r>
              <w:rPr>
                <w:color w:val="auto"/>
                <w:sz w:val="24"/>
                <w:highlight w:val="none"/>
              </w:rPr>
              <w:t>申报情形</w:t>
            </w:r>
          </w:p>
        </w:tc>
        <w:tc>
          <w:tcPr>
            <w:tcW w:w="3744" w:type="dxa"/>
            <w:vAlign w:val="center"/>
          </w:tcPr>
          <w:p>
            <w:pPr>
              <w:jc w:val="left"/>
              <w:rPr>
                <w:color w:val="auto"/>
                <w:sz w:val="24"/>
                <w:highlight w:val="none"/>
              </w:rPr>
            </w:pPr>
            <w:r>
              <w:rPr>
                <w:rFonts w:eastAsia="Wingdings 2"/>
                <w:color w:val="auto"/>
                <w:szCs w:val="21"/>
                <w:highlight w:val="none"/>
              </w:rPr>
              <w:sym w:font="Wingdings 2" w:char="0052"/>
            </w:r>
            <w:r>
              <w:rPr>
                <w:color w:val="auto"/>
                <w:sz w:val="24"/>
                <w:highlight w:val="none"/>
              </w:rPr>
              <w:t xml:space="preserve">首次申报项目             </w:t>
            </w:r>
          </w:p>
          <w:p>
            <w:pPr>
              <w:jc w:val="left"/>
              <w:rPr>
                <w:color w:val="auto"/>
                <w:sz w:val="24"/>
                <w:highlight w:val="none"/>
              </w:rPr>
            </w:pPr>
            <w:r>
              <w:rPr>
                <w:color w:val="auto"/>
                <w:sz w:val="24"/>
                <w:highlight w:val="none"/>
              </w:rPr>
              <w:sym w:font="Wingdings 2" w:char="00A3"/>
            </w:r>
            <w:r>
              <w:rPr>
                <w:color w:val="auto"/>
                <w:sz w:val="24"/>
                <w:highlight w:val="none"/>
              </w:rPr>
              <w:t>不予批准后再次申报项目</w:t>
            </w:r>
          </w:p>
          <w:p>
            <w:pPr>
              <w:jc w:val="left"/>
              <w:rPr>
                <w:color w:val="auto"/>
                <w:sz w:val="24"/>
                <w:highlight w:val="none"/>
              </w:rPr>
            </w:pPr>
            <w:r>
              <w:rPr>
                <w:color w:val="auto"/>
                <w:sz w:val="24"/>
                <w:highlight w:val="none"/>
              </w:rPr>
              <w:sym w:font="Wingdings 2" w:char="00A3"/>
            </w:r>
            <w:r>
              <w:rPr>
                <w:color w:val="auto"/>
                <w:sz w:val="24"/>
                <w:highlight w:val="none"/>
              </w:rPr>
              <w:t xml:space="preserve">超五年重新审核项目     </w:t>
            </w:r>
          </w:p>
          <w:p>
            <w:pPr>
              <w:jc w:val="left"/>
              <w:rPr>
                <w:color w:val="auto"/>
                <w:sz w:val="24"/>
                <w:highlight w:val="none"/>
              </w:rPr>
            </w:pPr>
            <w:r>
              <w:rPr>
                <w:color w:val="auto"/>
                <w:sz w:val="24"/>
                <w:highlight w:val="none"/>
              </w:rPr>
              <w:sym w:font="Wingdings 2" w:char="00A3"/>
            </w:r>
            <w:r>
              <w:rPr>
                <w:color w:val="auto"/>
                <w:sz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项目审批</w:t>
            </w:r>
          </w:p>
          <w:p>
            <w:pPr>
              <w:adjustRightInd w:val="0"/>
              <w:snapToGrid w:val="0"/>
              <w:jc w:val="center"/>
              <w:rPr>
                <w:color w:val="auto"/>
                <w:sz w:val="24"/>
                <w:highlight w:val="none"/>
              </w:rPr>
            </w:pPr>
            <w:r>
              <w:rPr>
                <w:color w:val="auto"/>
                <w:sz w:val="24"/>
                <w:highlight w:val="none"/>
              </w:rPr>
              <w:t>（核准/备案）</w:t>
            </w:r>
          </w:p>
          <w:p>
            <w:pPr>
              <w:adjustRightInd w:val="0"/>
              <w:snapToGrid w:val="0"/>
              <w:jc w:val="center"/>
              <w:rPr>
                <w:color w:val="auto"/>
                <w:sz w:val="24"/>
                <w:highlight w:val="none"/>
              </w:rPr>
            </w:pPr>
            <w:r>
              <w:rPr>
                <w:color w:val="auto"/>
                <w:sz w:val="24"/>
                <w:highlight w:val="none"/>
              </w:rPr>
              <w:t>部门（选填）</w:t>
            </w:r>
          </w:p>
        </w:tc>
        <w:tc>
          <w:tcPr>
            <w:tcW w:w="1935" w:type="dxa"/>
            <w:vAlign w:val="center"/>
          </w:tcPr>
          <w:p>
            <w:pPr>
              <w:adjustRightInd w:val="0"/>
              <w:snapToGrid w:val="0"/>
              <w:jc w:val="center"/>
              <w:rPr>
                <w:color w:val="auto"/>
                <w:kern w:val="0"/>
                <w:sz w:val="24"/>
                <w:highlight w:val="none"/>
              </w:rPr>
            </w:pPr>
            <w:r>
              <w:rPr>
                <w:rFonts w:hint="eastAsia"/>
                <w:color w:val="auto"/>
                <w:kern w:val="0"/>
                <w:sz w:val="24"/>
                <w:highlight w:val="none"/>
              </w:rPr>
              <w:t>洋县行政审批</w:t>
            </w:r>
          </w:p>
          <w:p>
            <w:pPr>
              <w:adjustRightInd w:val="0"/>
              <w:snapToGrid w:val="0"/>
              <w:jc w:val="center"/>
              <w:rPr>
                <w:color w:val="auto"/>
                <w:sz w:val="24"/>
                <w:highlight w:val="none"/>
              </w:rPr>
            </w:pPr>
            <w:r>
              <w:rPr>
                <w:rFonts w:hint="eastAsia"/>
                <w:color w:val="auto"/>
                <w:kern w:val="0"/>
                <w:sz w:val="24"/>
                <w:highlight w:val="none"/>
              </w:rPr>
              <w:t>服务局</w:t>
            </w:r>
          </w:p>
        </w:tc>
        <w:tc>
          <w:tcPr>
            <w:tcW w:w="1432" w:type="dxa"/>
            <w:vAlign w:val="center"/>
          </w:tcPr>
          <w:p>
            <w:pPr>
              <w:adjustRightInd w:val="0"/>
              <w:snapToGrid w:val="0"/>
              <w:jc w:val="center"/>
              <w:rPr>
                <w:color w:val="auto"/>
                <w:sz w:val="24"/>
                <w:highlight w:val="none"/>
              </w:rPr>
            </w:pPr>
            <w:r>
              <w:rPr>
                <w:color w:val="auto"/>
                <w:sz w:val="24"/>
                <w:highlight w:val="none"/>
              </w:rPr>
              <w:t>项目审批</w:t>
            </w:r>
          </w:p>
          <w:p>
            <w:pPr>
              <w:adjustRightInd w:val="0"/>
              <w:snapToGrid w:val="0"/>
              <w:jc w:val="center"/>
              <w:rPr>
                <w:color w:val="auto"/>
                <w:sz w:val="24"/>
                <w:highlight w:val="none"/>
              </w:rPr>
            </w:pPr>
            <w:r>
              <w:rPr>
                <w:color w:val="auto"/>
                <w:sz w:val="24"/>
                <w:highlight w:val="none"/>
              </w:rPr>
              <w:t>（核准/</w:t>
            </w:r>
          </w:p>
          <w:p>
            <w:pPr>
              <w:adjustRightInd w:val="0"/>
              <w:snapToGrid w:val="0"/>
              <w:jc w:val="center"/>
              <w:rPr>
                <w:color w:val="auto"/>
                <w:sz w:val="24"/>
                <w:highlight w:val="none"/>
              </w:rPr>
            </w:pPr>
            <w:r>
              <w:rPr>
                <w:color w:val="auto"/>
                <w:sz w:val="24"/>
                <w:highlight w:val="none"/>
              </w:rPr>
              <w:t>备案）文号（选填）</w:t>
            </w:r>
          </w:p>
        </w:tc>
        <w:tc>
          <w:tcPr>
            <w:tcW w:w="3744" w:type="dxa"/>
            <w:vAlign w:val="center"/>
          </w:tcPr>
          <w:p>
            <w:pPr>
              <w:adjustRightInd w:val="0"/>
              <w:snapToGrid w:val="0"/>
              <w:jc w:val="center"/>
              <w:rPr>
                <w:color w:val="auto"/>
                <w:sz w:val="24"/>
                <w:highlight w:val="none"/>
              </w:rPr>
            </w:pPr>
            <w:r>
              <w:rPr>
                <w:rFonts w:hint="eastAsia"/>
                <w:color w:val="auto"/>
                <w:sz w:val="24"/>
                <w:highlight w:val="none"/>
              </w:rPr>
              <w:t>2305-610723-04-02-116371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总投资</w:t>
            </w:r>
          </w:p>
          <w:p>
            <w:pPr>
              <w:adjustRightInd w:val="0"/>
              <w:snapToGrid w:val="0"/>
              <w:jc w:val="center"/>
              <w:rPr>
                <w:color w:val="auto"/>
                <w:sz w:val="24"/>
                <w:highlight w:val="none"/>
              </w:rPr>
            </w:pPr>
            <w:r>
              <w:rPr>
                <w:color w:val="auto"/>
                <w:sz w:val="24"/>
                <w:highlight w:val="none"/>
              </w:rPr>
              <w:t>（万元）</w:t>
            </w:r>
          </w:p>
        </w:tc>
        <w:tc>
          <w:tcPr>
            <w:tcW w:w="1935" w:type="dxa"/>
            <w:vAlign w:val="center"/>
          </w:tcPr>
          <w:p>
            <w:pPr>
              <w:adjustRightInd w:val="0"/>
              <w:snapToGrid w:val="0"/>
              <w:jc w:val="center"/>
              <w:rPr>
                <w:color w:val="auto"/>
                <w:sz w:val="24"/>
                <w:highlight w:val="none"/>
              </w:rPr>
            </w:pPr>
            <w:r>
              <w:rPr>
                <w:rFonts w:hint="eastAsia"/>
                <w:color w:val="auto"/>
                <w:sz w:val="24"/>
                <w:highlight w:val="none"/>
              </w:rPr>
              <w:t>160</w:t>
            </w:r>
          </w:p>
        </w:tc>
        <w:tc>
          <w:tcPr>
            <w:tcW w:w="1432" w:type="dxa"/>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环保投资</w:t>
            </w:r>
          </w:p>
          <w:p>
            <w:pPr>
              <w:adjustRightInd w:val="0"/>
              <w:snapToGrid w:val="0"/>
              <w:jc w:val="center"/>
              <w:rPr>
                <w:color w:val="auto"/>
                <w:sz w:val="24"/>
                <w:highlight w:val="none"/>
              </w:rPr>
            </w:pPr>
            <w:r>
              <w:rPr>
                <w:color w:val="auto"/>
                <w:sz w:val="24"/>
                <w:highlight w:val="none"/>
              </w:rPr>
              <w:t>（万元）</w:t>
            </w:r>
          </w:p>
        </w:tc>
        <w:tc>
          <w:tcPr>
            <w:tcW w:w="3744" w:type="dxa"/>
            <w:vAlign w:val="center"/>
          </w:tcPr>
          <w:p>
            <w:pPr>
              <w:adjustRightInd w:val="0"/>
              <w:snapToGrid w:val="0"/>
              <w:jc w:val="center"/>
              <w:rPr>
                <w:color w:val="auto"/>
                <w:sz w:val="24"/>
                <w:highlight w:val="none"/>
              </w:rPr>
            </w:pPr>
            <w:r>
              <w:rPr>
                <w:rFonts w:hint="eastAsia"/>
                <w:color w:val="auto"/>
                <w:sz w:val="24"/>
                <w:highlight w:val="none"/>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环保投资占比（%）</w:t>
            </w:r>
          </w:p>
        </w:tc>
        <w:tc>
          <w:tcPr>
            <w:tcW w:w="1935" w:type="dxa"/>
            <w:vAlign w:val="center"/>
          </w:tcPr>
          <w:p>
            <w:pPr>
              <w:adjustRightInd w:val="0"/>
              <w:snapToGrid w:val="0"/>
              <w:jc w:val="center"/>
              <w:rPr>
                <w:color w:val="auto"/>
                <w:sz w:val="24"/>
                <w:highlight w:val="none"/>
              </w:rPr>
            </w:pPr>
            <w:r>
              <w:rPr>
                <w:rFonts w:hint="eastAsia"/>
                <w:color w:val="auto"/>
                <w:sz w:val="24"/>
                <w:highlight w:val="none"/>
              </w:rPr>
              <w:t>12.5</w:t>
            </w:r>
          </w:p>
        </w:tc>
        <w:tc>
          <w:tcPr>
            <w:tcW w:w="1432" w:type="dxa"/>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施工工期</w:t>
            </w:r>
          </w:p>
        </w:tc>
        <w:tc>
          <w:tcPr>
            <w:tcW w:w="3744" w:type="dxa"/>
            <w:vAlign w:val="center"/>
          </w:tcPr>
          <w:p>
            <w:pPr>
              <w:adjustRightInd w:val="0"/>
              <w:snapToGrid w:val="0"/>
              <w:jc w:val="center"/>
              <w:rPr>
                <w:color w:val="auto"/>
                <w:sz w:val="24"/>
                <w:highlight w:val="none"/>
              </w:rPr>
            </w:pPr>
            <w:r>
              <w:rPr>
                <w:rFonts w:hint="eastAsia"/>
                <w:color w:val="auto"/>
                <w:sz w:val="24"/>
                <w:highlight w:val="none"/>
              </w:rPr>
              <w:t>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59"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是否开工</w:t>
            </w:r>
          </w:p>
          <w:p>
            <w:pPr>
              <w:adjustRightInd w:val="0"/>
              <w:snapToGrid w:val="0"/>
              <w:jc w:val="center"/>
              <w:rPr>
                <w:color w:val="auto"/>
                <w:sz w:val="24"/>
                <w:highlight w:val="none"/>
              </w:rPr>
            </w:pPr>
            <w:r>
              <w:rPr>
                <w:color w:val="auto"/>
                <w:sz w:val="24"/>
                <w:highlight w:val="none"/>
              </w:rPr>
              <w:t>建设</w:t>
            </w:r>
          </w:p>
        </w:tc>
        <w:tc>
          <w:tcPr>
            <w:tcW w:w="1935" w:type="dxa"/>
            <w:vAlign w:val="center"/>
          </w:tcPr>
          <w:p>
            <w:pPr>
              <w:adjustRightInd w:val="0"/>
              <w:snapToGrid w:val="0"/>
              <w:rPr>
                <w:color w:val="auto"/>
                <w:sz w:val="24"/>
                <w:highlight w:val="none"/>
              </w:rPr>
            </w:pPr>
            <w:r>
              <w:rPr>
                <w:rFonts w:eastAsia="Wingdings 2"/>
                <w:color w:val="auto"/>
                <w:szCs w:val="21"/>
                <w:highlight w:val="none"/>
              </w:rPr>
              <w:sym w:font="Wingdings 2" w:char="0052"/>
            </w:r>
            <w:r>
              <w:rPr>
                <w:color w:val="auto"/>
                <w:sz w:val="24"/>
                <w:highlight w:val="none"/>
              </w:rPr>
              <w:t>否</w:t>
            </w:r>
          </w:p>
          <w:p>
            <w:pPr>
              <w:adjustRightInd w:val="0"/>
              <w:snapToGrid w:val="0"/>
              <w:rPr>
                <w:color w:val="auto"/>
                <w:sz w:val="24"/>
                <w:highlight w:val="none"/>
              </w:rPr>
            </w:pPr>
            <w:r>
              <w:rPr>
                <w:color w:val="auto"/>
                <w:sz w:val="24"/>
                <w:highlight w:val="none"/>
              </w:rPr>
              <w:sym w:font="Wingdings 2" w:char="00A3"/>
            </w:r>
            <w:r>
              <w:rPr>
                <w:color w:val="auto"/>
                <w:sz w:val="24"/>
                <w:highlight w:val="none"/>
              </w:rPr>
              <w:t>是：</w:t>
            </w:r>
            <w:r>
              <w:rPr>
                <w:rFonts w:hint="eastAsia"/>
                <w:color w:val="auto"/>
                <w:sz w:val="24"/>
                <w:highlight w:val="none"/>
                <w:u w:val="single"/>
              </w:rPr>
              <w:t xml:space="preserve">           </w:t>
            </w:r>
          </w:p>
        </w:tc>
        <w:tc>
          <w:tcPr>
            <w:tcW w:w="1432" w:type="dxa"/>
            <w:tcMar>
              <w:top w:w="16" w:type="dxa"/>
              <w:left w:w="16" w:type="dxa"/>
              <w:right w:w="16" w:type="dxa"/>
            </w:tcMar>
            <w:vAlign w:val="center"/>
          </w:tcPr>
          <w:p>
            <w:pPr>
              <w:adjustRightInd w:val="0"/>
              <w:snapToGrid w:val="0"/>
              <w:jc w:val="center"/>
              <w:rPr>
                <w:color w:val="auto"/>
                <w:sz w:val="24"/>
                <w:highlight w:val="none"/>
              </w:rPr>
            </w:pPr>
            <w:r>
              <w:rPr>
                <w:color w:val="auto"/>
                <w:spacing w:val="-6"/>
                <w:sz w:val="24"/>
                <w:highlight w:val="none"/>
              </w:rPr>
              <w:t>用地面积（m</w:t>
            </w:r>
            <w:r>
              <w:rPr>
                <w:color w:val="auto"/>
                <w:spacing w:val="-6"/>
                <w:sz w:val="24"/>
                <w:highlight w:val="none"/>
                <w:vertAlign w:val="superscript"/>
              </w:rPr>
              <w:t>2</w:t>
            </w:r>
            <w:r>
              <w:rPr>
                <w:color w:val="auto"/>
                <w:spacing w:val="-6"/>
                <w:sz w:val="24"/>
                <w:highlight w:val="none"/>
              </w:rPr>
              <w:t>）</w:t>
            </w:r>
          </w:p>
        </w:tc>
        <w:tc>
          <w:tcPr>
            <w:tcW w:w="3744" w:type="dxa"/>
            <w:vAlign w:val="center"/>
          </w:tcPr>
          <w:p>
            <w:pPr>
              <w:adjustRightInd w:val="0"/>
              <w:snapToGrid w:val="0"/>
              <w:jc w:val="center"/>
              <w:rPr>
                <w:color w:val="auto"/>
                <w:sz w:val="24"/>
                <w:highlight w:val="none"/>
              </w:rPr>
            </w:pPr>
            <w:r>
              <w:rPr>
                <w:rFonts w:hint="eastAsia"/>
                <w:color w:val="auto"/>
                <w:sz w:val="24"/>
                <w:highlight w:val="none"/>
              </w:rPr>
              <w:t>厂区预留区域内进行，不新增占地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gridSpan w:val="2"/>
            <w:vAlign w:val="center"/>
          </w:tcPr>
          <w:p>
            <w:pPr>
              <w:autoSpaceDE w:val="0"/>
              <w:autoSpaceDN w:val="0"/>
              <w:adjustRightInd w:val="0"/>
              <w:snapToGrid w:val="0"/>
              <w:jc w:val="center"/>
              <w:rPr>
                <w:color w:val="auto"/>
                <w:kern w:val="0"/>
                <w:sz w:val="24"/>
                <w:highlight w:val="none"/>
              </w:rPr>
            </w:pPr>
            <w:r>
              <w:rPr>
                <w:color w:val="auto"/>
                <w:kern w:val="0"/>
                <w:sz w:val="24"/>
                <w:highlight w:val="none"/>
              </w:rPr>
              <w:t>专项评价设置情况</w:t>
            </w:r>
          </w:p>
        </w:tc>
        <w:tc>
          <w:tcPr>
            <w:tcW w:w="7111" w:type="dxa"/>
            <w:gridSpan w:val="3"/>
            <w:vAlign w:val="center"/>
          </w:tcPr>
          <w:p>
            <w:pPr>
              <w:autoSpaceDE w:val="0"/>
              <w:autoSpaceDN w:val="0"/>
              <w:adjustRightInd w:val="0"/>
              <w:snapToGrid w:val="0"/>
              <w:jc w:val="center"/>
              <w:rPr>
                <w:color w:val="auto"/>
                <w:kern w:val="0"/>
                <w:sz w:val="24"/>
                <w:highlight w:val="none"/>
              </w:rPr>
            </w:pPr>
            <w:r>
              <w:rPr>
                <w:rFonts w:hint="eastAsia"/>
                <w:color w:val="auto"/>
                <w:kern w:val="0"/>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gridSpan w:val="2"/>
            <w:vAlign w:val="center"/>
          </w:tcPr>
          <w:p>
            <w:pPr>
              <w:autoSpaceDE w:val="0"/>
              <w:autoSpaceDN w:val="0"/>
              <w:adjustRightInd w:val="0"/>
              <w:snapToGrid w:val="0"/>
              <w:jc w:val="center"/>
              <w:rPr>
                <w:color w:val="auto"/>
                <w:kern w:val="0"/>
                <w:sz w:val="24"/>
                <w:highlight w:val="none"/>
              </w:rPr>
            </w:pPr>
            <w:r>
              <w:rPr>
                <w:color w:val="auto"/>
                <w:sz w:val="24"/>
                <w:highlight w:val="none"/>
              </w:rPr>
              <w:t>规划情况</w:t>
            </w:r>
          </w:p>
        </w:tc>
        <w:tc>
          <w:tcPr>
            <w:tcW w:w="7111" w:type="dxa"/>
            <w:gridSpan w:val="3"/>
            <w:vAlign w:val="bottom"/>
          </w:tcPr>
          <w:p>
            <w:pPr>
              <w:adjustRightInd w:val="0"/>
              <w:snapToGrid w:val="0"/>
              <w:jc w:val="center"/>
              <w:rPr>
                <w:color w:val="auto"/>
                <w:highlight w:val="none"/>
              </w:rPr>
            </w:pPr>
            <w:r>
              <w:rPr>
                <w:rFonts w:hint="eastAsia"/>
                <w:color w:val="auto"/>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gridSpan w:val="2"/>
            <w:vAlign w:val="center"/>
          </w:tcPr>
          <w:p>
            <w:pPr>
              <w:adjustRightInd w:val="0"/>
              <w:snapToGrid w:val="0"/>
              <w:jc w:val="center"/>
              <w:rPr>
                <w:color w:val="auto"/>
                <w:sz w:val="24"/>
                <w:highlight w:val="none"/>
              </w:rPr>
            </w:pPr>
            <w:r>
              <w:rPr>
                <w:color w:val="auto"/>
                <w:sz w:val="24"/>
                <w:highlight w:val="none"/>
              </w:rPr>
              <w:t>规划环境影响</w:t>
            </w:r>
          </w:p>
          <w:p>
            <w:pPr>
              <w:adjustRightInd w:val="0"/>
              <w:snapToGrid w:val="0"/>
              <w:jc w:val="center"/>
              <w:rPr>
                <w:color w:val="auto"/>
                <w:kern w:val="0"/>
                <w:sz w:val="24"/>
                <w:highlight w:val="none"/>
              </w:rPr>
            </w:pPr>
            <w:r>
              <w:rPr>
                <w:color w:val="auto"/>
                <w:sz w:val="24"/>
                <w:highlight w:val="none"/>
              </w:rPr>
              <w:t>评价情况</w:t>
            </w:r>
          </w:p>
        </w:tc>
        <w:tc>
          <w:tcPr>
            <w:tcW w:w="7111" w:type="dxa"/>
            <w:gridSpan w:val="3"/>
            <w:vAlign w:val="center"/>
          </w:tcPr>
          <w:p>
            <w:pPr>
              <w:spacing w:line="360" w:lineRule="auto"/>
              <w:jc w:val="center"/>
              <w:rPr>
                <w:color w:val="auto"/>
                <w:kern w:val="0"/>
                <w:highlight w:val="none"/>
              </w:rPr>
            </w:pPr>
            <w:r>
              <w:rPr>
                <w:rFonts w:hint="eastAsia"/>
                <w:color w:val="auto"/>
                <w:kern w:val="0"/>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59" w:type="dxa"/>
            <w:gridSpan w:val="2"/>
            <w:vAlign w:val="center"/>
          </w:tcPr>
          <w:p>
            <w:pPr>
              <w:autoSpaceDE w:val="0"/>
              <w:autoSpaceDN w:val="0"/>
              <w:adjustRightInd w:val="0"/>
              <w:snapToGrid w:val="0"/>
              <w:jc w:val="center"/>
              <w:rPr>
                <w:color w:val="auto"/>
                <w:kern w:val="0"/>
                <w:sz w:val="24"/>
                <w:highlight w:val="none"/>
              </w:rPr>
            </w:pPr>
            <w:r>
              <w:rPr>
                <w:color w:val="auto"/>
                <w:kern w:val="0"/>
                <w:sz w:val="24"/>
                <w:highlight w:val="none"/>
              </w:rPr>
              <w:t>规划及规划环境影响评价符合性分析</w:t>
            </w:r>
          </w:p>
        </w:tc>
        <w:tc>
          <w:tcPr>
            <w:tcW w:w="7111" w:type="dxa"/>
            <w:gridSpan w:val="3"/>
            <w:vAlign w:val="center"/>
          </w:tcPr>
          <w:p>
            <w:pPr>
              <w:autoSpaceDE w:val="0"/>
              <w:autoSpaceDN w:val="0"/>
              <w:adjustRightInd w:val="0"/>
              <w:snapToGrid w:val="0"/>
              <w:jc w:val="center"/>
              <w:rPr>
                <w:color w:val="auto"/>
                <w:kern w:val="0"/>
                <w:sz w:val="24"/>
                <w:highlight w:val="none"/>
              </w:rPr>
            </w:pPr>
            <w:r>
              <w:rPr>
                <w:rFonts w:hint="eastAsia"/>
                <w:color w:val="auto"/>
                <w:kern w:val="0"/>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7" w:type="dxa"/>
            <w:vAlign w:val="center"/>
          </w:tcPr>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rPr>
                <w:color w:val="auto"/>
                <w:kern w:val="0"/>
                <w:sz w:val="24"/>
                <w:highlight w:val="none"/>
              </w:rPr>
            </w:pPr>
          </w:p>
          <w:p>
            <w:pPr>
              <w:pStyle w:val="2"/>
              <w:rPr>
                <w:color w:val="auto"/>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r>
              <w:rPr>
                <w:color w:val="auto"/>
                <w:kern w:val="0"/>
                <w:sz w:val="24"/>
                <w:highlight w:val="none"/>
              </w:rPr>
              <w:t>其</w:t>
            </w:r>
          </w:p>
          <w:p>
            <w:pPr>
              <w:autoSpaceDE w:val="0"/>
              <w:autoSpaceDN w:val="0"/>
              <w:adjustRightInd w:val="0"/>
              <w:snapToGrid w:val="0"/>
              <w:jc w:val="center"/>
              <w:rPr>
                <w:color w:val="auto"/>
                <w:kern w:val="0"/>
                <w:sz w:val="24"/>
                <w:highlight w:val="none"/>
              </w:rPr>
            </w:pPr>
            <w:r>
              <w:rPr>
                <w:color w:val="auto"/>
                <w:kern w:val="0"/>
                <w:sz w:val="24"/>
                <w:highlight w:val="none"/>
              </w:rPr>
              <w:t>他</w:t>
            </w:r>
          </w:p>
          <w:p>
            <w:pPr>
              <w:autoSpaceDE w:val="0"/>
              <w:autoSpaceDN w:val="0"/>
              <w:adjustRightInd w:val="0"/>
              <w:snapToGrid w:val="0"/>
              <w:jc w:val="center"/>
              <w:rPr>
                <w:color w:val="auto"/>
                <w:kern w:val="0"/>
                <w:sz w:val="24"/>
                <w:highlight w:val="none"/>
              </w:rPr>
            </w:pPr>
            <w:r>
              <w:rPr>
                <w:color w:val="auto"/>
                <w:kern w:val="0"/>
                <w:sz w:val="24"/>
                <w:highlight w:val="none"/>
              </w:rPr>
              <w:t>符</w:t>
            </w:r>
          </w:p>
          <w:p>
            <w:pPr>
              <w:autoSpaceDE w:val="0"/>
              <w:autoSpaceDN w:val="0"/>
              <w:adjustRightInd w:val="0"/>
              <w:snapToGrid w:val="0"/>
              <w:jc w:val="center"/>
              <w:rPr>
                <w:color w:val="auto"/>
                <w:kern w:val="0"/>
                <w:sz w:val="24"/>
                <w:highlight w:val="none"/>
              </w:rPr>
            </w:pPr>
            <w:r>
              <w:rPr>
                <w:color w:val="auto"/>
                <w:kern w:val="0"/>
                <w:sz w:val="24"/>
                <w:highlight w:val="none"/>
              </w:rPr>
              <w:t>合</w:t>
            </w:r>
          </w:p>
          <w:p>
            <w:pPr>
              <w:autoSpaceDE w:val="0"/>
              <w:autoSpaceDN w:val="0"/>
              <w:adjustRightInd w:val="0"/>
              <w:snapToGrid w:val="0"/>
              <w:jc w:val="center"/>
              <w:rPr>
                <w:color w:val="auto"/>
                <w:kern w:val="0"/>
                <w:sz w:val="24"/>
                <w:highlight w:val="none"/>
              </w:rPr>
            </w:pPr>
            <w:r>
              <w:rPr>
                <w:color w:val="auto"/>
                <w:kern w:val="0"/>
                <w:sz w:val="24"/>
                <w:highlight w:val="none"/>
              </w:rPr>
              <w:t>性</w:t>
            </w:r>
          </w:p>
          <w:p>
            <w:pPr>
              <w:autoSpaceDE w:val="0"/>
              <w:autoSpaceDN w:val="0"/>
              <w:adjustRightInd w:val="0"/>
              <w:snapToGrid w:val="0"/>
              <w:jc w:val="center"/>
              <w:rPr>
                <w:color w:val="auto"/>
                <w:kern w:val="0"/>
                <w:sz w:val="24"/>
                <w:highlight w:val="none"/>
              </w:rPr>
            </w:pPr>
            <w:r>
              <w:rPr>
                <w:color w:val="auto"/>
                <w:kern w:val="0"/>
                <w:sz w:val="24"/>
                <w:highlight w:val="none"/>
              </w:rPr>
              <w:t>分</w:t>
            </w:r>
          </w:p>
          <w:p>
            <w:pPr>
              <w:autoSpaceDE w:val="0"/>
              <w:autoSpaceDN w:val="0"/>
              <w:adjustRightInd w:val="0"/>
              <w:snapToGrid w:val="0"/>
              <w:jc w:val="center"/>
              <w:rPr>
                <w:color w:val="auto"/>
                <w:kern w:val="0"/>
                <w:sz w:val="24"/>
                <w:highlight w:val="none"/>
              </w:rPr>
            </w:pPr>
            <w:r>
              <w:rPr>
                <w:color w:val="auto"/>
                <w:kern w:val="0"/>
                <w:sz w:val="24"/>
                <w:highlight w:val="none"/>
              </w:rPr>
              <w:t>析</w:t>
            </w: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r>
              <w:rPr>
                <w:color w:val="auto"/>
                <w:kern w:val="0"/>
                <w:sz w:val="24"/>
                <w:highlight w:val="none"/>
              </w:rPr>
              <w:t>其</w:t>
            </w:r>
          </w:p>
          <w:p>
            <w:pPr>
              <w:autoSpaceDE w:val="0"/>
              <w:autoSpaceDN w:val="0"/>
              <w:adjustRightInd w:val="0"/>
              <w:snapToGrid w:val="0"/>
              <w:jc w:val="center"/>
              <w:rPr>
                <w:color w:val="auto"/>
                <w:kern w:val="0"/>
                <w:sz w:val="24"/>
                <w:highlight w:val="none"/>
              </w:rPr>
            </w:pPr>
            <w:r>
              <w:rPr>
                <w:color w:val="auto"/>
                <w:kern w:val="0"/>
                <w:sz w:val="24"/>
                <w:highlight w:val="none"/>
              </w:rPr>
              <w:t>他</w:t>
            </w:r>
          </w:p>
          <w:p>
            <w:pPr>
              <w:autoSpaceDE w:val="0"/>
              <w:autoSpaceDN w:val="0"/>
              <w:adjustRightInd w:val="0"/>
              <w:snapToGrid w:val="0"/>
              <w:jc w:val="center"/>
              <w:rPr>
                <w:color w:val="auto"/>
                <w:kern w:val="0"/>
                <w:sz w:val="24"/>
                <w:highlight w:val="none"/>
              </w:rPr>
            </w:pPr>
            <w:r>
              <w:rPr>
                <w:color w:val="auto"/>
                <w:kern w:val="0"/>
                <w:sz w:val="24"/>
                <w:highlight w:val="none"/>
              </w:rPr>
              <w:t>符</w:t>
            </w:r>
          </w:p>
          <w:p>
            <w:pPr>
              <w:autoSpaceDE w:val="0"/>
              <w:autoSpaceDN w:val="0"/>
              <w:adjustRightInd w:val="0"/>
              <w:snapToGrid w:val="0"/>
              <w:jc w:val="center"/>
              <w:rPr>
                <w:color w:val="auto"/>
                <w:kern w:val="0"/>
                <w:sz w:val="24"/>
                <w:highlight w:val="none"/>
              </w:rPr>
            </w:pPr>
            <w:r>
              <w:rPr>
                <w:color w:val="auto"/>
                <w:kern w:val="0"/>
                <w:sz w:val="24"/>
                <w:highlight w:val="none"/>
              </w:rPr>
              <w:t>合</w:t>
            </w:r>
          </w:p>
          <w:p>
            <w:pPr>
              <w:autoSpaceDE w:val="0"/>
              <w:autoSpaceDN w:val="0"/>
              <w:adjustRightInd w:val="0"/>
              <w:snapToGrid w:val="0"/>
              <w:jc w:val="center"/>
              <w:rPr>
                <w:color w:val="auto"/>
                <w:kern w:val="0"/>
                <w:sz w:val="24"/>
                <w:highlight w:val="none"/>
              </w:rPr>
            </w:pPr>
            <w:r>
              <w:rPr>
                <w:color w:val="auto"/>
                <w:kern w:val="0"/>
                <w:sz w:val="24"/>
                <w:highlight w:val="none"/>
              </w:rPr>
              <w:t>性</w:t>
            </w:r>
          </w:p>
          <w:p>
            <w:pPr>
              <w:autoSpaceDE w:val="0"/>
              <w:autoSpaceDN w:val="0"/>
              <w:adjustRightInd w:val="0"/>
              <w:snapToGrid w:val="0"/>
              <w:jc w:val="center"/>
              <w:rPr>
                <w:color w:val="auto"/>
                <w:kern w:val="0"/>
                <w:sz w:val="24"/>
                <w:highlight w:val="none"/>
              </w:rPr>
            </w:pPr>
            <w:r>
              <w:rPr>
                <w:color w:val="auto"/>
                <w:kern w:val="0"/>
                <w:sz w:val="24"/>
                <w:highlight w:val="none"/>
              </w:rPr>
              <w:t>分</w:t>
            </w:r>
          </w:p>
          <w:p>
            <w:pPr>
              <w:autoSpaceDE w:val="0"/>
              <w:autoSpaceDN w:val="0"/>
              <w:adjustRightInd w:val="0"/>
              <w:snapToGrid w:val="0"/>
              <w:jc w:val="center"/>
              <w:rPr>
                <w:color w:val="auto"/>
                <w:kern w:val="0"/>
                <w:sz w:val="24"/>
                <w:highlight w:val="none"/>
              </w:rPr>
            </w:pPr>
            <w:r>
              <w:rPr>
                <w:color w:val="auto"/>
                <w:kern w:val="0"/>
                <w:sz w:val="24"/>
                <w:highlight w:val="none"/>
              </w:rPr>
              <w:t>析</w:t>
            </w: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jc w:val="center"/>
              <w:rPr>
                <w:color w:val="auto"/>
                <w:kern w:val="0"/>
                <w:sz w:val="24"/>
                <w:highlight w:val="none"/>
              </w:rPr>
            </w:pPr>
          </w:p>
          <w:p>
            <w:pPr>
              <w:autoSpaceDE w:val="0"/>
              <w:autoSpaceDN w:val="0"/>
              <w:adjustRightInd w:val="0"/>
              <w:snapToGrid w:val="0"/>
              <w:rPr>
                <w:color w:val="auto"/>
                <w:kern w:val="0"/>
                <w:sz w:val="24"/>
                <w:highlight w:val="none"/>
              </w:rPr>
            </w:pPr>
          </w:p>
        </w:tc>
        <w:tc>
          <w:tcPr>
            <w:tcW w:w="8253" w:type="dxa"/>
            <w:gridSpan w:val="4"/>
          </w:tcPr>
          <w:p>
            <w:pPr>
              <w:adjustRightInd w:val="0"/>
              <w:snapToGrid w:val="0"/>
              <w:spacing w:line="360" w:lineRule="auto"/>
              <w:ind w:firstLine="480" w:firstLineChars="200"/>
              <w:rPr>
                <w:color w:val="auto"/>
                <w:sz w:val="24"/>
                <w:highlight w:val="none"/>
              </w:rPr>
            </w:pPr>
            <w:r>
              <w:rPr>
                <w:color w:val="auto"/>
                <w:sz w:val="24"/>
                <w:highlight w:val="none"/>
              </w:rPr>
              <w:t>1、产业政策符合性</w:t>
            </w:r>
          </w:p>
          <w:p>
            <w:pPr>
              <w:snapToGrid w:val="0"/>
              <w:spacing w:line="360" w:lineRule="auto"/>
              <w:ind w:firstLine="480" w:firstLineChars="200"/>
              <w:rPr>
                <w:color w:val="auto"/>
                <w:sz w:val="24"/>
                <w:highlight w:val="none"/>
              </w:rPr>
            </w:pPr>
            <w:r>
              <w:rPr>
                <w:rFonts w:hint="eastAsia"/>
                <w:color w:val="auto"/>
                <w:sz w:val="24"/>
                <w:highlight w:val="none"/>
              </w:rPr>
              <w:t>本项目为泥</w:t>
            </w:r>
            <w:r>
              <w:rPr>
                <w:rFonts w:hint="eastAsia"/>
                <w:color w:val="auto"/>
                <w:sz w:val="24"/>
                <w:highlight w:val="none"/>
                <w:lang w:eastAsia="zh-CN"/>
              </w:rPr>
              <w:t>砂</w:t>
            </w:r>
            <w:r>
              <w:rPr>
                <w:rFonts w:hint="eastAsia"/>
                <w:color w:val="auto"/>
                <w:sz w:val="24"/>
                <w:highlight w:val="none"/>
              </w:rPr>
              <w:t>分离项目，根据《产业结构调整指导目录（2019本）》（2021年修改），</w:t>
            </w:r>
            <w:r>
              <w:rPr>
                <w:rFonts w:hint="eastAsia" w:cs="宋体"/>
                <w:color w:val="auto"/>
                <w:sz w:val="24"/>
                <w:highlight w:val="none"/>
              </w:rPr>
              <w:t>本项目不属于目录中的限制及淘汰类项目，为允许类项目</w:t>
            </w:r>
            <w:r>
              <w:rPr>
                <w:rFonts w:hint="eastAsia"/>
                <w:color w:val="auto"/>
                <w:sz w:val="24"/>
                <w:highlight w:val="none"/>
              </w:rPr>
              <w:t>，故本项目建设符合国家产业政策。此外，</w:t>
            </w:r>
            <w:r>
              <w:rPr>
                <w:color w:val="auto"/>
                <w:sz w:val="24"/>
                <w:highlight w:val="none"/>
              </w:rPr>
              <w:t>本项目已取得陕西省企业投资项目备案确认书（</w:t>
            </w:r>
            <w:r>
              <w:rPr>
                <w:rFonts w:hint="eastAsia"/>
                <w:color w:val="auto"/>
                <w:sz w:val="24"/>
                <w:highlight w:val="none"/>
              </w:rPr>
              <w:t>2305-610723-04-02-116371</w:t>
            </w:r>
            <w:r>
              <w:rPr>
                <w:color w:val="auto"/>
                <w:sz w:val="24"/>
                <w:highlight w:val="none"/>
              </w:rPr>
              <w:t>），项目符合地方产业政策。</w:t>
            </w:r>
            <w:r>
              <w:rPr>
                <w:rFonts w:hint="eastAsia"/>
                <w:color w:val="auto"/>
                <w:sz w:val="24"/>
                <w:highlight w:val="none"/>
              </w:rPr>
              <w:t xml:space="preserve"> </w:t>
            </w:r>
          </w:p>
          <w:p>
            <w:pPr>
              <w:pStyle w:val="42"/>
              <w:spacing w:line="360" w:lineRule="auto"/>
              <w:ind w:firstLine="480" w:firstLineChars="200"/>
              <w:rPr>
                <w:color w:val="auto"/>
                <w:highlight w:val="none"/>
              </w:rPr>
            </w:pPr>
            <w:r>
              <w:rPr>
                <w:color w:val="auto"/>
                <w:highlight w:val="none"/>
              </w:rPr>
              <w:t>综上，本项目符合国家与地方</w:t>
            </w:r>
            <w:r>
              <w:rPr>
                <w:rFonts w:hint="eastAsia"/>
                <w:color w:val="auto"/>
                <w:highlight w:val="none"/>
              </w:rPr>
              <w:t>现行</w:t>
            </w:r>
            <w:r>
              <w:rPr>
                <w:color w:val="auto"/>
                <w:highlight w:val="none"/>
              </w:rPr>
              <w:t>产业政策。</w:t>
            </w:r>
          </w:p>
          <w:p>
            <w:pPr>
              <w:numPr>
                <w:ilvl w:val="0"/>
                <w:numId w:val="1"/>
              </w:numPr>
              <w:autoSpaceDE w:val="0"/>
              <w:autoSpaceDN w:val="0"/>
              <w:adjustRightInd w:val="0"/>
              <w:snapToGrid w:val="0"/>
              <w:spacing w:line="360" w:lineRule="auto"/>
              <w:ind w:firstLine="480" w:firstLineChars="200"/>
              <w:rPr>
                <w:color w:val="auto"/>
                <w:sz w:val="24"/>
                <w:highlight w:val="none"/>
              </w:rPr>
            </w:pPr>
            <w:r>
              <w:rPr>
                <w:color w:val="auto"/>
                <w:sz w:val="24"/>
                <w:highlight w:val="none"/>
              </w:rPr>
              <w:t>“三线一单”符合性分析</w:t>
            </w:r>
          </w:p>
          <w:p>
            <w:pPr>
              <w:autoSpaceDE w:val="0"/>
              <w:autoSpaceDN w:val="0"/>
              <w:adjustRightInd w:val="0"/>
              <w:snapToGrid w:val="0"/>
              <w:spacing w:line="360" w:lineRule="auto"/>
              <w:ind w:firstLine="480" w:firstLineChars="200"/>
              <w:rPr>
                <w:b/>
                <w:bCs/>
                <w:color w:val="auto"/>
                <w:sz w:val="24"/>
                <w:highlight w:val="none"/>
              </w:rPr>
            </w:pPr>
            <w:r>
              <w:rPr>
                <w:rFonts w:hint="eastAsia"/>
                <w:color w:val="auto"/>
                <w:sz w:val="24"/>
                <w:highlight w:val="none"/>
              </w:rPr>
              <w:t>根据《关于以改善环境质量为核心加强环境影响评价管理的通知》（环环评[2016]150号）规定，建设项目“三线一单”相符性分析如下：</w:t>
            </w:r>
          </w:p>
          <w:p>
            <w:pPr>
              <w:autoSpaceDE w:val="0"/>
              <w:autoSpaceDN w:val="0"/>
              <w:adjustRightInd w:val="0"/>
              <w:snapToGrid w:val="0"/>
              <w:jc w:val="center"/>
              <w:rPr>
                <w:color w:val="auto"/>
                <w:highlight w:val="none"/>
              </w:rPr>
            </w:pPr>
            <w:r>
              <w:rPr>
                <w:b/>
                <w:bCs/>
                <w:color w:val="auto"/>
                <w:szCs w:val="21"/>
                <w:highlight w:val="none"/>
              </w:rPr>
              <w:t>表</w:t>
            </w:r>
            <w:r>
              <w:rPr>
                <w:rFonts w:hint="eastAsia"/>
                <w:b/>
                <w:bCs/>
                <w:color w:val="auto"/>
                <w:szCs w:val="21"/>
                <w:highlight w:val="none"/>
              </w:rPr>
              <w:t xml:space="preserve">1-1  </w:t>
            </w:r>
            <w:r>
              <w:rPr>
                <w:b/>
                <w:bCs/>
                <w:color w:val="auto"/>
                <w:szCs w:val="21"/>
                <w:highlight w:val="none"/>
              </w:rPr>
              <w:t>与</w:t>
            </w:r>
            <w:r>
              <w:rPr>
                <w:rFonts w:hint="eastAsia"/>
                <w:b/>
                <w:bCs/>
                <w:color w:val="auto"/>
                <w:szCs w:val="21"/>
                <w:highlight w:val="none"/>
              </w:rPr>
              <w:t>“三线一单”的符合性分析</w:t>
            </w:r>
          </w:p>
          <w:tbl>
            <w:tblPr>
              <w:tblStyle w:val="34"/>
              <w:tblW w:w="81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563"/>
              <w:gridCol w:w="2219"/>
              <w:gridCol w:w="7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8" w:type="dxa"/>
                  <w:vMerge w:val="restart"/>
                  <w:vAlign w:val="center"/>
                </w:tcPr>
                <w:p>
                  <w:pPr>
                    <w:adjustRightInd w:val="0"/>
                    <w:snapToGrid w:val="0"/>
                    <w:jc w:val="center"/>
                    <w:rPr>
                      <w:color w:val="auto"/>
                      <w:szCs w:val="21"/>
                      <w:highlight w:val="none"/>
                    </w:rPr>
                  </w:pPr>
                  <w:r>
                    <w:rPr>
                      <w:color w:val="auto"/>
                      <w:highlight w:val="none"/>
                    </w:rPr>
                    <w:t>强化“三线一单”约束作用</w:t>
                  </w:r>
                </w:p>
              </w:tc>
              <w:tc>
                <w:tcPr>
                  <w:tcW w:w="4563" w:type="dxa"/>
                  <w:vAlign w:val="center"/>
                </w:tcPr>
                <w:p>
                  <w:pPr>
                    <w:autoSpaceDE w:val="0"/>
                    <w:autoSpaceDN w:val="0"/>
                    <w:adjustRightInd w:val="0"/>
                    <w:snapToGrid w:val="0"/>
                    <w:jc w:val="center"/>
                    <w:rPr>
                      <w:color w:val="auto"/>
                      <w:szCs w:val="21"/>
                      <w:highlight w:val="none"/>
                    </w:rPr>
                  </w:pPr>
                  <w:r>
                    <w:rPr>
                      <w:rFonts w:hint="eastAsia"/>
                      <w:color w:val="auto"/>
                      <w:highlight w:val="none"/>
                    </w:rPr>
                    <w:t>“三线一单”约束作用</w:t>
                  </w:r>
                </w:p>
              </w:tc>
              <w:tc>
                <w:tcPr>
                  <w:tcW w:w="2219" w:type="dxa"/>
                  <w:vAlign w:val="center"/>
                </w:tcPr>
                <w:p>
                  <w:pPr>
                    <w:autoSpaceDE w:val="0"/>
                    <w:autoSpaceDN w:val="0"/>
                    <w:adjustRightInd w:val="0"/>
                    <w:snapToGrid w:val="0"/>
                    <w:jc w:val="center"/>
                    <w:rPr>
                      <w:color w:val="auto"/>
                      <w:szCs w:val="21"/>
                      <w:highlight w:val="none"/>
                    </w:rPr>
                  </w:pPr>
                  <w:r>
                    <w:rPr>
                      <w:color w:val="auto"/>
                      <w:highlight w:val="none"/>
                    </w:rPr>
                    <w:t>本项目情况</w:t>
                  </w:r>
                </w:p>
              </w:tc>
              <w:tc>
                <w:tcPr>
                  <w:tcW w:w="727" w:type="dxa"/>
                  <w:vAlign w:val="center"/>
                </w:tcPr>
                <w:p>
                  <w:pPr>
                    <w:autoSpaceDE w:val="0"/>
                    <w:autoSpaceDN w:val="0"/>
                    <w:adjustRightInd w:val="0"/>
                    <w:snapToGrid w:val="0"/>
                    <w:jc w:val="center"/>
                    <w:rPr>
                      <w:color w:val="auto"/>
                      <w:szCs w:val="21"/>
                      <w:highlight w:val="none"/>
                    </w:rPr>
                  </w:pPr>
                  <w:r>
                    <w:rPr>
                      <w:color w:val="auto"/>
                      <w:highlight w:val="none"/>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8" w:type="dxa"/>
                  <w:vMerge w:val="continue"/>
                  <w:vAlign w:val="center"/>
                </w:tcPr>
                <w:p>
                  <w:pPr>
                    <w:adjustRightInd w:val="0"/>
                    <w:snapToGrid w:val="0"/>
                    <w:jc w:val="center"/>
                    <w:rPr>
                      <w:color w:val="auto"/>
                      <w:szCs w:val="21"/>
                      <w:highlight w:val="none"/>
                    </w:rPr>
                  </w:pPr>
                </w:p>
              </w:tc>
              <w:tc>
                <w:tcPr>
                  <w:tcW w:w="4563" w:type="dxa"/>
                  <w:vAlign w:val="center"/>
                </w:tcPr>
                <w:p>
                  <w:pPr>
                    <w:autoSpaceDE w:val="0"/>
                    <w:autoSpaceDN w:val="0"/>
                    <w:adjustRightInd w:val="0"/>
                    <w:snapToGrid w:val="0"/>
                    <w:spacing w:line="280" w:lineRule="exact"/>
                    <w:ind w:firstLine="420" w:firstLineChars="200"/>
                    <w:rPr>
                      <w:color w:val="auto"/>
                      <w:szCs w:val="21"/>
                      <w:highlight w:val="none"/>
                    </w:rPr>
                  </w:pPr>
                  <w:r>
                    <w:rPr>
                      <w:color w:val="auto"/>
                      <w:highlight w:val="no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2219" w:type="dxa"/>
                  <w:vAlign w:val="center"/>
                </w:tcPr>
                <w:p>
                  <w:pPr>
                    <w:widowControl/>
                    <w:adjustRightInd w:val="0"/>
                    <w:snapToGrid w:val="0"/>
                    <w:rPr>
                      <w:color w:val="auto"/>
                      <w:szCs w:val="21"/>
                      <w:highlight w:val="none"/>
                    </w:rPr>
                  </w:pPr>
                  <w:r>
                    <w:rPr>
                      <w:color w:val="auto"/>
                      <w:highlight w:val="none"/>
                    </w:rPr>
                    <w:t>本项目</w:t>
                  </w:r>
                  <w:r>
                    <w:rPr>
                      <w:rFonts w:hint="eastAsia"/>
                      <w:color w:val="auto"/>
                      <w:highlight w:val="none"/>
                    </w:rPr>
                    <w:t>位于汉中市洋县磨子桥镇冯杨村二组（附图1），经对比</w:t>
                  </w:r>
                  <w:r>
                    <w:rPr>
                      <w:rFonts w:hint="eastAsia" w:ascii="宋体" w:hAnsi="宋体" w:cs="宋体"/>
                      <w:color w:val="auto"/>
                      <w:kern w:val="0"/>
                      <w:szCs w:val="21"/>
                      <w:highlight w:val="none"/>
                    </w:rPr>
                    <w:t>不在生态保护红线范围内。</w:t>
                  </w:r>
                </w:p>
              </w:tc>
              <w:tc>
                <w:tcPr>
                  <w:tcW w:w="727" w:type="dxa"/>
                  <w:vAlign w:val="center"/>
                </w:tcPr>
                <w:p>
                  <w:pPr>
                    <w:adjustRightInd w:val="0"/>
                    <w:snapToGrid w:val="0"/>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8" w:type="dxa"/>
                  <w:vMerge w:val="continue"/>
                  <w:vAlign w:val="center"/>
                </w:tcPr>
                <w:p>
                  <w:pPr>
                    <w:adjustRightInd w:val="0"/>
                    <w:snapToGrid w:val="0"/>
                    <w:jc w:val="center"/>
                    <w:rPr>
                      <w:color w:val="auto"/>
                      <w:szCs w:val="21"/>
                      <w:highlight w:val="none"/>
                    </w:rPr>
                  </w:pPr>
                </w:p>
              </w:tc>
              <w:tc>
                <w:tcPr>
                  <w:tcW w:w="4563" w:type="dxa"/>
                  <w:vAlign w:val="center"/>
                </w:tcPr>
                <w:p>
                  <w:pPr>
                    <w:widowControl/>
                    <w:adjustRightInd w:val="0"/>
                    <w:snapToGrid w:val="0"/>
                    <w:spacing w:line="280" w:lineRule="exact"/>
                    <w:ind w:firstLine="420" w:firstLineChars="200"/>
                    <w:rPr>
                      <w:color w:val="auto"/>
                      <w:szCs w:val="21"/>
                      <w:highlight w:val="none"/>
                    </w:rPr>
                  </w:pPr>
                  <w:r>
                    <w:rPr>
                      <w:color w:val="auto"/>
                      <w:highlight w:val="none"/>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2219" w:type="dxa"/>
                  <w:vAlign w:val="center"/>
                </w:tcPr>
                <w:p>
                  <w:pPr>
                    <w:pStyle w:val="42"/>
                    <w:widowControl/>
                    <w:snapToGrid w:val="0"/>
                    <w:jc w:val="both"/>
                    <w:rPr>
                      <w:color w:val="auto"/>
                      <w:szCs w:val="21"/>
                      <w:highlight w:val="none"/>
                    </w:rPr>
                  </w:pPr>
                  <w:r>
                    <w:rPr>
                      <w:rFonts w:ascii="Times New Roman" w:cs="Times New Roman"/>
                      <w:color w:val="auto"/>
                      <w:sz w:val="21"/>
                      <w:szCs w:val="21"/>
                      <w:highlight w:val="none"/>
                    </w:rPr>
                    <w:t>项目在采取报告中提出的各项污染防治措施后，不会对周围环境造成明显影响，</w:t>
                  </w:r>
                  <w:r>
                    <w:rPr>
                      <w:rFonts w:hint="eastAsia" w:ascii="Times New Roman" w:cs="Times New Roman"/>
                      <w:color w:val="auto"/>
                      <w:sz w:val="21"/>
                      <w:szCs w:val="21"/>
                      <w:highlight w:val="none"/>
                    </w:rPr>
                    <w:t>项目不会突破环境质量底线。</w:t>
                  </w:r>
                </w:p>
              </w:tc>
              <w:tc>
                <w:tcPr>
                  <w:tcW w:w="727" w:type="dxa"/>
                  <w:vAlign w:val="center"/>
                </w:tcPr>
                <w:p>
                  <w:pPr>
                    <w:adjustRightInd w:val="0"/>
                    <w:snapToGrid w:val="0"/>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8" w:type="dxa"/>
                  <w:vMerge w:val="continue"/>
                  <w:vAlign w:val="center"/>
                </w:tcPr>
                <w:p>
                  <w:pPr>
                    <w:adjustRightInd w:val="0"/>
                    <w:snapToGrid w:val="0"/>
                    <w:jc w:val="center"/>
                    <w:rPr>
                      <w:color w:val="auto"/>
                      <w:szCs w:val="21"/>
                      <w:highlight w:val="none"/>
                    </w:rPr>
                  </w:pPr>
                </w:p>
              </w:tc>
              <w:tc>
                <w:tcPr>
                  <w:tcW w:w="4563" w:type="dxa"/>
                  <w:vAlign w:val="center"/>
                </w:tcPr>
                <w:p>
                  <w:pPr>
                    <w:widowControl/>
                    <w:adjustRightInd w:val="0"/>
                    <w:snapToGrid w:val="0"/>
                    <w:spacing w:line="280" w:lineRule="exact"/>
                    <w:ind w:firstLine="420" w:firstLineChars="200"/>
                    <w:rPr>
                      <w:color w:val="auto"/>
                      <w:szCs w:val="21"/>
                      <w:highlight w:val="none"/>
                    </w:rPr>
                  </w:pPr>
                  <w:r>
                    <w:rPr>
                      <w:color w:val="auto"/>
                      <w:highlight w:val="non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219" w:type="dxa"/>
                  <w:vAlign w:val="center"/>
                </w:tcPr>
                <w:p>
                  <w:pPr>
                    <w:widowControl/>
                    <w:adjustRightInd w:val="0"/>
                    <w:snapToGrid w:val="0"/>
                    <w:rPr>
                      <w:color w:val="auto"/>
                      <w:szCs w:val="21"/>
                      <w:highlight w:val="none"/>
                    </w:rPr>
                  </w:pPr>
                  <w:r>
                    <w:rPr>
                      <w:rFonts w:hint="eastAsia"/>
                      <w:color w:val="auto"/>
                      <w:highlight w:val="none"/>
                    </w:rPr>
                    <w:t>本次扩建位于原有厂区用地范围内，不涉及新增占地，且原有用地性质为建设用地（详见附件）。运营期内电能、水、土地等不会突破资源利用上线。</w:t>
                  </w:r>
                </w:p>
              </w:tc>
              <w:tc>
                <w:tcPr>
                  <w:tcW w:w="727" w:type="dxa"/>
                  <w:vAlign w:val="center"/>
                </w:tcPr>
                <w:p>
                  <w:pPr>
                    <w:adjustRightInd w:val="0"/>
                    <w:snapToGrid w:val="0"/>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88" w:type="dxa"/>
                  <w:vMerge w:val="continue"/>
                  <w:vAlign w:val="center"/>
                </w:tcPr>
                <w:p>
                  <w:pPr>
                    <w:adjustRightInd w:val="0"/>
                    <w:snapToGrid w:val="0"/>
                    <w:jc w:val="center"/>
                    <w:rPr>
                      <w:color w:val="auto"/>
                      <w:szCs w:val="21"/>
                      <w:highlight w:val="none"/>
                    </w:rPr>
                  </w:pPr>
                </w:p>
              </w:tc>
              <w:tc>
                <w:tcPr>
                  <w:tcW w:w="4563" w:type="dxa"/>
                  <w:vAlign w:val="center"/>
                </w:tcPr>
                <w:p>
                  <w:pPr>
                    <w:widowControl/>
                    <w:adjustRightInd w:val="0"/>
                    <w:snapToGrid w:val="0"/>
                    <w:spacing w:line="280" w:lineRule="exact"/>
                    <w:ind w:firstLine="420" w:firstLineChars="200"/>
                    <w:rPr>
                      <w:color w:val="auto"/>
                      <w:szCs w:val="21"/>
                      <w:highlight w:val="none"/>
                    </w:rPr>
                  </w:pPr>
                  <w:r>
                    <w:rPr>
                      <w:color w:val="auto"/>
                      <w:highlight w:val="none"/>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2219" w:type="dxa"/>
                  <w:vAlign w:val="center"/>
                </w:tcPr>
                <w:p>
                  <w:pPr>
                    <w:widowControl/>
                    <w:adjustRightInd w:val="0"/>
                    <w:snapToGrid w:val="0"/>
                    <w:rPr>
                      <w:color w:val="auto"/>
                      <w:szCs w:val="21"/>
                      <w:highlight w:val="none"/>
                    </w:rPr>
                  </w:pPr>
                  <w:r>
                    <w:rPr>
                      <w:rFonts w:hAnsi="宋体"/>
                      <w:color w:val="auto"/>
                      <w:szCs w:val="21"/>
                      <w:highlight w:val="none"/>
                    </w:rPr>
                    <w:t>项目不</w:t>
                  </w:r>
                  <w:r>
                    <w:rPr>
                      <w:rFonts w:hint="eastAsia" w:hAnsi="宋体"/>
                      <w:color w:val="auto"/>
                      <w:szCs w:val="21"/>
                      <w:highlight w:val="none"/>
                    </w:rPr>
                    <w:t>属于《汉中市生态环境准入清单（试行）》中禁止与限制开发建设活动，且不属于</w:t>
                  </w:r>
                  <w:r>
                    <w:rPr>
                      <w:rFonts w:hAnsi="宋体"/>
                      <w:color w:val="auto"/>
                      <w:szCs w:val="21"/>
                      <w:highlight w:val="none"/>
                    </w:rPr>
                    <w:t>《陕西省</w:t>
                  </w:r>
                  <w:r>
                    <w:rPr>
                      <w:rFonts w:hint="eastAsia" w:hAnsi="宋体"/>
                      <w:color w:val="auto"/>
                      <w:szCs w:val="21"/>
                      <w:highlight w:val="none"/>
                    </w:rPr>
                    <w:t>洋县</w:t>
                  </w:r>
                  <w:r>
                    <w:rPr>
                      <w:rFonts w:hAnsi="宋体"/>
                      <w:color w:val="auto"/>
                      <w:szCs w:val="21"/>
                      <w:highlight w:val="none"/>
                    </w:rPr>
                    <w:t>重点生态功能区产业准入负面清单》</w:t>
                  </w:r>
                  <w:r>
                    <w:rPr>
                      <w:rFonts w:hint="eastAsia" w:hAnsi="宋体"/>
                      <w:color w:val="auto"/>
                      <w:szCs w:val="21"/>
                      <w:highlight w:val="none"/>
                    </w:rPr>
                    <w:t>规定的禁止与限制管控产业。</w:t>
                  </w:r>
                </w:p>
              </w:tc>
              <w:tc>
                <w:tcPr>
                  <w:tcW w:w="727" w:type="dxa"/>
                  <w:vAlign w:val="center"/>
                </w:tcPr>
                <w:p>
                  <w:pPr>
                    <w:adjustRightInd w:val="0"/>
                    <w:snapToGrid w:val="0"/>
                    <w:jc w:val="center"/>
                    <w:rPr>
                      <w:color w:val="auto"/>
                      <w:szCs w:val="21"/>
                      <w:highlight w:val="none"/>
                    </w:rPr>
                  </w:pPr>
                  <w:r>
                    <w:rPr>
                      <w:color w:val="auto"/>
                      <w:szCs w:val="21"/>
                      <w:highlight w:val="none"/>
                    </w:rPr>
                    <w:t>符合</w:t>
                  </w:r>
                </w:p>
              </w:tc>
            </w:tr>
          </w:tbl>
          <w:p>
            <w:pPr>
              <w:adjustRightInd w:val="0"/>
              <w:snapToGrid w:val="0"/>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与《汉中市“三线一单”生态环境分区管控方案》的符合性</w:t>
            </w:r>
            <w:r>
              <w:rPr>
                <w:rFonts w:hint="eastAsia"/>
                <w:color w:val="auto"/>
                <w:sz w:val="24"/>
                <w:highlight w:val="none"/>
              </w:rPr>
              <w:t>分析</w:t>
            </w:r>
          </w:p>
          <w:p>
            <w:pPr>
              <w:spacing w:line="360" w:lineRule="auto"/>
              <w:ind w:firstLine="480" w:firstLineChars="200"/>
              <w:rPr>
                <w:rFonts w:hint="eastAsia"/>
                <w:color w:val="auto"/>
                <w:sz w:val="24"/>
                <w:szCs w:val="32"/>
                <w:highlight w:val="none"/>
                <w:lang w:val="en-US" w:eastAsia="zh-CN"/>
              </w:rPr>
            </w:pPr>
            <w:r>
              <w:rPr>
                <w:rFonts w:hint="eastAsia"/>
                <w:color w:val="auto"/>
                <w:sz w:val="24"/>
                <w:szCs w:val="32"/>
                <w:highlight w:val="none"/>
              </w:rPr>
              <w:t>根据《汉中市“三线一单”生态环境管控单元分区管控方案》，结合“陕西省‘三线一单’数据应用管理平台（V1.0）”分析”可知：</w:t>
            </w:r>
            <w:r>
              <w:rPr>
                <w:color w:val="auto"/>
                <w:sz w:val="24"/>
                <w:szCs w:val="32"/>
                <w:highlight w:val="none"/>
              </w:rPr>
              <w:t>本项目位于</w:t>
            </w:r>
            <w:r>
              <w:rPr>
                <w:rFonts w:hint="eastAsia"/>
                <w:color w:val="auto"/>
                <w:sz w:val="24"/>
                <w:szCs w:val="32"/>
                <w:highlight w:val="none"/>
              </w:rPr>
              <w:t>重点</w:t>
            </w:r>
            <w:r>
              <w:rPr>
                <w:color w:val="auto"/>
                <w:sz w:val="24"/>
                <w:szCs w:val="32"/>
                <w:highlight w:val="none"/>
              </w:rPr>
              <w:t>管控单元</w:t>
            </w:r>
            <w:r>
              <w:rPr>
                <w:rFonts w:hint="eastAsia"/>
                <w:color w:val="auto"/>
                <w:sz w:val="24"/>
                <w:szCs w:val="32"/>
                <w:highlight w:val="none"/>
                <w:lang w:eastAsia="zh-CN"/>
              </w:rPr>
              <w:t>（对比结果见图</w:t>
            </w:r>
            <w:r>
              <w:rPr>
                <w:rFonts w:hint="eastAsia"/>
                <w:color w:val="auto"/>
                <w:sz w:val="24"/>
                <w:szCs w:val="32"/>
                <w:highlight w:val="none"/>
                <w:lang w:val="en-US" w:eastAsia="zh-CN"/>
              </w:rPr>
              <w:t>1-1</w:t>
            </w:r>
            <w:r>
              <w:rPr>
                <w:rFonts w:hint="eastAsia"/>
                <w:color w:val="auto"/>
                <w:sz w:val="24"/>
                <w:szCs w:val="32"/>
                <w:highlight w:val="none"/>
                <w:lang w:eastAsia="zh-CN"/>
              </w:rPr>
              <w:t>），</w:t>
            </w:r>
            <w:r>
              <w:rPr>
                <w:rFonts w:hint="eastAsia"/>
                <w:color w:val="auto"/>
                <w:sz w:val="24"/>
                <w:szCs w:val="32"/>
                <w:highlight w:val="none"/>
              </w:rPr>
              <w:t>具体为洋县重点管控单元2（大气环境布局敏感重点管控区）和洋县重点管控单元4（水环境城镇生活重点管控区），</w:t>
            </w:r>
            <w:r>
              <w:rPr>
                <w:rFonts w:hint="eastAsia"/>
                <w:color w:val="auto"/>
                <w:sz w:val="24"/>
                <w:szCs w:val="32"/>
                <w:highlight w:val="none"/>
                <w:lang w:eastAsia="zh-CN"/>
              </w:rPr>
              <w:t>详见附图</w:t>
            </w:r>
            <w:r>
              <w:rPr>
                <w:rFonts w:hint="eastAsia"/>
                <w:color w:val="auto"/>
                <w:sz w:val="24"/>
                <w:szCs w:val="32"/>
                <w:highlight w:val="none"/>
                <w:lang w:val="en-US" w:eastAsia="zh-CN"/>
              </w:rPr>
              <w:t>2。</w:t>
            </w:r>
          </w:p>
          <w:p>
            <w:pPr>
              <w:numPr>
                <w:ilvl w:val="0"/>
                <w:numId w:val="2"/>
              </w:numPr>
              <w:spacing w:line="360" w:lineRule="auto"/>
              <w:ind w:firstLine="480" w:firstLineChars="200"/>
              <w:rPr>
                <w:rFonts w:hint="eastAsia"/>
                <w:color w:val="auto"/>
                <w:sz w:val="24"/>
                <w:szCs w:val="32"/>
                <w:highlight w:val="none"/>
                <w:lang w:val="en-US" w:eastAsia="zh-CN"/>
              </w:rPr>
            </w:pPr>
            <w:r>
              <w:rPr>
                <w:rFonts w:hint="eastAsia"/>
                <w:color w:val="auto"/>
                <w:sz w:val="24"/>
                <w:szCs w:val="32"/>
                <w:highlight w:val="none"/>
                <w:lang w:val="en-US" w:eastAsia="zh-CN"/>
              </w:rPr>
              <w:t>对比分析图如下：</w:t>
            </w:r>
          </w:p>
          <w:p>
            <w:pPr>
              <w:pStyle w:val="42"/>
              <w:numPr>
                <w:ilvl w:val="0"/>
                <w:numId w:val="0"/>
              </w:numPr>
              <w:rPr>
                <w:rFonts w:hint="eastAsia"/>
                <w:color w:val="auto"/>
                <w:highlight w:val="none"/>
                <w:lang w:val="en-US" w:eastAsia="zh-CN"/>
              </w:rPr>
            </w:pPr>
            <w:r>
              <w:rPr>
                <w:rFonts w:hint="eastAsia"/>
                <w:color w:val="auto"/>
                <w:highlight w:val="none"/>
                <w:lang w:val="en-US" w:eastAsia="zh-CN"/>
              </w:rPr>
              <w:drawing>
                <wp:inline distT="0" distB="0" distL="114300" distR="114300">
                  <wp:extent cx="5101590" cy="4152265"/>
                  <wp:effectExtent l="0" t="0" r="3810" b="635"/>
                  <wp:docPr id="11" name="图片 11" descr="QQ截图2023122716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截图20231227162808"/>
                          <pic:cNvPicPr>
                            <a:picLocks noChangeAspect="1"/>
                          </pic:cNvPicPr>
                        </pic:nvPicPr>
                        <pic:blipFill>
                          <a:blip r:embed="rId9"/>
                          <a:stretch>
                            <a:fillRect/>
                          </a:stretch>
                        </pic:blipFill>
                        <pic:spPr>
                          <a:xfrm>
                            <a:off x="0" y="0"/>
                            <a:ext cx="5101590" cy="4152265"/>
                          </a:xfrm>
                          <a:prstGeom prst="rect">
                            <a:avLst/>
                          </a:prstGeom>
                        </pic:spPr>
                      </pic:pic>
                    </a:graphicData>
                  </a:graphic>
                </wp:inline>
              </w:drawing>
            </w:r>
          </w:p>
          <w:p>
            <w:pPr>
              <w:adjustRightInd w:val="0"/>
              <w:snapToGrid w:val="0"/>
              <w:spacing w:line="360" w:lineRule="auto"/>
              <w:jc w:val="center"/>
              <w:rPr>
                <w:rFonts w:hint="eastAsia" w:eastAsia="宋体"/>
                <w:color w:val="auto"/>
                <w:highlight w:val="none"/>
                <w:lang w:eastAsia="zh-CN"/>
              </w:rPr>
            </w:pPr>
            <w:r>
              <w:rPr>
                <w:b/>
                <w:color w:val="auto"/>
                <w:szCs w:val="21"/>
                <w:highlight w:val="none"/>
              </w:rPr>
              <w:t>图</w:t>
            </w:r>
            <w:r>
              <w:rPr>
                <w:rFonts w:hint="eastAsia"/>
                <w:b/>
                <w:color w:val="auto"/>
                <w:szCs w:val="21"/>
                <w:highlight w:val="none"/>
                <w:lang w:val="en-US" w:eastAsia="zh-CN"/>
              </w:rPr>
              <w:t>1</w:t>
            </w:r>
            <w:r>
              <w:rPr>
                <w:rFonts w:hint="eastAsia"/>
                <w:b/>
                <w:color w:val="auto"/>
                <w:szCs w:val="21"/>
                <w:highlight w:val="none"/>
              </w:rPr>
              <w:t>-</w:t>
            </w:r>
            <w:r>
              <w:rPr>
                <w:rFonts w:hint="eastAsia"/>
                <w:b/>
                <w:color w:val="auto"/>
                <w:szCs w:val="21"/>
                <w:highlight w:val="none"/>
                <w:lang w:val="en-US" w:eastAsia="zh-CN"/>
              </w:rPr>
              <w:t>1</w:t>
            </w:r>
            <w:r>
              <w:rPr>
                <w:b/>
                <w:color w:val="auto"/>
                <w:szCs w:val="21"/>
                <w:highlight w:val="none"/>
              </w:rPr>
              <w:t xml:space="preserve">   </w:t>
            </w:r>
            <w:r>
              <w:rPr>
                <w:rFonts w:hint="eastAsia"/>
                <w:b/>
                <w:color w:val="auto"/>
                <w:szCs w:val="21"/>
                <w:highlight w:val="none"/>
                <w:lang w:eastAsia="zh-CN"/>
              </w:rPr>
              <w:t>项目与陕西省“三线一单”数据应用系统对比图</w:t>
            </w:r>
          </w:p>
          <w:p>
            <w:pPr>
              <w:spacing w:line="360" w:lineRule="auto"/>
              <w:ind w:firstLine="480" w:firstLineChars="200"/>
              <w:rPr>
                <w:rFonts w:hint="eastAsia" w:eastAsia="宋体"/>
                <w:color w:val="auto"/>
                <w:sz w:val="24"/>
                <w:szCs w:val="32"/>
                <w:highlight w:val="none"/>
                <w:lang w:eastAsia="zh-CN"/>
              </w:rPr>
            </w:pPr>
            <w:r>
              <w:rPr>
                <w:rFonts w:hint="eastAsia"/>
                <w:color w:val="auto"/>
                <w:sz w:val="24"/>
                <w:szCs w:val="32"/>
                <w:highlight w:val="none"/>
                <w:lang w:eastAsia="zh-CN"/>
              </w:rPr>
              <w:t>（</w:t>
            </w:r>
            <w:r>
              <w:rPr>
                <w:rFonts w:hint="eastAsia"/>
                <w:color w:val="auto"/>
                <w:sz w:val="24"/>
                <w:szCs w:val="32"/>
                <w:highlight w:val="none"/>
                <w:lang w:val="en-US" w:eastAsia="zh-CN"/>
              </w:rPr>
              <w:t>2</w:t>
            </w:r>
            <w:r>
              <w:rPr>
                <w:rFonts w:hint="eastAsia"/>
                <w:color w:val="auto"/>
                <w:sz w:val="24"/>
                <w:szCs w:val="32"/>
                <w:highlight w:val="none"/>
                <w:lang w:eastAsia="zh-CN"/>
              </w:rPr>
              <w:t>）项目与汉中市生态环境管控单元对比结果如下：</w:t>
            </w:r>
          </w:p>
          <w:p>
            <w:pPr>
              <w:autoSpaceDE w:val="0"/>
              <w:autoSpaceDN w:val="0"/>
              <w:adjustRightInd w:val="0"/>
              <w:snapToGrid w:val="0"/>
              <w:jc w:val="center"/>
              <w:rPr>
                <w:color w:val="auto"/>
                <w:highlight w:val="none"/>
              </w:rPr>
            </w:pPr>
            <w:r>
              <w:rPr>
                <w:b/>
                <w:bCs/>
                <w:color w:val="auto"/>
                <w:szCs w:val="21"/>
                <w:highlight w:val="none"/>
              </w:rPr>
              <w:t>表</w:t>
            </w:r>
            <w:r>
              <w:rPr>
                <w:rFonts w:hint="eastAsia"/>
                <w:b/>
                <w:bCs/>
                <w:color w:val="auto"/>
                <w:szCs w:val="21"/>
                <w:highlight w:val="none"/>
              </w:rPr>
              <w:t xml:space="preserve">1-2  </w:t>
            </w:r>
            <w:r>
              <w:rPr>
                <w:b/>
                <w:bCs/>
                <w:color w:val="auto"/>
                <w:szCs w:val="21"/>
                <w:highlight w:val="none"/>
              </w:rPr>
              <w:t>与</w:t>
            </w:r>
            <w:r>
              <w:rPr>
                <w:rFonts w:hint="eastAsia"/>
                <w:b/>
                <w:bCs/>
                <w:color w:val="auto"/>
                <w:szCs w:val="21"/>
                <w:highlight w:val="none"/>
              </w:rPr>
              <w:t>汉中市“三线一单”生态环境分区管控方案的符合性分析</w:t>
            </w:r>
          </w:p>
          <w:tbl>
            <w:tblPr>
              <w:tblStyle w:val="34"/>
              <w:tblW w:w="81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05"/>
              <w:gridCol w:w="783"/>
              <w:gridCol w:w="3494"/>
              <w:gridCol w:w="335"/>
              <w:gridCol w:w="1165"/>
              <w:gridCol w:w="735"/>
              <w:gridCol w:w="8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5" w:type="dxa"/>
                  <w:vAlign w:val="center"/>
                </w:tcPr>
                <w:p>
                  <w:pPr>
                    <w:jc w:val="center"/>
                    <w:rPr>
                      <w:color w:val="auto"/>
                      <w:szCs w:val="21"/>
                      <w:highlight w:val="none"/>
                    </w:rPr>
                  </w:pPr>
                  <w:r>
                    <w:rPr>
                      <w:rFonts w:hint="eastAsia"/>
                      <w:color w:val="auto"/>
                      <w:szCs w:val="21"/>
                      <w:highlight w:val="none"/>
                    </w:rPr>
                    <w:t>适用</w:t>
                  </w:r>
                </w:p>
                <w:p>
                  <w:pPr>
                    <w:jc w:val="center"/>
                    <w:rPr>
                      <w:color w:val="auto"/>
                      <w:szCs w:val="21"/>
                      <w:highlight w:val="none"/>
                    </w:rPr>
                  </w:pPr>
                  <w:r>
                    <w:rPr>
                      <w:rFonts w:hint="eastAsia"/>
                      <w:color w:val="auto"/>
                      <w:szCs w:val="21"/>
                      <w:highlight w:val="none"/>
                    </w:rPr>
                    <w:t>范围</w:t>
                  </w:r>
                </w:p>
              </w:tc>
              <w:tc>
                <w:tcPr>
                  <w:tcW w:w="783" w:type="dxa"/>
                  <w:vAlign w:val="center"/>
                </w:tcPr>
                <w:p>
                  <w:pPr>
                    <w:jc w:val="center"/>
                    <w:rPr>
                      <w:color w:val="auto"/>
                      <w:szCs w:val="21"/>
                      <w:highlight w:val="none"/>
                    </w:rPr>
                  </w:pPr>
                  <w:r>
                    <w:rPr>
                      <w:rFonts w:hint="eastAsia"/>
                      <w:color w:val="auto"/>
                      <w:szCs w:val="21"/>
                      <w:highlight w:val="none"/>
                    </w:rPr>
                    <w:t>管控</w:t>
                  </w:r>
                </w:p>
                <w:p>
                  <w:pPr>
                    <w:jc w:val="center"/>
                    <w:rPr>
                      <w:color w:val="auto"/>
                      <w:szCs w:val="21"/>
                      <w:highlight w:val="none"/>
                    </w:rPr>
                  </w:pPr>
                  <w:r>
                    <w:rPr>
                      <w:rFonts w:hint="eastAsia"/>
                      <w:color w:val="auto"/>
                      <w:szCs w:val="21"/>
                      <w:highlight w:val="none"/>
                    </w:rPr>
                    <w:t>维度</w:t>
                  </w:r>
                </w:p>
              </w:tc>
              <w:tc>
                <w:tcPr>
                  <w:tcW w:w="3829" w:type="dxa"/>
                  <w:gridSpan w:val="2"/>
                  <w:vAlign w:val="center"/>
                </w:tcPr>
                <w:p>
                  <w:pPr>
                    <w:jc w:val="center"/>
                    <w:rPr>
                      <w:color w:val="auto"/>
                      <w:szCs w:val="21"/>
                      <w:highlight w:val="none"/>
                    </w:rPr>
                  </w:pPr>
                  <w:r>
                    <w:rPr>
                      <w:rFonts w:hint="eastAsia"/>
                      <w:color w:val="auto"/>
                      <w:szCs w:val="21"/>
                      <w:highlight w:val="none"/>
                    </w:rPr>
                    <w:t>具体要求</w:t>
                  </w:r>
                </w:p>
              </w:tc>
              <w:tc>
                <w:tcPr>
                  <w:tcW w:w="1900" w:type="dxa"/>
                  <w:gridSpan w:val="2"/>
                  <w:vAlign w:val="center"/>
                </w:tcPr>
                <w:p>
                  <w:pPr>
                    <w:jc w:val="center"/>
                    <w:rPr>
                      <w:color w:val="auto"/>
                      <w:szCs w:val="21"/>
                      <w:highlight w:val="none"/>
                    </w:rPr>
                  </w:pPr>
                  <w:r>
                    <w:rPr>
                      <w:rFonts w:hint="eastAsia"/>
                      <w:color w:val="auto"/>
                      <w:szCs w:val="21"/>
                      <w:highlight w:val="none"/>
                    </w:rPr>
                    <w:t>本项目情况</w:t>
                  </w:r>
                </w:p>
              </w:tc>
              <w:tc>
                <w:tcPr>
                  <w:tcW w:w="838" w:type="dxa"/>
                  <w:vAlign w:val="center"/>
                </w:tcPr>
                <w:p>
                  <w:pPr>
                    <w:jc w:val="center"/>
                    <w:rPr>
                      <w:color w:val="auto"/>
                      <w:szCs w:val="21"/>
                      <w:highlight w:val="none"/>
                    </w:rPr>
                  </w:pPr>
                  <w:r>
                    <w:rPr>
                      <w:color w:val="auto"/>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5" w:type="dxa"/>
                  <w:vMerge w:val="restart"/>
                  <w:vAlign w:val="center"/>
                </w:tcPr>
                <w:p>
                  <w:pPr>
                    <w:jc w:val="center"/>
                    <w:rPr>
                      <w:color w:val="auto"/>
                      <w:szCs w:val="21"/>
                      <w:highlight w:val="none"/>
                    </w:rPr>
                  </w:pPr>
                  <w:r>
                    <w:rPr>
                      <w:color w:val="auto"/>
                      <w:szCs w:val="21"/>
                      <w:highlight w:val="none"/>
                    </w:rPr>
                    <w:t>总体</w:t>
                  </w:r>
                </w:p>
                <w:p>
                  <w:pPr>
                    <w:jc w:val="center"/>
                    <w:rPr>
                      <w:color w:val="auto"/>
                      <w:szCs w:val="21"/>
                      <w:highlight w:val="none"/>
                    </w:rPr>
                  </w:pPr>
                  <w:r>
                    <w:rPr>
                      <w:color w:val="auto"/>
                      <w:szCs w:val="21"/>
                      <w:highlight w:val="none"/>
                    </w:rPr>
                    <w:t>要求</w:t>
                  </w:r>
                </w:p>
              </w:tc>
              <w:tc>
                <w:tcPr>
                  <w:tcW w:w="783" w:type="dxa"/>
                  <w:vAlign w:val="center"/>
                </w:tcPr>
                <w:p>
                  <w:pPr>
                    <w:jc w:val="center"/>
                    <w:rPr>
                      <w:color w:val="auto"/>
                      <w:szCs w:val="21"/>
                      <w:highlight w:val="none"/>
                    </w:rPr>
                  </w:pPr>
                  <w:r>
                    <w:rPr>
                      <w:color w:val="auto"/>
                      <w:szCs w:val="21"/>
                      <w:highlight w:val="none"/>
                    </w:rPr>
                    <w:t>空间</w:t>
                  </w:r>
                </w:p>
                <w:p>
                  <w:pPr>
                    <w:jc w:val="center"/>
                    <w:rPr>
                      <w:color w:val="auto"/>
                      <w:szCs w:val="21"/>
                      <w:highlight w:val="none"/>
                    </w:rPr>
                  </w:pPr>
                  <w:r>
                    <w:rPr>
                      <w:color w:val="auto"/>
                      <w:szCs w:val="21"/>
                      <w:highlight w:val="none"/>
                    </w:rPr>
                    <w:t>布局</w:t>
                  </w:r>
                </w:p>
                <w:p>
                  <w:pPr>
                    <w:jc w:val="center"/>
                    <w:rPr>
                      <w:color w:val="auto"/>
                      <w:szCs w:val="21"/>
                      <w:highlight w:val="none"/>
                    </w:rPr>
                  </w:pPr>
                  <w:r>
                    <w:rPr>
                      <w:color w:val="auto"/>
                      <w:szCs w:val="21"/>
                      <w:highlight w:val="none"/>
                    </w:rPr>
                    <w:t>约束</w:t>
                  </w:r>
                </w:p>
              </w:tc>
              <w:tc>
                <w:tcPr>
                  <w:tcW w:w="3829" w:type="dxa"/>
                  <w:gridSpan w:val="2"/>
                  <w:vAlign w:val="center"/>
                </w:tcPr>
                <w:p>
                  <w:pPr>
                    <w:pStyle w:val="42"/>
                    <w:jc w:val="both"/>
                    <w:rPr>
                      <w:rFonts w:ascii="Times New Roman" w:cs="Times New Roman"/>
                      <w:color w:val="auto"/>
                      <w:sz w:val="21"/>
                      <w:szCs w:val="21"/>
                      <w:highlight w:val="none"/>
                    </w:rPr>
                  </w:pPr>
                  <w:r>
                    <w:rPr>
                      <w:rFonts w:hint="eastAsia" w:ascii="Times New Roman" w:cs="Times New Roman"/>
                      <w:color w:val="auto"/>
                      <w:sz w:val="21"/>
                      <w:szCs w:val="21"/>
                      <w:highlight w:val="none"/>
                    </w:rPr>
                    <w:t>1</w:t>
                  </w:r>
                  <w:r>
                    <w:rPr>
                      <w:rFonts w:ascii="Times New Roman" w:cs="Times New Roman"/>
                      <w:color w:val="auto"/>
                      <w:sz w:val="21"/>
                      <w:szCs w:val="21"/>
                      <w:highlight w:val="none"/>
                    </w:rPr>
                    <w:t>.以汉台、城固、洋县、西乡、勉县、宁强、略阳、留坝、佛坪秦岭保护区域为主，以保护中央水塔为核心，以生态修复为抓手，全面加强水土保持、水源涵养、生物多样性保护，构筑汉中盆地北部的生态屏障。</w:t>
                  </w:r>
                </w:p>
                <w:p>
                  <w:pPr>
                    <w:pStyle w:val="42"/>
                    <w:jc w:val="both"/>
                    <w:rPr>
                      <w:rFonts w:ascii="Times New Roman" w:cs="Times New Roman"/>
                      <w:color w:val="auto"/>
                      <w:sz w:val="21"/>
                      <w:szCs w:val="21"/>
                      <w:highlight w:val="none"/>
                    </w:rPr>
                  </w:pPr>
                  <w:r>
                    <w:rPr>
                      <w:rFonts w:hint="eastAsia" w:ascii="Times New Roman" w:cs="Times New Roman"/>
                      <w:color w:val="auto"/>
                      <w:sz w:val="21"/>
                      <w:szCs w:val="21"/>
                      <w:highlight w:val="none"/>
                    </w:rPr>
                    <w:t>2</w:t>
                  </w:r>
                  <w:r>
                    <w:rPr>
                      <w:rFonts w:ascii="Times New Roman" w:cs="Times New Roman"/>
                      <w:color w:val="auto"/>
                      <w:sz w:val="21"/>
                      <w:szCs w:val="21"/>
                      <w:highlight w:val="none"/>
                    </w:rPr>
                    <w:t>.以南郑、城固、洋县、西乡、勉县、宁强、镇巴巴山保护区域为主，全面加强生态空间、保护和修复，维护生物多样性，构筑汉中盆地南部的生态屏障。</w:t>
                  </w:r>
                </w:p>
                <w:p>
                  <w:pPr>
                    <w:pStyle w:val="42"/>
                    <w:jc w:val="both"/>
                    <w:rPr>
                      <w:color w:val="auto"/>
                      <w:szCs w:val="21"/>
                      <w:highlight w:val="none"/>
                    </w:rPr>
                  </w:pPr>
                  <w:r>
                    <w:rPr>
                      <w:rFonts w:hint="eastAsia" w:ascii="Times New Roman" w:cs="Times New Roman"/>
                      <w:color w:val="auto"/>
                      <w:sz w:val="21"/>
                      <w:szCs w:val="21"/>
                      <w:highlight w:val="none"/>
                    </w:rPr>
                    <w:t>3</w:t>
                  </w:r>
                  <w:r>
                    <w:rPr>
                      <w:rFonts w:ascii="Times New Roman" w:cs="Times New Roman"/>
                      <w:color w:val="auto"/>
                      <w:sz w:val="21"/>
                      <w:szCs w:val="21"/>
                      <w:highlight w:val="none"/>
                    </w:rPr>
                    <w:t>.严控“两高”项目准入。</w:t>
                  </w:r>
                </w:p>
              </w:tc>
              <w:tc>
                <w:tcPr>
                  <w:tcW w:w="1900" w:type="dxa"/>
                  <w:gridSpan w:val="2"/>
                  <w:vAlign w:val="center"/>
                </w:tcPr>
                <w:p>
                  <w:pPr>
                    <w:rPr>
                      <w:color w:val="auto"/>
                      <w:szCs w:val="21"/>
                      <w:highlight w:val="none"/>
                    </w:rPr>
                  </w:pPr>
                  <w:r>
                    <w:rPr>
                      <w:color w:val="auto"/>
                      <w:szCs w:val="21"/>
                      <w:highlight w:val="none"/>
                    </w:rPr>
                    <w:t>本项目位于</w:t>
                  </w:r>
                  <w:r>
                    <w:rPr>
                      <w:rFonts w:hint="eastAsia"/>
                      <w:color w:val="auto"/>
                      <w:szCs w:val="21"/>
                      <w:highlight w:val="none"/>
                    </w:rPr>
                    <w:t>汉中市洋县磨子桥镇冯杨村</w:t>
                  </w:r>
                  <w:r>
                    <w:rPr>
                      <w:color w:val="auto"/>
                      <w:szCs w:val="21"/>
                      <w:highlight w:val="none"/>
                    </w:rPr>
                    <w:t>，</w:t>
                  </w:r>
                  <w:r>
                    <w:rPr>
                      <w:rFonts w:hint="eastAsia"/>
                      <w:color w:val="auto"/>
                      <w:szCs w:val="21"/>
                      <w:highlight w:val="none"/>
                    </w:rPr>
                    <w:t>主要进行泥</w:t>
                  </w:r>
                  <w:r>
                    <w:rPr>
                      <w:rFonts w:hint="eastAsia"/>
                      <w:color w:val="auto"/>
                      <w:szCs w:val="21"/>
                      <w:highlight w:val="none"/>
                      <w:lang w:eastAsia="zh-CN"/>
                    </w:rPr>
                    <w:t>砂</w:t>
                  </w:r>
                  <w:r>
                    <w:rPr>
                      <w:rFonts w:hint="eastAsia"/>
                      <w:color w:val="auto"/>
                      <w:szCs w:val="21"/>
                      <w:highlight w:val="none"/>
                    </w:rPr>
                    <w:t>分离。</w:t>
                  </w:r>
                  <w:r>
                    <w:rPr>
                      <w:color w:val="auto"/>
                      <w:szCs w:val="21"/>
                      <w:highlight w:val="none"/>
                    </w:rPr>
                    <w:t>根据《陕西省</w:t>
                  </w:r>
                  <w:r>
                    <w:rPr>
                      <w:rFonts w:hint="eastAsia"/>
                      <w:color w:val="auto"/>
                      <w:szCs w:val="21"/>
                      <w:highlight w:val="none"/>
                    </w:rPr>
                    <w:t>“</w:t>
                  </w:r>
                  <w:r>
                    <w:rPr>
                      <w:color w:val="auto"/>
                      <w:szCs w:val="21"/>
                      <w:highlight w:val="none"/>
                    </w:rPr>
                    <w:t>两高</w:t>
                  </w:r>
                  <w:r>
                    <w:rPr>
                      <w:rFonts w:hint="eastAsia"/>
                      <w:color w:val="auto"/>
                      <w:szCs w:val="21"/>
                      <w:highlight w:val="none"/>
                    </w:rPr>
                    <w:t>”</w:t>
                  </w:r>
                  <w:r>
                    <w:rPr>
                      <w:color w:val="auto"/>
                      <w:szCs w:val="21"/>
                      <w:highlight w:val="none"/>
                    </w:rPr>
                    <w:t>项目管理暂行目录（2022年版）》（陕发改环资[2022]110号）可知</w:t>
                  </w:r>
                  <w:r>
                    <w:rPr>
                      <w:rFonts w:hint="eastAsia"/>
                      <w:color w:val="auto"/>
                      <w:szCs w:val="21"/>
                      <w:highlight w:val="none"/>
                    </w:rPr>
                    <w:t>，本项目不属于两高项目。</w:t>
                  </w:r>
                </w:p>
              </w:tc>
              <w:tc>
                <w:tcPr>
                  <w:tcW w:w="838" w:type="dxa"/>
                  <w:vAlign w:val="center"/>
                </w:tcPr>
                <w:p>
                  <w:pPr>
                    <w:jc w:val="center"/>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5" w:type="dxa"/>
                  <w:vMerge w:val="continue"/>
                  <w:vAlign w:val="center"/>
                </w:tcPr>
                <w:p>
                  <w:pPr>
                    <w:jc w:val="center"/>
                    <w:rPr>
                      <w:color w:val="auto"/>
                      <w:szCs w:val="21"/>
                      <w:highlight w:val="none"/>
                    </w:rPr>
                  </w:pPr>
                </w:p>
              </w:tc>
              <w:tc>
                <w:tcPr>
                  <w:tcW w:w="783" w:type="dxa"/>
                  <w:vAlign w:val="center"/>
                </w:tcPr>
                <w:p>
                  <w:pPr>
                    <w:pStyle w:val="42"/>
                    <w:jc w:val="center"/>
                    <w:rPr>
                      <w:rFonts w:ascii="Times New Roman" w:cs="Times New Roman"/>
                      <w:color w:val="auto"/>
                      <w:sz w:val="21"/>
                      <w:szCs w:val="21"/>
                      <w:highlight w:val="none"/>
                    </w:rPr>
                  </w:pPr>
                  <w:r>
                    <w:rPr>
                      <w:rFonts w:ascii="Times New Roman" w:cs="Times New Roman"/>
                      <w:color w:val="auto"/>
                      <w:sz w:val="21"/>
                      <w:szCs w:val="21"/>
                      <w:highlight w:val="none"/>
                    </w:rPr>
                    <w:t>污染</w:t>
                  </w:r>
                </w:p>
                <w:p>
                  <w:pPr>
                    <w:pStyle w:val="42"/>
                    <w:jc w:val="center"/>
                    <w:rPr>
                      <w:rFonts w:ascii="Times New Roman" w:cs="Times New Roman"/>
                      <w:color w:val="auto"/>
                      <w:sz w:val="21"/>
                      <w:szCs w:val="21"/>
                      <w:highlight w:val="none"/>
                    </w:rPr>
                  </w:pPr>
                  <w:r>
                    <w:rPr>
                      <w:rFonts w:ascii="Times New Roman" w:cs="Times New Roman"/>
                      <w:color w:val="auto"/>
                      <w:sz w:val="21"/>
                      <w:szCs w:val="21"/>
                      <w:highlight w:val="none"/>
                    </w:rPr>
                    <w:t>排放</w:t>
                  </w:r>
                </w:p>
                <w:p>
                  <w:pPr>
                    <w:pStyle w:val="42"/>
                    <w:jc w:val="center"/>
                    <w:rPr>
                      <w:rFonts w:ascii="Times New Roman" w:cs="Times New Roman"/>
                      <w:color w:val="auto"/>
                      <w:sz w:val="21"/>
                      <w:szCs w:val="21"/>
                      <w:highlight w:val="none"/>
                    </w:rPr>
                  </w:pPr>
                  <w:r>
                    <w:rPr>
                      <w:rFonts w:ascii="Times New Roman" w:cs="Times New Roman"/>
                      <w:color w:val="auto"/>
                      <w:sz w:val="21"/>
                      <w:szCs w:val="21"/>
                      <w:highlight w:val="none"/>
                    </w:rPr>
                    <w:t>管控</w:t>
                  </w:r>
                </w:p>
              </w:tc>
              <w:tc>
                <w:tcPr>
                  <w:tcW w:w="3829" w:type="dxa"/>
                  <w:gridSpan w:val="2"/>
                  <w:vAlign w:val="center"/>
                </w:tcPr>
                <w:p>
                  <w:pPr>
                    <w:pStyle w:val="42"/>
                    <w:jc w:val="both"/>
                    <w:rPr>
                      <w:rFonts w:ascii="Times New Roman" w:cs="Times New Roman"/>
                      <w:color w:val="auto"/>
                      <w:sz w:val="21"/>
                      <w:szCs w:val="21"/>
                      <w:highlight w:val="none"/>
                    </w:rPr>
                  </w:pPr>
                  <w:r>
                    <w:rPr>
                      <w:rFonts w:hint="eastAsia" w:ascii="Times New Roman" w:cs="Times New Roman"/>
                      <w:color w:val="auto"/>
                      <w:sz w:val="21"/>
                      <w:szCs w:val="21"/>
                      <w:highlight w:val="none"/>
                    </w:rPr>
                    <w:t>1</w:t>
                  </w:r>
                  <w:r>
                    <w:rPr>
                      <w:rFonts w:ascii="Times New Roman" w:cs="Times New Roman"/>
                      <w:color w:val="auto"/>
                      <w:sz w:val="21"/>
                      <w:szCs w:val="21"/>
                      <w:highlight w:val="none"/>
                    </w:rPr>
                    <w:t>.农村生活污水处理：因地制宜地建设农村污水处理设施，有效减少农村污水直排现象。</w:t>
                  </w:r>
                </w:p>
                <w:p>
                  <w:pPr>
                    <w:pStyle w:val="42"/>
                    <w:jc w:val="both"/>
                    <w:rPr>
                      <w:rFonts w:ascii="Times New Roman" w:cs="Times New Roman"/>
                      <w:color w:val="auto"/>
                      <w:sz w:val="21"/>
                      <w:szCs w:val="21"/>
                      <w:highlight w:val="none"/>
                    </w:rPr>
                  </w:pPr>
                  <w:r>
                    <w:rPr>
                      <w:rFonts w:hint="eastAsia" w:ascii="Times New Roman" w:cs="Times New Roman"/>
                      <w:color w:val="auto"/>
                      <w:sz w:val="21"/>
                      <w:szCs w:val="21"/>
                      <w:highlight w:val="none"/>
                    </w:rPr>
                    <w:t>2</w:t>
                  </w:r>
                  <w:r>
                    <w:rPr>
                      <w:rFonts w:ascii="Times New Roman" w:cs="Times New Roman"/>
                      <w:color w:val="auto"/>
                      <w:sz w:val="21"/>
                      <w:szCs w:val="21"/>
                      <w:highlight w:val="none"/>
                    </w:rPr>
                    <w:t>.固体废物污染防治：推动以尾矿、粉煤灰、冶炼渣、工业副产品石膏等大宗工业固体废物为重点的综合利用。</w:t>
                  </w:r>
                </w:p>
                <w:p>
                  <w:pPr>
                    <w:pStyle w:val="42"/>
                    <w:jc w:val="both"/>
                    <w:rPr>
                      <w:rFonts w:ascii="Times New Roman" w:cs="Times New Roman"/>
                      <w:color w:val="auto"/>
                      <w:sz w:val="21"/>
                      <w:szCs w:val="21"/>
                      <w:highlight w:val="none"/>
                    </w:rPr>
                  </w:pPr>
                  <w:r>
                    <w:rPr>
                      <w:rFonts w:hint="eastAsia" w:ascii="Times New Roman" w:cs="Times New Roman"/>
                      <w:color w:val="auto"/>
                      <w:sz w:val="21"/>
                      <w:szCs w:val="21"/>
                      <w:highlight w:val="none"/>
                    </w:rPr>
                    <w:t>3</w:t>
                  </w:r>
                  <w:r>
                    <w:rPr>
                      <w:rFonts w:ascii="Times New Roman" w:cs="Times New Roman"/>
                      <w:color w:val="auto"/>
                      <w:sz w:val="21"/>
                      <w:szCs w:val="21"/>
                      <w:highlight w:val="none"/>
                    </w:rPr>
                    <w:t>.工业源污染治理：持续推进工业污染源减排，完成全市钢铁、建材等行业超低排放改造，规范金属矿采选、非金属矿物制品等行业颗粒物排放管理。</w:t>
                  </w:r>
                </w:p>
                <w:p>
                  <w:pPr>
                    <w:pStyle w:val="42"/>
                    <w:jc w:val="both"/>
                    <w:rPr>
                      <w:rFonts w:ascii="Times New Roman" w:cs="Times New Roman"/>
                      <w:color w:val="auto"/>
                      <w:sz w:val="21"/>
                      <w:szCs w:val="21"/>
                      <w:highlight w:val="none"/>
                    </w:rPr>
                  </w:pPr>
                  <w:r>
                    <w:rPr>
                      <w:rFonts w:hint="eastAsia" w:ascii="Times New Roman" w:cs="Times New Roman"/>
                      <w:color w:val="auto"/>
                      <w:sz w:val="21"/>
                      <w:szCs w:val="21"/>
                      <w:highlight w:val="none"/>
                    </w:rPr>
                    <w:t>4</w:t>
                  </w:r>
                  <w:r>
                    <w:rPr>
                      <w:rFonts w:ascii="Times New Roman" w:cs="Times New Roman"/>
                      <w:color w:val="auto"/>
                      <w:sz w:val="21"/>
                      <w:szCs w:val="21"/>
                      <w:highlight w:val="none"/>
                    </w:rPr>
                    <w:t>.新建“两高”项目应依据区域环境质量改善目标，落实区域削减要求。</w:t>
                  </w:r>
                </w:p>
              </w:tc>
              <w:tc>
                <w:tcPr>
                  <w:tcW w:w="1900" w:type="dxa"/>
                  <w:gridSpan w:val="2"/>
                  <w:vAlign w:val="center"/>
                </w:tcPr>
                <w:p>
                  <w:pPr>
                    <w:rPr>
                      <w:color w:val="auto"/>
                      <w:szCs w:val="21"/>
                      <w:highlight w:val="none"/>
                    </w:rPr>
                  </w:pPr>
                  <w:r>
                    <w:rPr>
                      <w:color w:val="auto"/>
                      <w:szCs w:val="21"/>
                      <w:highlight w:val="none"/>
                    </w:rPr>
                    <w:t>本项目不属于</w:t>
                  </w:r>
                  <w:r>
                    <w:rPr>
                      <w:rFonts w:hint="eastAsia"/>
                      <w:color w:val="auto"/>
                      <w:szCs w:val="21"/>
                      <w:highlight w:val="none"/>
                    </w:rPr>
                    <w:t>“</w:t>
                  </w:r>
                  <w:r>
                    <w:rPr>
                      <w:color w:val="auto"/>
                      <w:szCs w:val="21"/>
                      <w:highlight w:val="none"/>
                    </w:rPr>
                    <w:t>两高</w:t>
                  </w:r>
                  <w:r>
                    <w:rPr>
                      <w:rFonts w:hint="eastAsia"/>
                      <w:color w:val="auto"/>
                      <w:szCs w:val="21"/>
                      <w:highlight w:val="none"/>
                    </w:rPr>
                    <w:t>”</w:t>
                  </w:r>
                  <w:r>
                    <w:rPr>
                      <w:color w:val="auto"/>
                      <w:szCs w:val="21"/>
                      <w:highlight w:val="none"/>
                    </w:rPr>
                    <w:t>行业，运营期废水、废气</w:t>
                  </w:r>
                  <w:r>
                    <w:rPr>
                      <w:rFonts w:hint="eastAsia"/>
                      <w:color w:val="auto"/>
                      <w:szCs w:val="21"/>
                      <w:highlight w:val="none"/>
                    </w:rPr>
                    <w:t>、噪声</w:t>
                  </w:r>
                  <w:r>
                    <w:rPr>
                      <w:color w:val="auto"/>
                      <w:szCs w:val="21"/>
                      <w:highlight w:val="none"/>
                    </w:rPr>
                    <w:t>以及固废均采取对应的污染防治措施</w:t>
                  </w:r>
                  <w:r>
                    <w:rPr>
                      <w:rFonts w:hint="eastAsia"/>
                      <w:color w:val="auto"/>
                      <w:szCs w:val="21"/>
                      <w:highlight w:val="none"/>
                    </w:rPr>
                    <w:t>。</w:t>
                  </w:r>
                  <w:r>
                    <w:rPr>
                      <w:color w:val="auto"/>
                      <w:szCs w:val="21"/>
                      <w:highlight w:val="none"/>
                    </w:rPr>
                    <w:t>废水经</w:t>
                  </w:r>
                  <w:r>
                    <w:rPr>
                      <w:rFonts w:hint="eastAsia"/>
                      <w:color w:val="auto"/>
                      <w:szCs w:val="21"/>
                      <w:highlight w:val="none"/>
                    </w:rPr>
                    <w:t>絮凝沉淀处理后回用于生产线</w:t>
                  </w:r>
                  <w:r>
                    <w:rPr>
                      <w:color w:val="auto"/>
                      <w:szCs w:val="21"/>
                      <w:highlight w:val="none"/>
                    </w:rPr>
                    <w:t>，废气处理后达标排放，固废按照属性交由对应的单位进行处置</w:t>
                  </w:r>
                  <w:r>
                    <w:rPr>
                      <w:rFonts w:hint="eastAsia"/>
                      <w:color w:val="auto"/>
                      <w:szCs w:val="21"/>
                      <w:highlight w:val="none"/>
                    </w:rPr>
                    <w:t>。</w:t>
                  </w:r>
                </w:p>
              </w:tc>
              <w:tc>
                <w:tcPr>
                  <w:tcW w:w="838" w:type="dxa"/>
                  <w:vAlign w:val="center"/>
                </w:tcPr>
                <w:p>
                  <w:pPr>
                    <w:jc w:val="center"/>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5" w:type="dxa"/>
                  <w:vMerge w:val="continue"/>
                  <w:vAlign w:val="center"/>
                </w:tcPr>
                <w:p>
                  <w:pPr>
                    <w:jc w:val="center"/>
                    <w:rPr>
                      <w:color w:val="auto"/>
                      <w:szCs w:val="21"/>
                      <w:highlight w:val="none"/>
                    </w:rPr>
                  </w:pPr>
                </w:p>
              </w:tc>
              <w:tc>
                <w:tcPr>
                  <w:tcW w:w="783" w:type="dxa"/>
                  <w:vAlign w:val="center"/>
                </w:tcPr>
                <w:p>
                  <w:pPr>
                    <w:pStyle w:val="42"/>
                    <w:jc w:val="center"/>
                    <w:rPr>
                      <w:rFonts w:ascii="Times New Roman" w:cs="Times New Roman"/>
                      <w:color w:val="auto"/>
                      <w:sz w:val="21"/>
                      <w:szCs w:val="21"/>
                      <w:highlight w:val="none"/>
                    </w:rPr>
                  </w:pPr>
                  <w:r>
                    <w:rPr>
                      <w:rFonts w:ascii="Times New Roman" w:cs="Times New Roman"/>
                      <w:color w:val="auto"/>
                      <w:sz w:val="21"/>
                      <w:szCs w:val="21"/>
                      <w:highlight w:val="none"/>
                    </w:rPr>
                    <w:t>环境</w:t>
                  </w:r>
                </w:p>
                <w:p>
                  <w:pPr>
                    <w:pStyle w:val="42"/>
                    <w:jc w:val="center"/>
                    <w:rPr>
                      <w:rFonts w:ascii="Times New Roman" w:cs="Times New Roman"/>
                      <w:color w:val="auto"/>
                      <w:sz w:val="21"/>
                      <w:szCs w:val="21"/>
                      <w:highlight w:val="none"/>
                    </w:rPr>
                  </w:pPr>
                  <w:r>
                    <w:rPr>
                      <w:rFonts w:ascii="Times New Roman" w:cs="Times New Roman"/>
                      <w:color w:val="auto"/>
                      <w:sz w:val="21"/>
                      <w:szCs w:val="21"/>
                      <w:highlight w:val="none"/>
                    </w:rPr>
                    <w:t>风险</w:t>
                  </w:r>
                </w:p>
                <w:p>
                  <w:pPr>
                    <w:pStyle w:val="42"/>
                    <w:jc w:val="center"/>
                    <w:rPr>
                      <w:rFonts w:ascii="Times New Roman" w:cs="Times New Roman"/>
                      <w:color w:val="auto"/>
                      <w:sz w:val="21"/>
                      <w:szCs w:val="21"/>
                      <w:highlight w:val="none"/>
                    </w:rPr>
                  </w:pPr>
                  <w:r>
                    <w:rPr>
                      <w:rFonts w:ascii="Times New Roman" w:cs="Times New Roman"/>
                      <w:color w:val="auto"/>
                      <w:sz w:val="21"/>
                      <w:szCs w:val="21"/>
                      <w:highlight w:val="none"/>
                    </w:rPr>
                    <w:t>防控</w:t>
                  </w:r>
                </w:p>
              </w:tc>
              <w:tc>
                <w:tcPr>
                  <w:tcW w:w="3829" w:type="dxa"/>
                  <w:gridSpan w:val="2"/>
                  <w:vAlign w:val="center"/>
                </w:tcPr>
                <w:p>
                  <w:pPr>
                    <w:pStyle w:val="42"/>
                    <w:jc w:val="both"/>
                    <w:rPr>
                      <w:rFonts w:ascii="Times New Roman" w:cs="Times New Roman"/>
                      <w:color w:val="auto"/>
                      <w:sz w:val="21"/>
                      <w:szCs w:val="21"/>
                      <w:highlight w:val="none"/>
                    </w:rPr>
                  </w:pPr>
                  <w:r>
                    <w:rPr>
                      <w:rFonts w:ascii="Times New Roman" w:cs="Times New Roman"/>
                      <w:color w:val="auto"/>
                      <w:sz w:val="21"/>
                      <w:szCs w:val="21"/>
                      <w:highlight w:val="none"/>
                    </w:rPr>
                    <w:t>1.坚持预防为主原则，将环境风险纳入常态化管理。</w:t>
                  </w:r>
                </w:p>
                <w:p>
                  <w:pPr>
                    <w:pStyle w:val="42"/>
                    <w:jc w:val="both"/>
                    <w:rPr>
                      <w:rFonts w:ascii="Times New Roman" w:cs="Times New Roman"/>
                      <w:color w:val="auto"/>
                      <w:sz w:val="21"/>
                      <w:szCs w:val="21"/>
                      <w:highlight w:val="none"/>
                    </w:rPr>
                  </w:pPr>
                  <w:r>
                    <w:rPr>
                      <w:rFonts w:hint="eastAsia" w:ascii="Times New Roman" w:cs="Times New Roman"/>
                      <w:color w:val="auto"/>
                      <w:sz w:val="21"/>
                      <w:szCs w:val="21"/>
                      <w:highlight w:val="none"/>
                    </w:rPr>
                    <w:t>2.</w:t>
                  </w:r>
                  <w:r>
                    <w:rPr>
                      <w:rFonts w:ascii="Times New Roman" w:cs="Times New Roman"/>
                      <w:color w:val="auto"/>
                      <w:sz w:val="21"/>
                      <w:szCs w:val="21"/>
                      <w:highlight w:val="none"/>
                    </w:rPr>
                    <w:t>加强土壤污染重点监管单位排污许可管理，严格控制有毒有害物质排放，落实土壤污染隐患排查制度。</w:t>
                  </w:r>
                </w:p>
              </w:tc>
              <w:tc>
                <w:tcPr>
                  <w:tcW w:w="1900" w:type="dxa"/>
                  <w:gridSpan w:val="2"/>
                  <w:vAlign w:val="center"/>
                </w:tcPr>
                <w:p>
                  <w:pPr>
                    <w:rPr>
                      <w:color w:val="auto"/>
                      <w:szCs w:val="21"/>
                      <w:highlight w:val="none"/>
                    </w:rPr>
                  </w:pPr>
                  <w:r>
                    <w:rPr>
                      <w:color w:val="auto"/>
                      <w:szCs w:val="21"/>
                      <w:highlight w:val="none"/>
                    </w:rPr>
                    <w:t>本项目</w:t>
                  </w:r>
                  <w:r>
                    <w:rPr>
                      <w:rFonts w:hint="eastAsia"/>
                      <w:color w:val="auto"/>
                      <w:szCs w:val="21"/>
                      <w:highlight w:val="none"/>
                    </w:rPr>
                    <w:t>沉淀池及危废间等拟进</w:t>
                  </w:r>
                  <w:r>
                    <w:rPr>
                      <w:color w:val="auto"/>
                      <w:szCs w:val="21"/>
                      <w:highlight w:val="none"/>
                    </w:rPr>
                    <w:t>行防渗处理，以降低环境风险的可能性</w:t>
                  </w:r>
                  <w:r>
                    <w:rPr>
                      <w:rFonts w:hint="eastAsia"/>
                      <w:color w:val="auto"/>
                      <w:szCs w:val="21"/>
                      <w:highlight w:val="none"/>
                    </w:rPr>
                    <w:t>。</w:t>
                  </w:r>
                </w:p>
              </w:tc>
              <w:tc>
                <w:tcPr>
                  <w:tcW w:w="838" w:type="dxa"/>
                  <w:vAlign w:val="center"/>
                </w:tcPr>
                <w:p>
                  <w:pPr>
                    <w:jc w:val="center"/>
                    <w:rPr>
                      <w:color w:val="auto"/>
                      <w:szCs w:val="21"/>
                      <w:highlight w:val="none"/>
                    </w:rPr>
                  </w:pPr>
                  <w:r>
                    <w:rPr>
                      <w:rFonts w:hint="eastAsia"/>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5" w:type="dxa"/>
                  <w:vAlign w:val="center"/>
                </w:tcPr>
                <w:p>
                  <w:pPr>
                    <w:jc w:val="center"/>
                    <w:rPr>
                      <w:color w:val="auto"/>
                      <w:szCs w:val="21"/>
                      <w:highlight w:val="none"/>
                    </w:rPr>
                  </w:pPr>
                  <w:r>
                    <w:rPr>
                      <w:rFonts w:hint="eastAsia"/>
                      <w:color w:val="auto"/>
                      <w:szCs w:val="21"/>
                      <w:highlight w:val="none"/>
                    </w:rPr>
                    <w:t>适用</w:t>
                  </w:r>
                </w:p>
                <w:p>
                  <w:pPr>
                    <w:jc w:val="center"/>
                    <w:rPr>
                      <w:color w:val="auto"/>
                      <w:szCs w:val="21"/>
                      <w:highlight w:val="none"/>
                    </w:rPr>
                  </w:pPr>
                  <w:r>
                    <w:rPr>
                      <w:rFonts w:hint="eastAsia"/>
                      <w:color w:val="auto"/>
                      <w:szCs w:val="21"/>
                      <w:highlight w:val="none"/>
                    </w:rPr>
                    <w:t>范围</w:t>
                  </w:r>
                </w:p>
              </w:tc>
              <w:tc>
                <w:tcPr>
                  <w:tcW w:w="783" w:type="dxa"/>
                  <w:vAlign w:val="center"/>
                </w:tcPr>
                <w:p>
                  <w:pPr>
                    <w:jc w:val="center"/>
                    <w:rPr>
                      <w:color w:val="auto"/>
                      <w:szCs w:val="21"/>
                      <w:highlight w:val="none"/>
                    </w:rPr>
                  </w:pPr>
                  <w:r>
                    <w:rPr>
                      <w:rFonts w:hint="eastAsia"/>
                      <w:color w:val="auto"/>
                      <w:szCs w:val="21"/>
                      <w:highlight w:val="none"/>
                    </w:rPr>
                    <w:t>管控</w:t>
                  </w:r>
                </w:p>
                <w:p>
                  <w:pPr>
                    <w:jc w:val="center"/>
                    <w:rPr>
                      <w:color w:val="auto"/>
                      <w:szCs w:val="21"/>
                      <w:highlight w:val="none"/>
                    </w:rPr>
                  </w:pPr>
                  <w:r>
                    <w:rPr>
                      <w:rFonts w:hint="eastAsia"/>
                      <w:color w:val="auto"/>
                      <w:szCs w:val="21"/>
                      <w:highlight w:val="none"/>
                    </w:rPr>
                    <w:t>纬度</w:t>
                  </w:r>
                </w:p>
              </w:tc>
              <w:tc>
                <w:tcPr>
                  <w:tcW w:w="3494" w:type="dxa"/>
                  <w:vAlign w:val="center"/>
                </w:tcPr>
                <w:p>
                  <w:pPr>
                    <w:jc w:val="center"/>
                    <w:rPr>
                      <w:color w:val="auto"/>
                      <w:szCs w:val="21"/>
                      <w:highlight w:val="none"/>
                    </w:rPr>
                  </w:pPr>
                  <w:r>
                    <w:rPr>
                      <w:rFonts w:hint="eastAsia"/>
                      <w:color w:val="auto"/>
                      <w:szCs w:val="21"/>
                      <w:highlight w:val="none"/>
                    </w:rPr>
                    <w:t>具体要求</w:t>
                  </w:r>
                </w:p>
              </w:tc>
              <w:tc>
                <w:tcPr>
                  <w:tcW w:w="1500" w:type="dxa"/>
                  <w:gridSpan w:val="2"/>
                  <w:vAlign w:val="center"/>
                </w:tcPr>
                <w:p>
                  <w:pPr>
                    <w:jc w:val="center"/>
                    <w:rPr>
                      <w:color w:val="auto"/>
                      <w:szCs w:val="21"/>
                      <w:highlight w:val="none"/>
                    </w:rPr>
                  </w:pPr>
                  <w:r>
                    <w:rPr>
                      <w:rFonts w:hint="eastAsia"/>
                      <w:color w:val="auto"/>
                      <w:szCs w:val="21"/>
                      <w:highlight w:val="none"/>
                    </w:rPr>
                    <w:t>本项目</w:t>
                  </w:r>
                </w:p>
                <w:p>
                  <w:pPr>
                    <w:jc w:val="center"/>
                    <w:rPr>
                      <w:color w:val="auto"/>
                      <w:szCs w:val="21"/>
                      <w:highlight w:val="none"/>
                    </w:rPr>
                  </w:pPr>
                  <w:r>
                    <w:rPr>
                      <w:rFonts w:hint="eastAsia"/>
                      <w:color w:val="auto"/>
                      <w:szCs w:val="21"/>
                      <w:highlight w:val="none"/>
                    </w:rPr>
                    <w:t>情况</w:t>
                  </w:r>
                </w:p>
              </w:tc>
              <w:tc>
                <w:tcPr>
                  <w:tcW w:w="735" w:type="dxa"/>
                  <w:vAlign w:val="center"/>
                </w:tcPr>
                <w:p>
                  <w:pPr>
                    <w:jc w:val="center"/>
                    <w:rPr>
                      <w:color w:val="auto"/>
                      <w:szCs w:val="21"/>
                      <w:highlight w:val="none"/>
                    </w:rPr>
                  </w:pPr>
                  <w:r>
                    <w:rPr>
                      <w:rFonts w:hint="eastAsia"/>
                      <w:color w:val="auto"/>
                      <w:szCs w:val="21"/>
                      <w:highlight w:val="none"/>
                    </w:rPr>
                    <w:t>面积</w:t>
                  </w:r>
                </w:p>
              </w:tc>
              <w:tc>
                <w:tcPr>
                  <w:tcW w:w="838" w:type="dxa"/>
                  <w:vAlign w:val="center"/>
                </w:tcPr>
                <w:p>
                  <w:pPr>
                    <w:jc w:val="center"/>
                    <w:rPr>
                      <w:color w:val="auto"/>
                      <w:szCs w:val="21"/>
                      <w:highlight w:val="none"/>
                    </w:rPr>
                  </w:pPr>
                  <w:r>
                    <w:rPr>
                      <w:rFonts w:hint="eastAsia"/>
                      <w:color w:val="auto"/>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5" w:type="dxa"/>
                  <w:vMerge w:val="restart"/>
                  <w:vAlign w:val="center"/>
                </w:tcPr>
                <w:p>
                  <w:pPr>
                    <w:jc w:val="center"/>
                    <w:rPr>
                      <w:color w:val="auto"/>
                      <w:szCs w:val="21"/>
                      <w:highlight w:val="none"/>
                    </w:rPr>
                  </w:pPr>
                  <w:r>
                    <w:rPr>
                      <w:rFonts w:hint="eastAsia"/>
                      <w:color w:val="auto"/>
                      <w:szCs w:val="21"/>
                      <w:highlight w:val="none"/>
                    </w:rPr>
                    <w:t>洋县重点管控单元2</w:t>
                  </w:r>
                  <w:r>
                    <w:rPr>
                      <w:color w:val="auto"/>
                      <w:szCs w:val="21"/>
                      <w:highlight w:val="none"/>
                    </w:rPr>
                    <w:t>（大气环境布局敏感区）</w:t>
                  </w:r>
                </w:p>
              </w:tc>
              <w:tc>
                <w:tcPr>
                  <w:tcW w:w="783" w:type="dxa"/>
                  <w:vAlign w:val="center"/>
                </w:tcPr>
                <w:p>
                  <w:pPr>
                    <w:jc w:val="center"/>
                    <w:rPr>
                      <w:color w:val="auto"/>
                      <w:szCs w:val="21"/>
                      <w:highlight w:val="none"/>
                    </w:rPr>
                  </w:pPr>
                  <w:r>
                    <w:rPr>
                      <w:rFonts w:hint="eastAsia"/>
                      <w:color w:val="auto"/>
                      <w:szCs w:val="21"/>
                      <w:highlight w:val="none"/>
                    </w:rPr>
                    <w:t>空间布局约束</w:t>
                  </w:r>
                </w:p>
              </w:tc>
              <w:tc>
                <w:tcPr>
                  <w:tcW w:w="3494" w:type="dxa"/>
                  <w:vAlign w:val="center"/>
                </w:tcPr>
                <w:p>
                  <w:pPr>
                    <w:tabs>
                      <w:tab w:val="left" w:pos="265"/>
                    </w:tabs>
                    <w:autoSpaceDE w:val="0"/>
                    <w:autoSpaceDN w:val="0"/>
                    <w:snapToGrid w:val="0"/>
                    <w:ind w:right="96"/>
                    <w:rPr>
                      <w:color w:val="auto"/>
                      <w:szCs w:val="21"/>
                      <w:highlight w:val="none"/>
                    </w:rPr>
                  </w:pPr>
                  <w:r>
                    <w:rPr>
                      <w:color w:val="auto"/>
                      <w:spacing w:val="-3"/>
                      <w:kern w:val="0"/>
                      <w:szCs w:val="21"/>
                      <w:highlight w:val="none"/>
                      <w:lang w:bidi="zh-CN"/>
                    </w:rPr>
                    <w:t>严格控制新增煤电、石化、化工、钢铁、有色金属冶炼、建材等“两高”行业项目（民生等项目除外，后续对“两高”范围国家如有新规定的，从其规定）。</w:t>
                  </w:r>
                </w:p>
              </w:tc>
              <w:tc>
                <w:tcPr>
                  <w:tcW w:w="1500" w:type="dxa"/>
                  <w:gridSpan w:val="2"/>
                  <w:vAlign w:val="center"/>
                </w:tcPr>
                <w:p>
                  <w:pPr>
                    <w:rPr>
                      <w:color w:val="auto"/>
                      <w:szCs w:val="21"/>
                      <w:highlight w:val="none"/>
                    </w:rPr>
                  </w:pPr>
                  <w:r>
                    <w:rPr>
                      <w:rFonts w:hint="eastAsia"/>
                      <w:color w:val="auto"/>
                      <w:szCs w:val="21"/>
                      <w:highlight w:val="none"/>
                    </w:rPr>
                    <w:t>本项目不属于“两高”行业类别。</w:t>
                  </w:r>
                </w:p>
              </w:tc>
              <w:tc>
                <w:tcPr>
                  <w:tcW w:w="735" w:type="dxa"/>
                  <w:vMerge w:val="restart"/>
                  <w:vAlign w:val="center"/>
                </w:tcPr>
                <w:p>
                  <w:pPr>
                    <w:jc w:val="center"/>
                    <w:rPr>
                      <w:color w:val="auto"/>
                      <w:szCs w:val="21"/>
                      <w:highlight w:val="none"/>
                    </w:rPr>
                  </w:pPr>
                  <w:r>
                    <w:rPr>
                      <w:rFonts w:hint="eastAsia"/>
                      <w:color w:val="auto"/>
                      <w:szCs w:val="21"/>
                      <w:highlight w:val="none"/>
                    </w:rPr>
                    <w:t>3333.33m</w:t>
                  </w:r>
                  <w:r>
                    <w:rPr>
                      <w:rFonts w:hint="eastAsia"/>
                      <w:color w:val="auto"/>
                      <w:szCs w:val="21"/>
                      <w:highlight w:val="none"/>
                      <w:vertAlign w:val="superscript"/>
                    </w:rPr>
                    <w:t>2</w:t>
                  </w:r>
                </w:p>
                <w:p>
                  <w:pPr>
                    <w:jc w:val="center"/>
                    <w:rPr>
                      <w:color w:val="auto"/>
                      <w:szCs w:val="21"/>
                      <w:highlight w:val="none"/>
                    </w:rPr>
                  </w:pPr>
                </w:p>
                <w:p>
                  <w:pPr>
                    <w:rPr>
                      <w:color w:val="auto"/>
                      <w:szCs w:val="18"/>
                      <w:highlight w:val="none"/>
                    </w:rPr>
                  </w:pPr>
                </w:p>
              </w:tc>
              <w:tc>
                <w:tcPr>
                  <w:tcW w:w="838" w:type="dxa"/>
                  <w:vMerge w:val="restart"/>
                  <w:vAlign w:val="center"/>
                </w:tcPr>
                <w:p>
                  <w:pPr>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5" w:type="dxa"/>
                  <w:vMerge w:val="continue"/>
                  <w:vAlign w:val="center"/>
                </w:tcPr>
                <w:p>
                  <w:pPr>
                    <w:rPr>
                      <w:color w:val="auto"/>
                      <w:szCs w:val="21"/>
                      <w:highlight w:val="none"/>
                    </w:rPr>
                  </w:pPr>
                </w:p>
              </w:tc>
              <w:tc>
                <w:tcPr>
                  <w:tcW w:w="783" w:type="dxa"/>
                  <w:vAlign w:val="center"/>
                </w:tcPr>
                <w:p>
                  <w:pPr>
                    <w:jc w:val="center"/>
                    <w:rPr>
                      <w:color w:val="auto"/>
                      <w:szCs w:val="21"/>
                      <w:highlight w:val="none"/>
                    </w:rPr>
                  </w:pPr>
                  <w:r>
                    <w:rPr>
                      <w:rFonts w:hint="eastAsia" w:ascii="宋体" w:hAnsi="宋体" w:cs="宋体"/>
                      <w:color w:val="auto"/>
                      <w:szCs w:val="21"/>
                      <w:highlight w:val="none"/>
                    </w:rPr>
                    <w:t>污染物排放管控</w:t>
                  </w:r>
                </w:p>
              </w:tc>
              <w:tc>
                <w:tcPr>
                  <w:tcW w:w="3494" w:type="dxa"/>
                  <w:vAlign w:val="center"/>
                </w:tcPr>
                <w:p>
                  <w:pPr>
                    <w:tabs>
                      <w:tab w:val="left" w:pos="265"/>
                    </w:tabs>
                    <w:autoSpaceDE w:val="0"/>
                    <w:autoSpaceDN w:val="0"/>
                    <w:snapToGrid w:val="0"/>
                    <w:ind w:right="96"/>
                    <w:rPr>
                      <w:color w:val="auto"/>
                      <w:spacing w:val="-3"/>
                      <w:kern w:val="0"/>
                      <w:szCs w:val="21"/>
                      <w:highlight w:val="none"/>
                      <w:lang w:bidi="zh-CN"/>
                    </w:rPr>
                  </w:pPr>
                  <w:r>
                    <w:rPr>
                      <w:color w:val="auto"/>
                      <w:spacing w:val="-3"/>
                      <w:kern w:val="0"/>
                      <w:szCs w:val="21"/>
                      <w:highlight w:val="none"/>
                      <w:lang w:bidi="zh-CN"/>
                    </w:rPr>
                    <w:t>1.区域内保留企业采用先进生产工艺、严格落实污染治理设施，污染物执行超低排放或特别排放限值。</w:t>
                  </w:r>
                </w:p>
                <w:p>
                  <w:pPr>
                    <w:tabs>
                      <w:tab w:val="left" w:pos="265"/>
                    </w:tabs>
                    <w:autoSpaceDE w:val="0"/>
                    <w:autoSpaceDN w:val="0"/>
                    <w:snapToGrid w:val="0"/>
                    <w:ind w:right="96"/>
                    <w:rPr>
                      <w:color w:val="auto"/>
                      <w:szCs w:val="21"/>
                      <w:highlight w:val="none"/>
                    </w:rPr>
                  </w:pPr>
                  <w:r>
                    <w:rPr>
                      <w:color w:val="auto"/>
                      <w:spacing w:val="-3"/>
                      <w:kern w:val="0"/>
                      <w:szCs w:val="21"/>
                      <w:highlight w:val="none"/>
                      <w:lang w:bidi="zh-CN"/>
                    </w:rPr>
                    <w:t>2.鼓励将老旧车辆和非道路移动机械替换为清洁能源车辆。</w:t>
                  </w:r>
                </w:p>
              </w:tc>
              <w:tc>
                <w:tcPr>
                  <w:tcW w:w="1500" w:type="dxa"/>
                  <w:gridSpan w:val="2"/>
                  <w:vAlign w:val="center"/>
                </w:tcPr>
                <w:p>
                  <w:pPr>
                    <w:rPr>
                      <w:color w:val="auto"/>
                      <w:szCs w:val="18"/>
                      <w:highlight w:val="none"/>
                    </w:rPr>
                  </w:pPr>
                  <w:r>
                    <w:rPr>
                      <w:rFonts w:hint="eastAsia"/>
                      <w:color w:val="auto"/>
                      <w:szCs w:val="18"/>
                      <w:highlight w:val="none"/>
                    </w:rPr>
                    <w:t>本次泥</w:t>
                  </w:r>
                  <w:r>
                    <w:rPr>
                      <w:rFonts w:hint="eastAsia"/>
                      <w:color w:val="auto"/>
                      <w:szCs w:val="18"/>
                      <w:highlight w:val="none"/>
                      <w:lang w:eastAsia="zh-CN"/>
                    </w:rPr>
                    <w:t>砂</w:t>
                  </w:r>
                  <w:r>
                    <w:rPr>
                      <w:rFonts w:hint="eastAsia"/>
                      <w:color w:val="auto"/>
                      <w:szCs w:val="18"/>
                      <w:highlight w:val="none"/>
                    </w:rPr>
                    <w:t>分离采取现有成熟工艺，运营期间严格落实环保措施，确保污染物达标排放。</w:t>
                  </w:r>
                </w:p>
              </w:tc>
              <w:tc>
                <w:tcPr>
                  <w:tcW w:w="735" w:type="dxa"/>
                  <w:vMerge w:val="continue"/>
                  <w:vAlign w:val="center"/>
                </w:tcPr>
                <w:p>
                  <w:pPr>
                    <w:jc w:val="center"/>
                    <w:rPr>
                      <w:color w:val="auto"/>
                      <w:szCs w:val="18"/>
                      <w:highlight w:val="none"/>
                    </w:rPr>
                  </w:pPr>
                </w:p>
              </w:tc>
              <w:tc>
                <w:tcPr>
                  <w:tcW w:w="838" w:type="dxa"/>
                  <w:vMerge w:val="continue"/>
                  <w:vAlign w:val="center"/>
                </w:tcPr>
                <w:p>
                  <w:pPr>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805" w:type="dxa"/>
                  <w:vMerge w:val="restart"/>
                  <w:vAlign w:val="center"/>
                </w:tcPr>
                <w:p>
                  <w:pPr>
                    <w:jc w:val="center"/>
                    <w:rPr>
                      <w:color w:val="auto"/>
                      <w:szCs w:val="21"/>
                      <w:highlight w:val="none"/>
                    </w:rPr>
                  </w:pPr>
                </w:p>
                <w:p>
                  <w:pPr>
                    <w:jc w:val="center"/>
                    <w:rPr>
                      <w:color w:val="auto"/>
                      <w:szCs w:val="21"/>
                      <w:highlight w:val="none"/>
                    </w:rPr>
                  </w:pPr>
                  <w:r>
                    <w:rPr>
                      <w:rFonts w:hint="eastAsia"/>
                      <w:color w:val="auto"/>
                      <w:szCs w:val="21"/>
                      <w:highlight w:val="none"/>
                    </w:rPr>
                    <w:t>洋县重点管控单元4</w:t>
                  </w:r>
                </w:p>
                <w:p>
                  <w:pPr>
                    <w:jc w:val="center"/>
                    <w:rPr>
                      <w:color w:val="auto"/>
                      <w:szCs w:val="21"/>
                      <w:highlight w:val="none"/>
                    </w:rPr>
                  </w:pPr>
                </w:p>
                <w:p>
                  <w:pPr>
                    <w:jc w:val="center"/>
                    <w:rPr>
                      <w:color w:val="auto"/>
                      <w:szCs w:val="21"/>
                      <w:highlight w:val="none"/>
                    </w:rPr>
                  </w:pPr>
                  <w:r>
                    <w:rPr>
                      <w:rFonts w:hint="eastAsia"/>
                      <w:color w:val="auto"/>
                      <w:szCs w:val="21"/>
                      <w:highlight w:val="none"/>
                    </w:rPr>
                    <w:t>（水环境城镇生活重点管控区）</w:t>
                  </w:r>
                </w:p>
              </w:tc>
              <w:tc>
                <w:tcPr>
                  <w:tcW w:w="783" w:type="dxa"/>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空间布局约束</w:t>
                  </w:r>
                </w:p>
              </w:tc>
              <w:tc>
                <w:tcPr>
                  <w:tcW w:w="3494" w:type="dxa"/>
                  <w:vAlign w:val="center"/>
                </w:tcPr>
                <w:p>
                  <w:pPr>
                    <w:tabs>
                      <w:tab w:val="left" w:pos="265"/>
                    </w:tabs>
                    <w:autoSpaceDE w:val="0"/>
                    <w:autoSpaceDN w:val="0"/>
                    <w:snapToGrid w:val="0"/>
                    <w:ind w:right="96"/>
                    <w:rPr>
                      <w:color w:val="auto"/>
                      <w:szCs w:val="21"/>
                      <w:highlight w:val="none"/>
                    </w:rPr>
                  </w:pPr>
                  <w:r>
                    <w:rPr>
                      <w:color w:val="auto"/>
                      <w:szCs w:val="21"/>
                      <w:highlight w:val="none"/>
                      <w:lang w:bidi="zh-CN"/>
                    </w:rPr>
                    <w:t>加快建设城中村、老旧城区、建制镇、城乡结合部等生活污水收集管网，填补污水收集管网空白区。新建居住社区应同步规划、建设污水收集管网，推动支线管网和出户管的连接建设。</w:t>
                  </w:r>
                </w:p>
              </w:tc>
              <w:tc>
                <w:tcPr>
                  <w:tcW w:w="1500" w:type="dxa"/>
                  <w:gridSpan w:val="2"/>
                  <w:vMerge w:val="restart"/>
                  <w:vAlign w:val="center"/>
                </w:tcPr>
                <w:p>
                  <w:pPr>
                    <w:rPr>
                      <w:color w:val="auto"/>
                      <w:szCs w:val="18"/>
                      <w:highlight w:val="none"/>
                    </w:rPr>
                  </w:pPr>
                </w:p>
                <w:p>
                  <w:pPr>
                    <w:rPr>
                      <w:color w:val="auto"/>
                      <w:szCs w:val="18"/>
                      <w:highlight w:val="none"/>
                    </w:rPr>
                  </w:pPr>
                  <w:r>
                    <w:rPr>
                      <w:rFonts w:hint="eastAsia"/>
                      <w:color w:val="auto"/>
                      <w:szCs w:val="18"/>
                      <w:highlight w:val="none"/>
                    </w:rPr>
                    <w:t>本项目生活污水经现有化粪池处理后，用于周边农田施肥。</w:t>
                  </w:r>
                </w:p>
                <w:p>
                  <w:pPr>
                    <w:rPr>
                      <w:color w:val="auto"/>
                      <w:szCs w:val="18"/>
                      <w:highlight w:val="none"/>
                    </w:rPr>
                  </w:pPr>
                  <w:r>
                    <w:rPr>
                      <w:rFonts w:hint="eastAsia"/>
                      <w:color w:val="auto"/>
                      <w:szCs w:val="18"/>
                      <w:highlight w:val="none"/>
                    </w:rPr>
                    <w:t>生产废水经絮凝沉淀处理后回用，不外排。</w:t>
                  </w:r>
                </w:p>
              </w:tc>
              <w:tc>
                <w:tcPr>
                  <w:tcW w:w="735" w:type="dxa"/>
                  <w:vMerge w:val="continue"/>
                  <w:vAlign w:val="center"/>
                </w:tcPr>
                <w:p>
                  <w:pPr>
                    <w:rPr>
                      <w:color w:val="auto"/>
                      <w:szCs w:val="18"/>
                      <w:highlight w:val="none"/>
                    </w:rPr>
                  </w:pPr>
                </w:p>
              </w:tc>
              <w:tc>
                <w:tcPr>
                  <w:tcW w:w="838" w:type="dxa"/>
                  <w:vMerge w:val="restart"/>
                  <w:vAlign w:val="center"/>
                </w:tcPr>
                <w:p>
                  <w:pPr>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5" w:type="dxa"/>
                  <w:vMerge w:val="continue"/>
                  <w:vAlign w:val="center"/>
                </w:tcPr>
                <w:p>
                  <w:pPr>
                    <w:rPr>
                      <w:color w:val="auto"/>
                      <w:szCs w:val="21"/>
                      <w:highlight w:val="none"/>
                    </w:rPr>
                  </w:pPr>
                </w:p>
              </w:tc>
              <w:tc>
                <w:tcPr>
                  <w:tcW w:w="783" w:type="dxa"/>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污染物排放管控</w:t>
                  </w:r>
                </w:p>
              </w:tc>
              <w:tc>
                <w:tcPr>
                  <w:tcW w:w="3494" w:type="dxa"/>
                  <w:vAlign w:val="center"/>
                </w:tcPr>
                <w:p>
                  <w:pPr>
                    <w:snapToGrid w:val="0"/>
                    <w:rPr>
                      <w:color w:val="auto"/>
                      <w:szCs w:val="21"/>
                      <w:highlight w:val="none"/>
                      <w:lang w:bidi="zh-CN"/>
                    </w:rPr>
                  </w:pPr>
                  <w:r>
                    <w:rPr>
                      <w:color w:val="auto"/>
                      <w:szCs w:val="21"/>
                      <w:highlight w:val="none"/>
                      <w:lang w:bidi="zh-CN"/>
                    </w:rPr>
                    <w:t>1.城镇新区管网建设及老旧城区管网升级改造中实行雨污分流，推进初期雨水收集、处理和资源化利用。</w:t>
                  </w:r>
                </w:p>
                <w:p>
                  <w:pPr>
                    <w:snapToGrid w:val="0"/>
                    <w:rPr>
                      <w:color w:val="auto"/>
                      <w:szCs w:val="21"/>
                      <w:highlight w:val="none"/>
                      <w:lang w:bidi="zh-CN"/>
                    </w:rPr>
                  </w:pPr>
                  <w:r>
                    <w:rPr>
                      <w:color w:val="auto"/>
                      <w:szCs w:val="21"/>
                      <w:highlight w:val="none"/>
                      <w:lang w:bidi="zh-CN"/>
                    </w:rPr>
                    <w:t>2.加强排污口长效监管。</w:t>
                  </w:r>
                </w:p>
                <w:p>
                  <w:pPr>
                    <w:tabs>
                      <w:tab w:val="left" w:pos="265"/>
                    </w:tabs>
                    <w:autoSpaceDE w:val="0"/>
                    <w:autoSpaceDN w:val="0"/>
                    <w:snapToGrid w:val="0"/>
                    <w:ind w:right="96"/>
                    <w:rPr>
                      <w:color w:val="auto"/>
                      <w:szCs w:val="21"/>
                      <w:highlight w:val="none"/>
                    </w:rPr>
                  </w:pPr>
                  <w:r>
                    <w:rPr>
                      <w:color w:val="auto"/>
                      <w:szCs w:val="21"/>
                      <w:highlight w:val="none"/>
                      <w:lang w:bidi="zh-CN"/>
                    </w:rPr>
                    <w:t>3.加快提升污水厂运营水平，使出水稳定达到标准要求。</w:t>
                  </w:r>
                </w:p>
              </w:tc>
              <w:tc>
                <w:tcPr>
                  <w:tcW w:w="1500" w:type="dxa"/>
                  <w:gridSpan w:val="2"/>
                  <w:vMerge w:val="continue"/>
                  <w:vAlign w:val="center"/>
                </w:tcPr>
                <w:p>
                  <w:pPr>
                    <w:rPr>
                      <w:color w:val="auto"/>
                      <w:szCs w:val="18"/>
                      <w:highlight w:val="none"/>
                    </w:rPr>
                  </w:pPr>
                </w:p>
              </w:tc>
              <w:tc>
                <w:tcPr>
                  <w:tcW w:w="735" w:type="dxa"/>
                  <w:vMerge w:val="continue"/>
                  <w:vAlign w:val="center"/>
                </w:tcPr>
                <w:p>
                  <w:pPr>
                    <w:rPr>
                      <w:color w:val="auto"/>
                      <w:szCs w:val="18"/>
                      <w:highlight w:val="none"/>
                    </w:rPr>
                  </w:pPr>
                </w:p>
              </w:tc>
              <w:tc>
                <w:tcPr>
                  <w:tcW w:w="838" w:type="dxa"/>
                  <w:vMerge w:val="continue"/>
                  <w:vAlign w:val="center"/>
                </w:tcPr>
                <w:p>
                  <w:pPr>
                    <w:jc w:val="center"/>
                    <w:rPr>
                      <w:color w:val="auto"/>
                      <w:szCs w:val="21"/>
                      <w:highlight w:val="none"/>
                    </w:rPr>
                  </w:pPr>
                </w:p>
              </w:tc>
            </w:tr>
          </w:tbl>
          <w:p>
            <w:pPr>
              <w:pStyle w:val="135"/>
              <w:numPr>
                <w:ilvl w:val="0"/>
                <w:numId w:val="0"/>
              </w:num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）对比结论如下：</w:t>
            </w:r>
          </w:p>
          <w:p>
            <w:pPr>
              <w:pStyle w:val="135"/>
              <w:numPr>
                <w:ilvl w:val="0"/>
                <w:numId w:val="0"/>
              </w:numPr>
              <w:spacing w:line="360" w:lineRule="auto"/>
              <w:rPr>
                <w:rFonts w:hint="default"/>
                <w:color w:val="auto"/>
                <w:sz w:val="24"/>
                <w:highlight w:val="none"/>
                <w:lang w:val="en-US" w:eastAsia="zh-CN"/>
              </w:rPr>
            </w:pPr>
            <w:r>
              <w:rPr>
                <w:rFonts w:hint="eastAsia"/>
                <w:color w:val="auto"/>
                <w:sz w:val="24"/>
                <w:highlight w:val="none"/>
                <w:lang w:val="en-US" w:eastAsia="zh-CN"/>
              </w:rPr>
              <w:t xml:space="preserve">    根据图1-1和表1-2中对比结果可知，本项目符合汉中市</w:t>
            </w:r>
            <w:r>
              <w:rPr>
                <w:rFonts w:hint="eastAsia"/>
                <w:color w:val="auto"/>
                <w:sz w:val="24"/>
                <w:szCs w:val="32"/>
                <w:highlight w:val="none"/>
                <w:lang w:eastAsia="zh-CN"/>
              </w:rPr>
              <w:t>生态环境管控单元中相关要求。</w:t>
            </w:r>
          </w:p>
          <w:p>
            <w:pPr>
              <w:pStyle w:val="135"/>
              <w:spacing w:line="360" w:lineRule="auto"/>
              <w:rPr>
                <w:color w:val="auto"/>
                <w:sz w:val="24"/>
                <w:highlight w:val="none"/>
              </w:rPr>
            </w:pPr>
            <w:r>
              <w:rPr>
                <w:rFonts w:hint="eastAsia"/>
                <w:color w:val="auto"/>
                <w:sz w:val="24"/>
                <w:highlight w:val="none"/>
              </w:rPr>
              <w:t>4、与省、市、县</w:t>
            </w:r>
            <w:r>
              <w:rPr>
                <w:rFonts w:hint="eastAsia"/>
                <w:color w:val="auto"/>
                <w:sz w:val="24"/>
                <w:highlight w:val="none"/>
                <w:lang w:eastAsia="zh-CN"/>
              </w:rPr>
              <w:t>（</w:t>
            </w:r>
            <w:r>
              <w:rPr>
                <w:rFonts w:hint="eastAsia"/>
                <w:color w:val="auto"/>
                <w:sz w:val="24"/>
                <w:highlight w:val="none"/>
              </w:rPr>
              <w:t>区</w:t>
            </w:r>
            <w:r>
              <w:rPr>
                <w:rFonts w:hint="eastAsia"/>
                <w:color w:val="auto"/>
                <w:sz w:val="24"/>
                <w:highlight w:val="none"/>
                <w:lang w:eastAsia="zh-CN"/>
              </w:rPr>
              <w:t>）</w:t>
            </w:r>
            <w:r>
              <w:rPr>
                <w:rFonts w:hint="eastAsia"/>
                <w:color w:val="auto"/>
                <w:sz w:val="24"/>
                <w:highlight w:val="none"/>
              </w:rPr>
              <w:t>“十四五”生态环境保护规划的符合性分析</w:t>
            </w:r>
          </w:p>
          <w:p>
            <w:pPr>
              <w:wordWrap w:val="0"/>
              <w:jc w:val="center"/>
              <w:rPr>
                <w:b/>
                <w:bCs/>
                <w:color w:val="auto"/>
                <w:szCs w:val="21"/>
                <w:highlight w:val="none"/>
              </w:rPr>
            </w:pPr>
            <w:r>
              <w:rPr>
                <w:b/>
                <w:bCs/>
                <w:color w:val="auto"/>
                <w:szCs w:val="21"/>
                <w:highlight w:val="none"/>
              </w:rPr>
              <w:t>表1-</w:t>
            </w:r>
            <w:r>
              <w:rPr>
                <w:rFonts w:hint="eastAsia"/>
                <w:b/>
                <w:bCs/>
                <w:color w:val="auto"/>
                <w:szCs w:val="21"/>
                <w:highlight w:val="none"/>
              </w:rPr>
              <w:t>3</w:t>
            </w:r>
            <w:r>
              <w:rPr>
                <w:b/>
                <w:bCs/>
                <w:color w:val="auto"/>
                <w:szCs w:val="21"/>
                <w:highlight w:val="none"/>
              </w:rPr>
              <w:t xml:space="preserve">  </w:t>
            </w:r>
            <w:r>
              <w:rPr>
                <w:rFonts w:hint="eastAsia"/>
                <w:b/>
                <w:bCs/>
                <w:color w:val="auto"/>
                <w:szCs w:val="21"/>
                <w:highlight w:val="none"/>
              </w:rPr>
              <w:t>本</w:t>
            </w:r>
            <w:r>
              <w:rPr>
                <w:b/>
                <w:bCs/>
                <w:color w:val="auto"/>
                <w:szCs w:val="21"/>
                <w:highlight w:val="none"/>
              </w:rPr>
              <w:t>项目与</w:t>
            </w:r>
            <w:r>
              <w:rPr>
                <w:rFonts w:hint="eastAsia"/>
                <w:b/>
                <w:bCs/>
                <w:color w:val="auto"/>
                <w:szCs w:val="21"/>
                <w:highlight w:val="none"/>
              </w:rPr>
              <w:t>省、市、县区“十四五”生态环境保护规划的符合性一览表</w:t>
            </w:r>
          </w:p>
          <w:tbl>
            <w:tblPr>
              <w:tblStyle w:val="34"/>
              <w:tblW w:w="810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4121"/>
              <w:gridCol w:w="1582"/>
              <w:gridCol w:w="10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2" w:type="dxa"/>
                  <w:tcBorders>
                    <w:tl2br w:val="nil"/>
                    <w:tr2bl w:val="nil"/>
                  </w:tcBorders>
                  <w:vAlign w:val="center"/>
                </w:tcPr>
                <w:p>
                  <w:pPr>
                    <w:wordWrap w:val="0"/>
                    <w:jc w:val="center"/>
                    <w:rPr>
                      <w:color w:val="auto"/>
                      <w:szCs w:val="21"/>
                      <w:highlight w:val="none"/>
                    </w:rPr>
                  </w:pPr>
                  <w:r>
                    <w:rPr>
                      <w:color w:val="auto"/>
                      <w:szCs w:val="21"/>
                      <w:highlight w:val="none"/>
                    </w:rPr>
                    <w:t>相关政策</w:t>
                  </w:r>
                </w:p>
              </w:tc>
              <w:tc>
                <w:tcPr>
                  <w:tcW w:w="4121" w:type="dxa"/>
                  <w:tcBorders>
                    <w:tl2br w:val="nil"/>
                    <w:tr2bl w:val="nil"/>
                  </w:tcBorders>
                  <w:vAlign w:val="center"/>
                </w:tcPr>
                <w:p>
                  <w:pPr>
                    <w:wordWrap w:val="0"/>
                    <w:jc w:val="center"/>
                    <w:rPr>
                      <w:color w:val="auto"/>
                      <w:szCs w:val="21"/>
                      <w:highlight w:val="none"/>
                    </w:rPr>
                  </w:pPr>
                  <w:r>
                    <w:rPr>
                      <w:color w:val="auto"/>
                      <w:szCs w:val="21"/>
                      <w:highlight w:val="none"/>
                    </w:rPr>
                    <w:t>内容</w:t>
                  </w:r>
                </w:p>
              </w:tc>
              <w:tc>
                <w:tcPr>
                  <w:tcW w:w="1582" w:type="dxa"/>
                  <w:tcBorders>
                    <w:tl2br w:val="nil"/>
                    <w:tr2bl w:val="nil"/>
                  </w:tcBorders>
                  <w:vAlign w:val="center"/>
                </w:tcPr>
                <w:p>
                  <w:pPr>
                    <w:wordWrap w:val="0"/>
                    <w:jc w:val="center"/>
                    <w:rPr>
                      <w:color w:val="auto"/>
                      <w:szCs w:val="21"/>
                      <w:highlight w:val="none"/>
                    </w:rPr>
                  </w:pPr>
                  <w:r>
                    <w:rPr>
                      <w:color w:val="auto"/>
                      <w:szCs w:val="21"/>
                      <w:highlight w:val="none"/>
                    </w:rPr>
                    <w:t>本项目情况</w:t>
                  </w:r>
                </w:p>
              </w:tc>
              <w:tc>
                <w:tcPr>
                  <w:tcW w:w="1023" w:type="dxa"/>
                  <w:tcBorders>
                    <w:tl2br w:val="nil"/>
                    <w:tr2bl w:val="nil"/>
                  </w:tcBorders>
                  <w:vAlign w:val="center"/>
                </w:tcPr>
                <w:p>
                  <w:pPr>
                    <w:wordWrap w:val="0"/>
                    <w:jc w:val="center"/>
                    <w:rPr>
                      <w:color w:val="auto"/>
                      <w:szCs w:val="21"/>
                      <w:highlight w:val="none"/>
                    </w:rPr>
                  </w:pPr>
                  <w:r>
                    <w:rPr>
                      <w:color w:val="auto"/>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82" w:type="dxa"/>
                  <w:vMerge w:val="restart"/>
                  <w:tcBorders>
                    <w:tl2br w:val="nil"/>
                    <w:tr2bl w:val="nil"/>
                  </w:tcBorders>
                  <w:vAlign w:val="center"/>
                </w:tcPr>
                <w:p>
                  <w:pPr>
                    <w:wordWrap w:val="0"/>
                    <w:jc w:val="center"/>
                    <w:rPr>
                      <w:rFonts w:hint="eastAsia"/>
                      <w:color w:val="auto"/>
                      <w:szCs w:val="21"/>
                      <w:highlight w:val="none"/>
                    </w:rPr>
                  </w:pPr>
                </w:p>
                <w:p>
                  <w:pPr>
                    <w:wordWrap w:val="0"/>
                    <w:jc w:val="center"/>
                    <w:rPr>
                      <w:rFonts w:hint="eastAsia"/>
                      <w:color w:val="auto"/>
                      <w:szCs w:val="21"/>
                      <w:highlight w:val="none"/>
                    </w:rPr>
                  </w:pPr>
                </w:p>
                <w:p>
                  <w:pPr>
                    <w:wordWrap w:val="0"/>
                    <w:jc w:val="center"/>
                    <w:rPr>
                      <w:rFonts w:hint="eastAsia"/>
                      <w:color w:val="auto"/>
                      <w:szCs w:val="21"/>
                      <w:highlight w:val="none"/>
                    </w:rPr>
                  </w:pPr>
                </w:p>
                <w:p>
                  <w:pPr>
                    <w:wordWrap w:val="0"/>
                    <w:jc w:val="center"/>
                    <w:rPr>
                      <w:rFonts w:hint="eastAsia"/>
                      <w:color w:val="auto"/>
                      <w:szCs w:val="21"/>
                      <w:highlight w:val="none"/>
                    </w:rPr>
                  </w:pPr>
                </w:p>
                <w:p>
                  <w:pPr>
                    <w:wordWrap w:val="0"/>
                    <w:jc w:val="center"/>
                    <w:rPr>
                      <w:rFonts w:hint="eastAsia"/>
                      <w:color w:val="auto"/>
                      <w:szCs w:val="21"/>
                      <w:highlight w:val="none"/>
                    </w:rPr>
                  </w:pPr>
                </w:p>
                <w:p>
                  <w:pPr>
                    <w:wordWrap w:val="0"/>
                    <w:jc w:val="center"/>
                    <w:rPr>
                      <w:rFonts w:hint="eastAsia"/>
                      <w:color w:val="auto"/>
                      <w:szCs w:val="21"/>
                      <w:highlight w:val="none"/>
                    </w:rPr>
                  </w:pPr>
                </w:p>
                <w:p>
                  <w:pPr>
                    <w:wordWrap w:val="0"/>
                    <w:jc w:val="center"/>
                    <w:rPr>
                      <w:rFonts w:hint="eastAsia"/>
                      <w:color w:val="auto"/>
                      <w:szCs w:val="21"/>
                      <w:highlight w:val="none"/>
                    </w:rPr>
                  </w:pPr>
                </w:p>
                <w:p>
                  <w:pPr>
                    <w:wordWrap w:val="0"/>
                    <w:jc w:val="center"/>
                    <w:rPr>
                      <w:rFonts w:hint="eastAsia"/>
                      <w:color w:val="auto"/>
                      <w:szCs w:val="21"/>
                      <w:highlight w:val="none"/>
                    </w:rPr>
                  </w:pPr>
                </w:p>
                <w:p>
                  <w:pPr>
                    <w:wordWrap w:val="0"/>
                    <w:jc w:val="center"/>
                    <w:rPr>
                      <w:rFonts w:hint="eastAsia"/>
                      <w:color w:val="auto"/>
                      <w:szCs w:val="21"/>
                      <w:highlight w:val="none"/>
                    </w:rPr>
                  </w:pPr>
                </w:p>
                <w:p>
                  <w:pPr>
                    <w:wordWrap w:val="0"/>
                    <w:jc w:val="center"/>
                    <w:rPr>
                      <w:color w:val="auto"/>
                      <w:szCs w:val="21"/>
                      <w:highlight w:val="none"/>
                    </w:rPr>
                  </w:pPr>
                  <w:r>
                    <w:rPr>
                      <w:rFonts w:hint="eastAsia"/>
                      <w:color w:val="auto"/>
                      <w:szCs w:val="21"/>
                      <w:highlight w:val="none"/>
                    </w:rPr>
                    <w:t>《陕西省“十四五”生态环境保护规划》（陕政办发[2021]25号）</w:t>
                  </w:r>
                </w:p>
              </w:tc>
              <w:tc>
                <w:tcPr>
                  <w:tcW w:w="4121" w:type="dxa"/>
                  <w:tcBorders>
                    <w:tl2br w:val="nil"/>
                    <w:tr2bl w:val="nil"/>
                  </w:tcBorders>
                  <w:vAlign w:val="center"/>
                </w:tcPr>
                <w:p>
                  <w:pPr>
                    <w:wordWrap w:val="0"/>
                    <w:jc w:val="left"/>
                    <w:rPr>
                      <w:b/>
                      <w:bCs/>
                      <w:color w:val="auto"/>
                      <w:szCs w:val="21"/>
                      <w:highlight w:val="none"/>
                    </w:rPr>
                  </w:pPr>
                  <w:r>
                    <w:rPr>
                      <w:rFonts w:hint="eastAsia"/>
                      <w:b/>
                      <w:bCs/>
                      <w:color w:val="auto"/>
                      <w:szCs w:val="21"/>
                      <w:highlight w:val="none"/>
                    </w:rPr>
                    <w:t>第五章</w:t>
                  </w:r>
                  <w:r>
                    <w:rPr>
                      <w:b/>
                      <w:bCs/>
                      <w:color w:val="auto"/>
                      <w:szCs w:val="21"/>
                      <w:highlight w:val="none"/>
                    </w:rPr>
                    <w:t>第二节</w:t>
                  </w:r>
                  <w:r>
                    <w:rPr>
                      <w:rFonts w:hint="eastAsia"/>
                      <w:b/>
                      <w:bCs/>
                      <w:color w:val="auto"/>
                      <w:szCs w:val="21"/>
                      <w:highlight w:val="none"/>
                    </w:rPr>
                    <w:t>—</w:t>
                  </w:r>
                  <w:r>
                    <w:rPr>
                      <w:b/>
                      <w:bCs/>
                      <w:color w:val="auto"/>
                      <w:szCs w:val="21"/>
                      <w:highlight w:val="none"/>
                    </w:rPr>
                    <w:t>持续推进重点污染源治理</w:t>
                  </w:r>
                </w:p>
                <w:p>
                  <w:pPr>
                    <w:wordWrap w:val="0"/>
                    <w:jc w:val="left"/>
                    <w:rPr>
                      <w:color w:val="auto"/>
                      <w:szCs w:val="21"/>
                      <w:highlight w:val="none"/>
                    </w:rPr>
                  </w:pPr>
                  <w:r>
                    <w:rPr>
                      <w:rFonts w:hint="eastAsia"/>
                      <w:color w:val="auto"/>
                      <w:szCs w:val="21"/>
                      <w:highlight w:val="none"/>
                    </w:rPr>
                    <w:t>加强扬尘精细化管控。建立扬尘污染源清单，实现扬尘污染源动态管理，构建“过程全覆盖、管理全方位、责任全链条”的扬尘防治体系。全面推行绿色施工，将绿色施工纳入企业资质和信用评价。对重点区域道路、水务等线性工程进行分段施工。大力推进低尘机械化湿式清扫作业，加大重要路段冲洗保洁力度，渣土车实施硬覆盖与全密闭运输，强化道路绿化用地扬尘治理。大型煤炭、矿石、干散货堆场，全面完成抑尘设施建设和物料输。鼓励有条件的堆场实施全封闭改造。</w:t>
                  </w:r>
                </w:p>
              </w:tc>
              <w:tc>
                <w:tcPr>
                  <w:tcW w:w="1582" w:type="dxa"/>
                  <w:vMerge w:val="restart"/>
                  <w:tcBorders>
                    <w:tl2br w:val="nil"/>
                    <w:tr2bl w:val="nil"/>
                  </w:tcBorders>
                  <w:vAlign w:val="center"/>
                </w:tcPr>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r>
                    <w:rPr>
                      <w:rFonts w:hint="eastAsia"/>
                      <w:color w:val="auto"/>
                      <w:highlight w:val="none"/>
                    </w:rPr>
                    <w:t>①</w:t>
                  </w:r>
                  <w:r>
                    <w:rPr>
                      <w:color w:val="auto"/>
                      <w:highlight w:val="none"/>
                    </w:rPr>
                    <w:t>本项目</w:t>
                  </w:r>
                  <w:r>
                    <w:rPr>
                      <w:rFonts w:hint="eastAsia"/>
                      <w:color w:val="auto"/>
                      <w:highlight w:val="none"/>
                    </w:rPr>
                    <w:t>施工过程中采取隔挡、喷淋、覆盖防尘网等措施，减少施工扬尘的产生；运输过程中采取密闭、篷布遮盖等措施，减少运输扬尘的产生；利用现有沉淀池，定期对运输车辆进行冲洗，冲洗水回用不外排。</w:t>
                  </w:r>
                </w:p>
                <w:p>
                  <w:pPr>
                    <w:rPr>
                      <w:color w:val="auto"/>
                      <w:highlight w:val="none"/>
                    </w:rPr>
                  </w:pPr>
                  <w:r>
                    <w:rPr>
                      <w:rFonts w:hint="eastAsia"/>
                      <w:color w:val="auto"/>
                      <w:highlight w:val="none"/>
                    </w:rPr>
                    <w:t>②此外，原料区及成品区要求设三面围挡+顶棚。</w:t>
                  </w:r>
                </w:p>
                <w:p>
                  <w:pPr>
                    <w:pStyle w:val="43"/>
                    <w:spacing w:line="240" w:lineRule="auto"/>
                    <w:ind w:firstLine="0" w:firstLineChars="0"/>
                    <w:rPr>
                      <w:color w:val="auto"/>
                      <w:highlight w:val="none"/>
                    </w:rPr>
                  </w:pPr>
                  <w:r>
                    <w:rPr>
                      <w:rFonts w:ascii="Times New Roman" w:hAnsi="Times New Roman"/>
                      <w:color w:val="auto"/>
                      <w:sz w:val="21"/>
                      <w:szCs w:val="21"/>
                      <w:highlight w:val="none"/>
                    </w:rPr>
                    <w:t>③</w:t>
                  </w:r>
                  <w:r>
                    <w:rPr>
                      <w:rFonts w:hint="eastAsia" w:ascii="Times New Roman" w:hAnsi="Times New Roman"/>
                      <w:color w:val="auto"/>
                      <w:sz w:val="21"/>
                      <w:szCs w:val="21"/>
                      <w:highlight w:val="none"/>
                    </w:rPr>
                    <w:t>生产废水经絮凝沉淀处理后，返回生产工序，不外排；生活污水经现有化粪池处理后用于周边农田施肥，不外排。</w:t>
                  </w:r>
                </w:p>
              </w:tc>
              <w:tc>
                <w:tcPr>
                  <w:tcW w:w="1023" w:type="dxa"/>
                  <w:vMerge w:val="restart"/>
                  <w:tcBorders>
                    <w:tl2br w:val="nil"/>
                    <w:tr2bl w:val="nil"/>
                  </w:tcBorders>
                  <w:vAlign w:val="center"/>
                </w:tcPr>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p>
                <w:p>
                  <w:pPr>
                    <w:wordWrap w:val="0"/>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82" w:type="dxa"/>
                  <w:vMerge w:val="continue"/>
                  <w:tcBorders>
                    <w:tl2br w:val="nil"/>
                    <w:tr2bl w:val="nil"/>
                  </w:tcBorders>
                  <w:vAlign w:val="center"/>
                </w:tcPr>
                <w:p>
                  <w:pPr>
                    <w:wordWrap w:val="0"/>
                    <w:jc w:val="center"/>
                    <w:rPr>
                      <w:color w:val="auto"/>
                      <w:szCs w:val="21"/>
                      <w:highlight w:val="none"/>
                    </w:rPr>
                  </w:pPr>
                </w:p>
              </w:tc>
              <w:tc>
                <w:tcPr>
                  <w:tcW w:w="4121" w:type="dxa"/>
                  <w:tcBorders>
                    <w:tl2br w:val="nil"/>
                    <w:tr2bl w:val="nil"/>
                  </w:tcBorders>
                  <w:vAlign w:val="center"/>
                </w:tcPr>
                <w:p>
                  <w:pPr>
                    <w:wordWrap w:val="0"/>
                    <w:jc w:val="left"/>
                    <w:rPr>
                      <w:b/>
                      <w:bCs/>
                      <w:color w:val="auto"/>
                      <w:szCs w:val="21"/>
                      <w:highlight w:val="none"/>
                    </w:rPr>
                  </w:pPr>
                  <w:r>
                    <w:rPr>
                      <w:rFonts w:hint="eastAsia"/>
                      <w:b/>
                      <w:bCs/>
                      <w:color w:val="auto"/>
                      <w:szCs w:val="21"/>
                      <w:highlight w:val="none"/>
                    </w:rPr>
                    <w:t>第六章第三节—持续深化水污染治理</w:t>
                  </w:r>
                </w:p>
                <w:p>
                  <w:pPr>
                    <w:wordWrap w:val="0"/>
                    <w:jc w:val="left"/>
                    <w:rPr>
                      <w:color w:val="auto"/>
                      <w:szCs w:val="21"/>
                      <w:highlight w:val="none"/>
                    </w:rPr>
                  </w:pPr>
                  <w:r>
                    <w:rPr>
                      <w:rFonts w:hint="eastAsia"/>
                      <w:color w:val="auto"/>
                      <w:szCs w:val="21"/>
                      <w:highlight w:val="none"/>
                    </w:rPr>
                    <w:t>持续推进工业污水治理。引导工业企业污水近零排放，降低污染负荷。</w:t>
                  </w:r>
                </w:p>
              </w:tc>
              <w:tc>
                <w:tcPr>
                  <w:tcW w:w="1582" w:type="dxa"/>
                  <w:vMerge w:val="continue"/>
                  <w:tcBorders>
                    <w:tl2br w:val="nil"/>
                    <w:tr2bl w:val="nil"/>
                  </w:tcBorders>
                  <w:vAlign w:val="center"/>
                </w:tcPr>
                <w:p>
                  <w:pPr>
                    <w:rPr>
                      <w:rFonts w:ascii="宋体" w:hAnsi="宋体" w:cs="宋体"/>
                      <w:color w:val="auto"/>
                      <w:szCs w:val="21"/>
                      <w:highlight w:val="none"/>
                    </w:rPr>
                  </w:pPr>
                </w:p>
              </w:tc>
              <w:tc>
                <w:tcPr>
                  <w:tcW w:w="1023" w:type="dxa"/>
                  <w:vMerge w:val="continue"/>
                  <w:tcBorders>
                    <w:tl2br w:val="nil"/>
                    <w:tr2bl w:val="nil"/>
                  </w:tcBorders>
                  <w:vAlign w:val="center"/>
                </w:tcPr>
                <w:p>
                  <w:pPr>
                    <w:wordWrap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82" w:type="dxa"/>
                  <w:vMerge w:val="restart"/>
                  <w:tcBorders>
                    <w:tl2br w:val="nil"/>
                    <w:tr2bl w:val="nil"/>
                  </w:tcBorders>
                  <w:vAlign w:val="center"/>
                </w:tcPr>
                <w:p>
                  <w:pPr>
                    <w:wordWrap w:val="0"/>
                    <w:jc w:val="center"/>
                    <w:rPr>
                      <w:color w:val="auto"/>
                      <w:szCs w:val="21"/>
                      <w:highlight w:val="none"/>
                    </w:rPr>
                  </w:pPr>
                  <w:r>
                    <w:rPr>
                      <w:color w:val="auto"/>
                      <w:szCs w:val="21"/>
                      <w:highlight w:val="none"/>
                    </w:rPr>
                    <w:t>《</w:t>
                  </w:r>
                  <w:r>
                    <w:rPr>
                      <w:rFonts w:hint="eastAsia"/>
                      <w:color w:val="auto"/>
                      <w:szCs w:val="21"/>
                      <w:highlight w:val="none"/>
                    </w:rPr>
                    <w:t>汉中市“十四五”生态环境保护规划</w:t>
                  </w:r>
                  <w:r>
                    <w:rPr>
                      <w:color w:val="auto"/>
                      <w:szCs w:val="21"/>
                      <w:highlight w:val="none"/>
                    </w:rPr>
                    <w:t>》（</w:t>
                  </w:r>
                  <w:r>
                    <w:rPr>
                      <w:rFonts w:hint="eastAsia"/>
                      <w:color w:val="auto"/>
                      <w:szCs w:val="21"/>
                      <w:highlight w:val="none"/>
                    </w:rPr>
                    <w:t>汉政办发[2021]54号</w:t>
                  </w:r>
                  <w:r>
                    <w:rPr>
                      <w:color w:val="auto"/>
                      <w:szCs w:val="21"/>
                      <w:highlight w:val="none"/>
                    </w:rPr>
                    <w:t>）</w:t>
                  </w:r>
                </w:p>
              </w:tc>
              <w:tc>
                <w:tcPr>
                  <w:tcW w:w="4121" w:type="dxa"/>
                  <w:tcBorders>
                    <w:tl2br w:val="nil"/>
                    <w:tr2bl w:val="nil"/>
                  </w:tcBorders>
                  <w:vAlign w:val="center"/>
                </w:tcPr>
                <w:p>
                  <w:pPr>
                    <w:pStyle w:val="44"/>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第五章第二节—加强扬尘精细化管控</w:t>
                  </w:r>
                </w:p>
                <w:p>
                  <w:pPr>
                    <w:pStyle w:val="44"/>
                    <w:rPr>
                      <w:color w:val="auto"/>
                      <w:highlight w:val="none"/>
                    </w:rPr>
                  </w:pPr>
                  <w:r>
                    <w:rPr>
                      <w:rFonts w:ascii="Times New Roman" w:hAnsi="Times New Roman" w:cs="Times New Roman"/>
                      <w:color w:val="auto"/>
                      <w:sz w:val="21"/>
                      <w:szCs w:val="21"/>
                      <w:highlight w:val="none"/>
                    </w:rPr>
                    <w:t>建立扬尘污染源清单，实现扬尘污染源动态管理，构建“过程全覆盖、管理全方位、责任全链条”的扬尘防治体系。全面推行绿色施工，严格执行施工工地“6个100%”抑尘措施，加大执法检查力度，依法查处各类施工扬尘违法行</w:t>
                  </w:r>
                  <w:r>
                    <w:rPr>
                      <w:color w:val="auto"/>
                      <w:sz w:val="21"/>
                      <w:szCs w:val="21"/>
                      <w:highlight w:val="none"/>
                    </w:rPr>
                    <w:t>为</w:t>
                  </w:r>
                  <w:r>
                    <w:rPr>
                      <w:color w:val="auto"/>
                      <w:highlight w:val="none"/>
                    </w:rPr>
                    <w:t>，</w:t>
                  </w:r>
                  <w:r>
                    <w:rPr>
                      <w:rFonts w:ascii="Times New Roman" w:hAnsi="Times New Roman" w:cs="Times New Roman"/>
                      <w:color w:val="auto"/>
                      <w:sz w:val="21"/>
                      <w:szCs w:val="21"/>
                      <w:highlight w:val="none"/>
                    </w:rPr>
                    <w:t>将绿色施工纳入企业资质和信用评价。对重点区域道路、管廊等线性工程进行分段施工。大力实施“阳光运输”， 推进低尘机械化湿式清扫作业，加大重要路段冲洗保洁力度，渣土车实施硬覆盖与全密闭运输，强化道路绿化用地扬尘治理。市中心城区及各县区建成区范围内未纳入保障类工程清单的施工工地要严格执行冬季错峰作业措施，并对保障类工程所用渣土车、砂石车和商砼车实行运输管控。大型煤炭、矿石、干散货堆场，全面完成抑尘设施建设和物料输送系统封闭改造。鼓励有条件的堆场实施全封闭改造。</w:t>
                  </w:r>
                </w:p>
              </w:tc>
              <w:tc>
                <w:tcPr>
                  <w:tcW w:w="1582" w:type="dxa"/>
                  <w:vMerge w:val="continue"/>
                  <w:tcBorders>
                    <w:tl2br w:val="nil"/>
                    <w:tr2bl w:val="nil"/>
                  </w:tcBorders>
                  <w:vAlign w:val="center"/>
                </w:tcPr>
                <w:p>
                  <w:pPr>
                    <w:wordWrap w:val="0"/>
                    <w:rPr>
                      <w:color w:val="auto"/>
                      <w:szCs w:val="21"/>
                      <w:highlight w:val="none"/>
                    </w:rPr>
                  </w:pPr>
                </w:p>
              </w:tc>
              <w:tc>
                <w:tcPr>
                  <w:tcW w:w="1023" w:type="dxa"/>
                  <w:vMerge w:val="continue"/>
                  <w:tcBorders>
                    <w:tl2br w:val="nil"/>
                    <w:tr2bl w:val="nil"/>
                  </w:tcBorders>
                  <w:vAlign w:val="center"/>
                </w:tcPr>
                <w:p>
                  <w:pPr>
                    <w:wordWrap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82" w:type="dxa"/>
                  <w:vMerge w:val="continue"/>
                  <w:tcBorders>
                    <w:tl2br w:val="nil"/>
                    <w:tr2bl w:val="nil"/>
                  </w:tcBorders>
                  <w:vAlign w:val="center"/>
                </w:tcPr>
                <w:p>
                  <w:pPr>
                    <w:wordWrap w:val="0"/>
                    <w:jc w:val="center"/>
                    <w:rPr>
                      <w:color w:val="auto"/>
                      <w:szCs w:val="21"/>
                      <w:highlight w:val="none"/>
                    </w:rPr>
                  </w:pPr>
                </w:p>
              </w:tc>
              <w:tc>
                <w:tcPr>
                  <w:tcW w:w="4121" w:type="dxa"/>
                  <w:tcBorders>
                    <w:tl2br w:val="nil"/>
                    <w:tr2bl w:val="nil"/>
                  </w:tcBorders>
                  <w:vAlign w:val="center"/>
                </w:tcPr>
                <w:p>
                  <w:pPr>
                    <w:wordWrap w:val="0"/>
                    <w:jc w:val="left"/>
                    <w:rPr>
                      <w:b/>
                      <w:bCs/>
                      <w:color w:val="auto"/>
                      <w:szCs w:val="21"/>
                      <w:highlight w:val="none"/>
                    </w:rPr>
                  </w:pPr>
                  <w:r>
                    <w:rPr>
                      <w:rFonts w:hint="eastAsia"/>
                      <w:b/>
                      <w:bCs/>
                      <w:color w:val="auto"/>
                      <w:szCs w:val="21"/>
                      <w:highlight w:val="none"/>
                    </w:rPr>
                    <w:t>第六章第三节—持续深化水污染治理</w:t>
                  </w:r>
                </w:p>
                <w:p>
                  <w:pPr>
                    <w:pStyle w:val="44"/>
                    <w:rPr>
                      <w:rFonts w:ascii="Times New Roman" w:hAnsi="Times New Roman" w:cs="Times New Roman"/>
                      <w:color w:val="auto"/>
                      <w:sz w:val="21"/>
                      <w:szCs w:val="21"/>
                      <w:highlight w:val="none"/>
                    </w:rPr>
                  </w:pPr>
                  <w:r>
                    <w:rPr>
                      <w:rFonts w:hint="eastAsia"/>
                      <w:color w:val="auto"/>
                      <w:sz w:val="21"/>
                      <w:szCs w:val="21"/>
                      <w:highlight w:val="none"/>
                    </w:rPr>
                    <w:t>持续推进工业污水治理。引导工业企业污水近零排放，降低污染负荷。</w:t>
                  </w:r>
                </w:p>
              </w:tc>
              <w:tc>
                <w:tcPr>
                  <w:tcW w:w="1582" w:type="dxa"/>
                  <w:vMerge w:val="continue"/>
                  <w:tcBorders>
                    <w:tl2br w:val="nil"/>
                    <w:tr2bl w:val="nil"/>
                  </w:tcBorders>
                  <w:vAlign w:val="center"/>
                </w:tcPr>
                <w:p>
                  <w:pPr>
                    <w:wordWrap w:val="0"/>
                    <w:rPr>
                      <w:color w:val="auto"/>
                      <w:szCs w:val="21"/>
                      <w:highlight w:val="none"/>
                    </w:rPr>
                  </w:pPr>
                </w:p>
              </w:tc>
              <w:tc>
                <w:tcPr>
                  <w:tcW w:w="1023" w:type="dxa"/>
                  <w:vMerge w:val="continue"/>
                  <w:tcBorders>
                    <w:tl2br w:val="nil"/>
                    <w:tr2bl w:val="nil"/>
                  </w:tcBorders>
                  <w:vAlign w:val="center"/>
                </w:tcPr>
                <w:p>
                  <w:pPr>
                    <w:wordWrap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82" w:type="dxa"/>
                  <w:vMerge w:val="restart"/>
                  <w:tcBorders>
                    <w:tl2br w:val="nil"/>
                    <w:tr2bl w:val="nil"/>
                  </w:tcBorders>
                  <w:vAlign w:val="center"/>
                </w:tcPr>
                <w:p>
                  <w:pPr>
                    <w:wordWrap w:val="0"/>
                    <w:jc w:val="both"/>
                    <w:rPr>
                      <w:color w:val="auto"/>
                      <w:szCs w:val="21"/>
                      <w:highlight w:val="none"/>
                    </w:rPr>
                  </w:pPr>
                </w:p>
                <w:p>
                  <w:pPr>
                    <w:wordWrap w:val="0"/>
                    <w:jc w:val="center"/>
                    <w:rPr>
                      <w:color w:val="auto"/>
                      <w:szCs w:val="21"/>
                      <w:highlight w:val="none"/>
                    </w:rPr>
                  </w:pPr>
                  <w:r>
                    <w:rPr>
                      <w:color w:val="auto"/>
                      <w:szCs w:val="21"/>
                      <w:highlight w:val="none"/>
                    </w:rPr>
                    <w:t>《</w:t>
                  </w:r>
                  <w:r>
                    <w:rPr>
                      <w:rFonts w:hint="eastAsia"/>
                      <w:color w:val="auto"/>
                      <w:szCs w:val="21"/>
                      <w:highlight w:val="none"/>
                    </w:rPr>
                    <w:t>洋县“十四五”生态环境保护规划</w:t>
                  </w:r>
                  <w:r>
                    <w:rPr>
                      <w:color w:val="auto"/>
                      <w:szCs w:val="21"/>
                      <w:highlight w:val="none"/>
                    </w:rPr>
                    <w:t>》</w:t>
                  </w:r>
                </w:p>
              </w:tc>
              <w:tc>
                <w:tcPr>
                  <w:tcW w:w="4121" w:type="dxa"/>
                  <w:tcBorders>
                    <w:tl2br w:val="nil"/>
                    <w:tr2bl w:val="nil"/>
                  </w:tcBorders>
                  <w:vAlign w:val="center"/>
                </w:tcPr>
                <w:p>
                  <w:pPr>
                    <w:pStyle w:val="44"/>
                    <w:rPr>
                      <w:rFonts w:ascii="Times New Roman" w:hAnsi="Times New Roman" w:cs="Times New Roman"/>
                      <w:color w:val="auto"/>
                      <w:highlight w:val="none"/>
                    </w:rPr>
                  </w:pPr>
                  <w:r>
                    <w:rPr>
                      <w:rFonts w:ascii="Times New Roman" w:hAnsi="Times New Roman" w:cs="Times New Roman"/>
                      <w:b/>
                      <w:bCs/>
                      <w:color w:val="auto"/>
                      <w:sz w:val="21"/>
                      <w:szCs w:val="21"/>
                      <w:highlight w:val="none"/>
                    </w:rPr>
                    <w:t>第五章第二节—加强扬尘精细化管控</w:t>
                  </w:r>
                </w:p>
                <w:p>
                  <w:pPr>
                    <w:pStyle w:val="44"/>
                    <w:rPr>
                      <w:color w:val="auto"/>
                      <w:highlight w:val="none"/>
                    </w:rPr>
                  </w:pPr>
                  <w:r>
                    <w:rPr>
                      <w:rFonts w:ascii="Times New Roman" w:hAnsi="Times New Roman" w:cs="Times New Roman"/>
                      <w:color w:val="auto"/>
                      <w:sz w:val="21"/>
                      <w:szCs w:val="21"/>
                      <w:highlight w:val="none"/>
                    </w:rPr>
                    <w:t>建立扬尘污染源清单，实现扬尘污染源动态管理，构建“过程全覆盖、管理全方位、责任全链条”扬尘防治体系。全面推行绿色施工，将绿色施工纳入企业资质、信用评价。重点区域道路、水务等线性工程进行分段施工。大力推进低尘机械化湿式清扫作业，加大重要路段冲洗保洁力度，渣土车实施硬覆盖与全密闭运输，强化道路绿化用地扬尘治理。到2025年，全县矿山开采、建材生产行业的散装干物料堆场，全面完成抑尘设施建设和物料输送系统封闭改造。</w:t>
                  </w:r>
                </w:p>
              </w:tc>
              <w:tc>
                <w:tcPr>
                  <w:tcW w:w="1582" w:type="dxa"/>
                  <w:vMerge w:val="continue"/>
                  <w:tcBorders>
                    <w:tl2br w:val="nil"/>
                    <w:tr2bl w:val="nil"/>
                  </w:tcBorders>
                  <w:vAlign w:val="center"/>
                </w:tcPr>
                <w:p>
                  <w:pPr>
                    <w:rPr>
                      <w:color w:val="auto"/>
                      <w:szCs w:val="21"/>
                      <w:highlight w:val="none"/>
                    </w:rPr>
                  </w:pPr>
                </w:p>
              </w:tc>
              <w:tc>
                <w:tcPr>
                  <w:tcW w:w="1023" w:type="dxa"/>
                  <w:vMerge w:val="continue"/>
                  <w:tcBorders>
                    <w:tl2br w:val="nil"/>
                    <w:tr2bl w:val="nil"/>
                  </w:tcBorders>
                  <w:vAlign w:val="center"/>
                </w:tcPr>
                <w:p>
                  <w:pPr>
                    <w:wordWrap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82" w:type="dxa"/>
                  <w:vMerge w:val="continue"/>
                  <w:tcBorders>
                    <w:tl2br w:val="nil"/>
                    <w:tr2bl w:val="nil"/>
                  </w:tcBorders>
                  <w:vAlign w:val="center"/>
                </w:tcPr>
                <w:p>
                  <w:pPr>
                    <w:wordWrap w:val="0"/>
                    <w:jc w:val="center"/>
                    <w:rPr>
                      <w:color w:val="auto"/>
                      <w:szCs w:val="21"/>
                      <w:highlight w:val="none"/>
                    </w:rPr>
                  </w:pPr>
                </w:p>
              </w:tc>
              <w:tc>
                <w:tcPr>
                  <w:tcW w:w="4121" w:type="dxa"/>
                  <w:tcBorders>
                    <w:tl2br w:val="nil"/>
                    <w:tr2bl w:val="nil"/>
                  </w:tcBorders>
                  <w:vAlign w:val="center"/>
                </w:tcPr>
                <w:p>
                  <w:pPr>
                    <w:wordWrap w:val="0"/>
                    <w:jc w:val="left"/>
                    <w:rPr>
                      <w:b/>
                      <w:bCs/>
                      <w:color w:val="auto"/>
                      <w:szCs w:val="21"/>
                      <w:highlight w:val="none"/>
                    </w:rPr>
                  </w:pPr>
                  <w:r>
                    <w:rPr>
                      <w:rFonts w:hint="eastAsia"/>
                      <w:b/>
                      <w:bCs/>
                      <w:color w:val="auto"/>
                      <w:szCs w:val="21"/>
                      <w:highlight w:val="none"/>
                    </w:rPr>
                    <w:t>第六章第二节—持续深化水污染治理</w:t>
                  </w:r>
                </w:p>
                <w:p>
                  <w:pPr>
                    <w:pStyle w:val="44"/>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持续推进工业污染治理。引导食品、化工等涉水重点工业企业污水近零排放，降低污染负荷。</w:t>
                  </w:r>
                </w:p>
              </w:tc>
              <w:tc>
                <w:tcPr>
                  <w:tcW w:w="1582" w:type="dxa"/>
                  <w:vMerge w:val="continue"/>
                  <w:tcBorders>
                    <w:tl2br w:val="nil"/>
                    <w:tr2bl w:val="nil"/>
                  </w:tcBorders>
                  <w:vAlign w:val="center"/>
                </w:tcPr>
                <w:p>
                  <w:pPr>
                    <w:rPr>
                      <w:color w:val="auto"/>
                      <w:szCs w:val="21"/>
                      <w:highlight w:val="none"/>
                    </w:rPr>
                  </w:pPr>
                </w:p>
              </w:tc>
              <w:tc>
                <w:tcPr>
                  <w:tcW w:w="1023" w:type="dxa"/>
                  <w:vMerge w:val="continue"/>
                  <w:tcBorders>
                    <w:tl2br w:val="nil"/>
                    <w:tr2bl w:val="nil"/>
                  </w:tcBorders>
                  <w:vAlign w:val="center"/>
                </w:tcPr>
                <w:p>
                  <w:pPr>
                    <w:wordWrap w:val="0"/>
                    <w:jc w:val="center"/>
                    <w:rPr>
                      <w:color w:val="auto"/>
                      <w:szCs w:val="21"/>
                      <w:highlight w:val="none"/>
                    </w:rPr>
                  </w:pPr>
                </w:p>
              </w:tc>
            </w:tr>
          </w:tbl>
          <w:p>
            <w:pPr>
              <w:numPr>
                <w:ilvl w:val="0"/>
                <w:numId w:val="0"/>
              </w:numPr>
              <w:spacing w:line="360" w:lineRule="auto"/>
              <w:ind w:firstLine="480" w:firstLineChars="200"/>
              <w:rPr>
                <w:b/>
                <w:bCs/>
                <w:color w:val="auto"/>
                <w:szCs w:val="21"/>
                <w:highlight w:val="none"/>
              </w:rPr>
            </w:pPr>
            <w:r>
              <w:rPr>
                <w:rFonts w:hint="eastAsia"/>
                <w:color w:val="auto"/>
                <w:sz w:val="24"/>
                <w:highlight w:val="none"/>
                <w:lang w:val="en-US" w:eastAsia="zh-CN"/>
              </w:rPr>
              <w:t>5、</w:t>
            </w:r>
            <w:r>
              <w:rPr>
                <w:rFonts w:hint="eastAsia"/>
                <w:color w:val="auto"/>
                <w:sz w:val="24"/>
                <w:highlight w:val="none"/>
              </w:rPr>
              <w:t>与</w:t>
            </w:r>
            <w:r>
              <w:rPr>
                <w:rFonts w:hint="eastAsia"/>
                <w:color w:val="auto"/>
                <w:sz w:val="24"/>
                <w:highlight w:val="none"/>
                <w:lang w:eastAsia="zh-CN"/>
              </w:rPr>
              <w:t>其他相关政策的符合性分析</w:t>
            </w:r>
          </w:p>
          <w:p>
            <w:pPr>
              <w:autoSpaceDE w:val="0"/>
              <w:autoSpaceDN w:val="0"/>
              <w:adjustRightInd w:val="0"/>
              <w:snapToGrid w:val="0"/>
              <w:jc w:val="center"/>
              <w:rPr>
                <w:color w:val="auto"/>
                <w:highlight w:val="none"/>
              </w:rPr>
            </w:pPr>
            <w:r>
              <w:rPr>
                <w:b/>
                <w:bCs/>
                <w:color w:val="auto"/>
                <w:szCs w:val="21"/>
                <w:highlight w:val="none"/>
              </w:rPr>
              <w:t>表</w:t>
            </w:r>
            <w:r>
              <w:rPr>
                <w:rFonts w:hint="eastAsia"/>
                <w:b/>
                <w:bCs/>
                <w:color w:val="auto"/>
                <w:szCs w:val="21"/>
                <w:highlight w:val="none"/>
              </w:rPr>
              <w:t>1-4  与</w:t>
            </w:r>
            <w:r>
              <w:rPr>
                <w:rFonts w:hint="eastAsia"/>
                <w:b/>
                <w:bCs/>
                <w:color w:val="auto"/>
                <w:szCs w:val="21"/>
                <w:highlight w:val="none"/>
                <w:lang w:eastAsia="zh-CN"/>
              </w:rPr>
              <w:t>其他政策</w:t>
            </w:r>
            <w:r>
              <w:rPr>
                <w:rFonts w:hint="eastAsia"/>
                <w:b/>
                <w:bCs/>
                <w:color w:val="auto"/>
                <w:szCs w:val="21"/>
                <w:highlight w:val="none"/>
              </w:rPr>
              <w:t>的符合性分析</w:t>
            </w:r>
          </w:p>
          <w:tbl>
            <w:tblPr>
              <w:tblStyle w:val="34"/>
              <w:tblW w:w="81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3069"/>
              <w:gridCol w:w="2400"/>
              <w:gridCol w:w="9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1731" w:type="dxa"/>
                  <w:vAlign w:val="center"/>
                </w:tcPr>
                <w:p>
                  <w:pPr>
                    <w:jc w:val="center"/>
                    <w:rPr>
                      <w:color w:val="auto"/>
                      <w:szCs w:val="21"/>
                      <w:highlight w:val="none"/>
                    </w:rPr>
                  </w:pPr>
                  <w:r>
                    <w:rPr>
                      <w:rFonts w:hint="eastAsia"/>
                      <w:color w:val="auto"/>
                      <w:szCs w:val="21"/>
                      <w:highlight w:val="none"/>
                    </w:rPr>
                    <w:t>政策</w:t>
                  </w:r>
                </w:p>
              </w:tc>
              <w:tc>
                <w:tcPr>
                  <w:tcW w:w="3069" w:type="dxa"/>
                  <w:vAlign w:val="center"/>
                </w:tcPr>
                <w:p>
                  <w:pPr>
                    <w:jc w:val="center"/>
                    <w:rPr>
                      <w:color w:val="auto"/>
                      <w:szCs w:val="21"/>
                      <w:highlight w:val="none"/>
                    </w:rPr>
                  </w:pPr>
                  <w:r>
                    <w:rPr>
                      <w:rFonts w:hint="eastAsia"/>
                      <w:color w:val="auto"/>
                      <w:szCs w:val="21"/>
                      <w:highlight w:val="none"/>
                    </w:rPr>
                    <w:t>相关要求</w:t>
                  </w:r>
                </w:p>
              </w:tc>
              <w:tc>
                <w:tcPr>
                  <w:tcW w:w="2400" w:type="dxa"/>
                  <w:vAlign w:val="center"/>
                </w:tcPr>
                <w:p>
                  <w:pPr>
                    <w:jc w:val="center"/>
                    <w:rPr>
                      <w:color w:val="auto"/>
                      <w:szCs w:val="21"/>
                      <w:highlight w:val="none"/>
                    </w:rPr>
                  </w:pPr>
                  <w:r>
                    <w:rPr>
                      <w:rFonts w:hint="eastAsia"/>
                      <w:color w:val="auto"/>
                      <w:szCs w:val="21"/>
                      <w:highlight w:val="none"/>
                    </w:rPr>
                    <w:t>本项目情况</w:t>
                  </w:r>
                </w:p>
              </w:tc>
              <w:tc>
                <w:tcPr>
                  <w:tcW w:w="930" w:type="dxa"/>
                  <w:vAlign w:val="center"/>
                </w:tcPr>
                <w:p>
                  <w:pPr>
                    <w:jc w:val="center"/>
                    <w:rPr>
                      <w:color w:val="auto"/>
                      <w:szCs w:val="21"/>
                      <w:highlight w:val="none"/>
                    </w:rPr>
                  </w:pPr>
                  <w:r>
                    <w:rPr>
                      <w:color w:val="auto"/>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pPr>
                    <w:jc w:val="center"/>
                    <w:rPr>
                      <w:rFonts w:hint="default"/>
                      <w:color w:val="auto"/>
                      <w:szCs w:val="21"/>
                      <w:highlight w:val="none"/>
                      <w:lang w:val="en-US"/>
                    </w:rPr>
                  </w:pPr>
                  <w:r>
                    <w:rPr>
                      <w:rFonts w:hint="eastAsia" w:ascii="Times New Roman" w:hAnsi="Times New Roman" w:eastAsia="宋体" w:cs="Times New Roman"/>
                      <w:i w:val="0"/>
                      <w:iCs w:val="0"/>
                      <w:caps w:val="0"/>
                      <w:color w:val="auto"/>
                      <w:spacing w:val="0"/>
                      <w:sz w:val="21"/>
                      <w:szCs w:val="21"/>
                      <w:highlight w:val="none"/>
                      <w:shd w:val="clear" w:fill="FFFFFF"/>
                      <w:lang w:eastAsia="zh-CN"/>
                    </w:rPr>
                    <w:t>《</w:t>
                  </w:r>
                  <w:r>
                    <w:rPr>
                      <w:rFonts w:hint="default" w:ascii="Times New Roman" w:hAnsi="Times New Roman" w:eastAsia="Segoe UI" w:cs="Times New Roman"/>
                      <w:i w:val="0"/>
                      <w:iCs w:val="0"/>
                      <w:caps w:val="0"/>
                      <w:color w:val="auto"/>
                      <w:spacing w:val="0"/>
                      <w:sz w:val="21"/>
                      <w:szCs w:val="21"/>
                      <w:highlight w:val="none"/>
                      <w:shd w:val="clear" w:fill="FFFFFF"/>
                    </w:rPr>
                    <w:t>关于</w:t>
                  </w:r>
                  <w:r>
                    <w:rPr>
                      <w:rFonts w:hint="eastAsia" w:ascii="Times New Roman" w:hAnsi="Times New Roman" w:eastAsia="宋体" w:cs="Times New Roman"/>
                      <w:i w:val="0"/>
                      <w:iCs w:val="0"/>
                      <w:caps w:val="0"/>
                      <w:color w:val="auto"/>
                      <w:spacing w:val="0"/>
                      <w:sz w:val="21"/>
                      <w:szCs w:val="21"/>
                      <w:highlight w:val="none"/>
                      <w:shd w:val="clear" w:fill="FFFFFF"/>
                      <w:lang w:eastAsia="zh-CN"/>
                    </w:rPr>
                    <w:t>“</w:t>
                  </w:r>
                  <w:r>
                    <w:rPr>
                      <w:rFonts w:hint="default" w:ascii="Times New Roman" w:hAnsi="Times New Roman" w:eastAsia="Segoe UI" w:cs="Times New Roman"/>
                      <w:i w:val="0"/>
                      <w:iCs w:val="0"/>
                      <w:caps w:val="0"/>
                      <w:color w:val="auto"/>
                      <w:spacing w:val="0"/>
                      <w:sz w:val="21"/>
                      <w:szCs w:val="21"/>
                      <w:highlight w:val="none"/>
                      <w:shd w:val="clear" w:fill="FFFFFF"/>
                    </w:rPr>
                    <w:t>十四五</w:t>
                  </w:r>
                  <w:r>
                    <w:rPr>
                      <w:rFonts w:hint="eastAsia" w:ascii="Times New Roman" w:hAnsi="Times New Roman" w:eastAsia="宋体" w:cs="Times New Roman"/>
                      <w:i w:val="0"/>
                      <w:iCs w:val="0"/>
                      <w:caps w:val="0"/>
                      <w:color w:val="auto"/>
                      <w:spacing w:val="0"/>
                      <w:sz w:val="21"/>
                      <w:szCs w:val="21"/>
                      <w:highlight w:val="none"/>
                      <w:shd w:val="clear" w:fill="FFFFFF"/>
                      <w:lang w:eastAsia="zh-CN"/>
                    </w:rPr>
                    <w:t>”</w:t>
                  </w:r>
                  <w:r>
                    <w:rPr>
                      <w:rFonts w:hint="default" w:ascii="Times New Roman" w:hAnsi="Times New Roman" w:eastAsia="Segoe UI" w:cs="Times New Roman"/>
                      <w:i w:val="0"/>
                      <w:iCs w:val="0"/>
                      <w:caps w:val="0"/>
                      <w:color w:val="auto"/>
                      <w:spacing w:val="0"/>
                      <w:sz w:val="21"/>
                      <w:szCs w:val="21"/>
                      <w:highlight w:val="none"/>
                      <w:shd w:val="clear" w:fill="FFFFFF"/>
                    </w:rPr>
                    <w:t>大宗固体废弃物综合利用的指导意见</w:t>
                  </w:r>
                  <w:r>
                    <w:rPr>
                      <w:rFonts w:hint="eastAsia" w:ascii="Times New Roman" w:hAnsi="Times New Roman" w:eastAsia="宋体" w:cs="Times New Roman"/>
                      <w:i w:val="0"/>
                      <w:iCs w:val="0"/>
                      <w:caps w:val="0"/>
                      <w:color w:val="auto"/>
                      <w:spacing w:val="0"/>
                      <w:sz w:val="21"/>
                      <w:szCs w:val="21"/>
                      <w:highlight w:val="none"/>
                      <w:shd w:val="clear" w:fill="FFFFFF"/>
                      <w:lang w:eastAsia="zh-CN"/>
                    </w:rPr>
                    <w:t>》（发改环资</w:t>
                  </w:r>
                  <w:r>
                    <w:rPr>
                      <w:rFonts w:hint="eastAsia" w:ascii="Times New Roman" w:hAnsi="Times New Roman" w:eastAsia="宋体" w:cs="Times New Roman"/>
                      <w:i w:val="0"/>
                      <w:iCs w:val="0"/>
                      <w:caps w:val="0"/>
                      <w:color w:val="auto"/>
                      <w:spacing w:val="0"/>
                      <w:sz w:val="21"/>
                      <w:szCs w:val="21"/>
                      <w:highlight w:val="none"/>
                      <w:shd w:val="clear" w:fill="FFFFFF"/>
                      <w:lang w:val="en-US" w:eastAsia="zh-CN"/>
                    </w:rPr>
                    <w:t>[2021]381号）</w:t>
                  </w:r>
                </w:p>
              </w:tc>
              <w:tc>
                <w:tcPr>
                  <w:tcW w:w="3069" w:type="dxa"/>
                  <w:vAlign w:val="center"/>
                </w:tcPr>
                <w:p>
                  <w:pPr>
                    <w:jc w:val="center"/>
                    <w:rPr>
                      <w:rFonts w:hint="eastAsia"/>
                      <w:color w:val="auto"/>
                      <w:szCs w:val="21"/>
                      <w:highlight w:val="none"/>
                    </w:rPr>
                  </w:pPr>
                  <w:r>
                    <w:rPr>
                      <w:rFonts w:hint="eastAsia"/>
                      <w:color w:val="auto"/>
                      <w:szCs w:val="21"/>
                      <w:highlight w:val="none"/>
                    </w:rPr>
                    <w:t>创新大宗固废协同利用机制</w:t>
                  </w:r>
                </w:p>
                <w:p>
                  <w:pPr>
                    <w:jc w:val="left"/>
                    <w:rPr>
                      <w:rFonts w:hint="eastAsia" w:eastAsia="宋体"/>
                      <w:color w:val="auto"/>
                      <w:szCs w:val="21"/>
                      <w:highlight w:val="none"/>
                      <w:lang w:eastAsia="zh-CN"/>
                    </w:rPr>
                  </w:pPr>
                  <w:r>
                    <w:rPr>
                      <w:rFonts w:hint="eastAsia"/>
                      <w:color w:val="auto"/>
                      <w:szCs w:val="21"/>
                      <w:highlight w:val="none"/>
                    </w:rPr>
                    <w:t>鼓励多产业协同利用，推进大宗固废综合利用产业与上游煤电、钢铁、有色、化工等产业协同发展，与下游建筑、建材、市政、交通、环境治理等产品应用领域深度融合，打通部门间、行业间堵点和痛点</w:t>
                  </w:r>
                  <w:r>
                    <w:rPr>
                      <w:rFonts w:hint="eastAsia"/>
                      <w:color w:val="auto"/>
                      <w:szCs w:val="21"/>
                      <w:highlight w:val="none"/>
                      <w:lang w:eastAsia="zh-CN"/>
                    </w:rPr>
                    <w:t>。</w:t>
                  </w:r>
                </w:p>
              </w:tc>
              <w:tc>
                <w:tcPr>
                  <w:tcW w:w="2400" w:type="dxa"/>
                  <w:vAlign w:val="center"/>
                </w:tcPr>
                <w:p>
                  <w:pPr>
                    <w:jc w:val="both"/>
                    <w:rPr>
                      <w:rFonts w:hint="eastAsia" w:eastAsia="宋体"/>
                      <w:color w:val="auto"/>
                      <w:szCs w:val="21"/>
                      <w:highlight w:val="none"/>
                      <w:lang w:eastAsia="zh-CN"/>
                    </w:rPr>
                  </w:pPr>
                  <w:r>
                    <w:rPr>
                      <w:rFonts w:hint="eastAsia"/>
                      <w:color w:val="auto"/>
                      <w:szCs w:val="21"/>
                      <w:highlight w:val="none"/>
                      <w:lang w:eastAsia="zh-CN"/>
                    </w:rPr>
                    <w:t>本项目所用原料为上游汉中市昌申矿业有限责任公司提供的尾矿砂，运营期通过筛分、清洗后得到粗砂和细砂，全部外售至下游建筑（建材）公司，可打通行业上下游之间的痛点。</w:t>
                  </w:r>
                </w:p>
              </w:tc>
              <w:tc>
                <w:tcPr>
                  <w:tcW w:w="930" w:type="dxa"/>
                  <w:vAlign w:val="center"/>
                </w:tcPr>
                <w:p>
                  <w:pPr>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pPr>
                    <w:jc w:val="center"/>
                    <w:rPr>
                      <w:color w:val="auto"/>
                      <w:szCs w:val="21"/>
                      <w:highlight w:val="none"/>
                    </w:rPr>
                  </w:pPr>
                  <w:r>
                    <w:rPr>
                      <w:rFonts w:hint="eastAsia"/>
                      <w:color w:val="auto"/>
                      <w:szCs w:val="21"/>
                      <w:highlight w:val="none"/>
                      <w:lang w:eastAsia="zh-CN"/>
                    </w:rPr>
                    <w:t>《</w:t>
                  </w:r>
                  <w:r>
                    <w:rPr>
                      <w:rFonts w:hint="eastAsia"/>
                      <w:color w:val="auto"/>
                      <w:szCs w:val="21"/>
                      <w:highlight w:val="none"/>
                    </w:rPr>
                    <w:t>汉中市大气污染治理专项行动方案</w:t>
                  </w:r>
                  <w:r>
                    <w:rPr>
                      <w:rFonts w:hint="eastAsia"/>
                      <w:color w:val="auto"/>
                      <w:szCs w:val="21"/>
                      <w:highlight w:val="none"/>
                      <w:lang w:eastAsia="zh-CN"/>
                    </w:rPr>
                    <w:t>（</w:t>
                  </w:r>
                  <w:r>
                    <w:rPr>
                      <w:rFonts w:hint="eastAsia"/>
                      <w:color w:val="auto"/>
                      <w:szCs w:val="21"/>
                      <w:highlight w:val="none"/>
                      <w:lang w:val="en-US" w:eastAsia="zh-CN"/>
                    </w:rPr>
                    <w:t>2023-2027年</w:t>
                  </w:r>
                  <w:r>
                    <w:rPr>
                      <w:rFonts w:hint="eastAsia"/>
                      <w:color w:val="auto"/>
                      <w:szCs w:val="21"/>
                      <w:highlight w:val="none"/>
                      <w:lang w:eastAsia="zh-CN"/>
                    </w:rPr>
                    <w:t>）</w:t>
                  </w:r>
                  <w:r>
                    <w:rPr>
                      <w:rFonts w:hint="eastAsia"/>
                      <w:color w:val="auto"/>
                      <w:szCs w:val="21"/>
                      <w:highlight w:val="none"/>
                    </w:rPr>
                    <w:t>的通知</w:t>
                  </w:r>
                  <w:r>
                    <w:rPr>
                      <w:rFonts w:hint="eastAsia"/>
                      <w:color w:val="auto"/>
                      <w:szCs w:val="21"/>
                      <w:highlight w:val="none"/>
                      <w:lang w:eastAsia="zh-CN"/>
                    </w:rPr>
                    <w:t>》</w:t>
                  </w:r>
                </w:p>
                <w:p>
                  <w:pPr>
                    <w:jc w:val="center"/>
                    <w:rPr>
                      <w:color w:val="auto"/>
                      <w:szCs w:val="21"/>
                      <w:highlight w:val="none"/>
                    </w:rPr>
                  </w:pPr>
                  <w:r>
                    <w:rPr>
                      <w:rFonts w:hint="eastAsia"/>
                      <w:color w:val="auto"/>
                      <w:szCs w:val="21"/>
                      <w:highlight w:val="none"/>
                    </w:rPr>
                    <w:t>（汉政办函[2023] 7号）</w:t>
                  </w:r>
                </w:p>
              </w:tc>
              <w:tc>
                <w:tcPr>
                  <w:tcW w:w="3069" w:type="dxa"/>
                  <w:vAlign w:val="center"/>
                </w:tcPr>
                <w:p>
                  <w:pPr>
                    <w:spacing w:line="360" w:lineRule="auto"/>
                    <w:jc w:val="center"/>
                    <w:rPr>
                      <w:b/>
                      <w:bCs/>
                      <w:color w:val="auto"/>
                      <w:highlight w:val="none"/>
                    </w:rPr>
                  </w:pPr>
                  <w:r>
                    <w:rPr>
                      <w:rFonts w:hint="eastAsia"/>
                      <w:b/>
                      <w:bCs/>
                      <w:color w:val="auto"/>
                      <w:highlight w:val="none"/>
                    </w:rPr>
                    <w:t>严管严控扬尘污染</w:t>
                  </w:r>
                </w:p>
                <w:p>
                  <w:pPr>
                    <w:pStyle w:val="44"/>
                    <w:rPr>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严控施工扬尘；</w:t>
                  </w:r>
                </w:p>
                <w:p>
                  <w:pPr>
                    <w:pStyle w:val="46"/>
                    <w:ind w:left="0"/>
                    <w:rPr>
                      <w:b w:val="0"/>
                      <w:bCs w:val="0"/>
                      <w:color w:val="auto"/>
                      <w:sz w:val="21"/>
                      <w:szCs w:val="21"/>
                      <w:highlight w:val="none"/>
                    </w:rPr>
                  </w:pPr>
                  <w:r>
                    <w:rPr>
                      <w:rFonts w:hint="eastAsia" w:hAnsi="宋体" w:cs="宋体"/>
                      <w:b w:val="0"/>
                      <w:bCs w:val="0"/>
                      <w:color w:val="auto"/>
                      <w:sz w:val="21"/>
                      <w:szCs w:val="21"/>
                      <w:highlight w:val="none"/>
                    </w:rPr>
                    <w:t>②</w:t>
                  </w:r>
                  <w:r>
                    <w:rPr>
                      <w:b w:val="0"/>
                      <w:bCs w:val="0"/>
                      <w:color w:val="auto"/>
                      <w:sz w:val="21"/>
                      <w:szCs w:val="21"/>
                      <w:highlight w:val="none"/>
                    </w:rPr>
                    <w:t>严管道路运输扬尘</w:t>
                  </w:r>
                  <w:r>
                    <w:rPr>
                      <w:rFonts w:hint="eastAsia"/>
                      <w:b w:val="0"/>
                      <w:bCs w:val="0"/>
                      <w:color w:val="auto"/>
                      <w:sz w:val="21"/>
                      <w:szCs w:val="21"/>
                      <w:highlight w:val="none"/>
                    </w:rPr>
                    <w:t>；</w:t>
                  </w:r>
                </w:p>
                <w:p>
                  <w:pPr>
                    <w:rPr>
                      <w:color w:val="auto"/>
                      <w:szCs w:val="21"/>
                      <w:highlight w:val="none"/>
                    </w:rPr>
                  </w:pPr>
                  <w:r>
                    <w:rPr>
                      <w:rFonts w:hint="eastAsia" w:ascii="宋体" w:hAnsi="宋体" w:cs="宋体"/>
                      <w:color w:val="auto"/>
                      <w:szCs w:val="21"/>
                      <w:highlight w:val="none"/>
                    </w:rPr>
                    <w:t>③</w:t>
                  </w:r>
                  <w:r>
                    <w:rPr>
                      <w:color w:val="auto"/>
                      <w:szCs w:val="21"/>
                      <w:highlight w:val="none"/>
                    </w:rPr>
                    <w:t>加大道路保洁力度</w:t>
                  </w:r>
                  <w:r>
                    <w:rPr>
                      <w:rFonts w:hint="eastAsia"/>
                      <w:color w:val="auto"/>
                      <w:szCs w:val="21"/>
                      <w:highlight w:val="none"/>
                    </w:rPr>
                    <w:t>；</w:t>
                  </w:r>
                </w:p>
                <w:p>
                  <w:pPr>
                    <w:pStyle w:val="44"/>
                    <w:rPr>
                      <w:color w:val="auto"/>
                      <w:highlight w:val="none"/>
                    </w:rPr>
                  </w:pPr>
                  <w:r>
                    <w:rPr>
                      <w:rFonts w:hint="eastAsia" w:ascii="宋体" w:hAnsi="宋体" w:cs="宋体"/>
                      <w:color w:val="auto"/>
                      <w:kern w:val="0"/>
                      <w:sz w:val="21"/>
                      <w:szCs w:val="21"/>
                      <w:highlight w:val="none"/>
                    </w:rPr>
                    <w:t>④</w:t>
                  </w:r>
                  <w:r>
                    <w:rPr>
                      <w:rFonts w:ascii="Times New Roman" w:hAnsi="Times New Roman" w:cs="Times New Roman"/>
                      <w:color w:val="auto"/>
                      <w:kern w:val="0"/>
                      <w:sz w:val="21"/>
                      <w:szCs w:val="21"/>
                      <w:highlight w:val="none"/>
                    </w:rPr>
                    <w:t>加大物料堆场扬尘整治力度</w:t>
                  </w:r>
                  <w:r>
                    <w:rPr>
                      <w:rFonts w:hint="eastAsia" w:ascii="Times New Roman" w:hAnsi="Times New Roman" w:cs="Times New Roman"/>
                      <w:color w:val="auto"/>
                      <w:kern w:val="0"/>
                      <w:sz w:val="21"/>
                      <w:szCs w:val="21"/>
                      <w:highlight w:val="none"/>
                    </w:rPr>
                    <w:t>。</w:t>
                  </w:r>
                </w:p>
              </w:tc>
              <w:tc>
                <w:tcPr>
                  <w:tcW w:w="2400" w:type="dxa"/>
                  <w:vAlign w:val="center"/>
                </w:tcPr>
                <w:p>
                  <w:pPr>
                    <w:pStyle w:val="46"/>
                    <w:ind w:left="0"/>
                    <w:rPr>
                      <w:color w:val="auto"/>
                      <w:highlight w:val="none"/>
                    </w:rPr>
                  </w:pPr>
                  <w:r>
                    <w:rPr>
                      <w:rFonts w:hint="eastAsia" w:ascii="Times New Roman"/>
                      <w:b w:val="0"/>
                      <w:bCs w:val="0"/>
                      <w:color w:val="auto"/>
                      <w:sz w:val="21"/>
                      <w:szCs w:val="21"/>
                      <w:highlight w:val="none"/>
                    </w:rPr>
                    <w:t>建设单位拟采取生产车间半封闭、湿法作业、厂区内部定期洒水、运输车辆加盖篷布遮挡等措施抑尘。</w:t>
                  </w:r>
                </w:p>
              </w:tc>
              <w:tc>
                <w:tcPr>
                  <w:tcW w:w="930" w:type="dxa"/>
                  <w:vAlign w:val="center"/>
                </w:tcPr>
                <w:p>
                  <w:pPr>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pPr>
                    <w:jc w:val="center"/>
                    <w:rPr>
                      <w:rFonts w:hint="eastAsia"/>
                      <w:color w:val="auto"/>
                      <w:szCs w:val="21"/>
                      <w:highlight w:val="none"/>
                    </w:rPr>
                  </w:pPr>
                  <w:r>
                    <w:rPr>
                      <w:rFonts w:hint="eastAsia" w:ascii="Times New Roman" w:hAnsi="Times New Roman"/>
                      <w:color w:val="auto"/>
                      <w:szCs w:val="21"/>
                      <w:highlight w:val="none"/>
                      <w:lang w:eastAsia="zh-CN"/>
                    </w:rPr>
                    <w:t>《汉中市大气污染防治条例》</w:t>
                  </w:r>
                  <w:r>
                    <w:rPr>
                      <w:rFonts w:ascii="Times New Roman" w:hAnsi="Times New Roman"/>
                      <w:color w:val="auto"/>
                      <w:kern w:val="2"/>
                      <w:sz w:val="21"/>
                      <w:szCs w:val="21"/>
                      <w:highlight w:val="none"/>
                    </w:rPr>
                    <w:t>（2020年6月11日）</w:t>
                  </w:r>
                </w:p>
              </w:tc>
              <w:tc>
                <w:tcPr>
                  <w:tcW w:w="3069" w:type="dxa"/>
                  <w:vAlign w:val="center"/>
                </w:tcPr>
                <w:p>
                  <w:pPr>
                    <w:pStyle w:val="29"/>
                    <w:snapToGrid w:val="0"/>
                    <w:spacing w:before="0" w:beforeAutospacing="0" w:after="0" w:afterAutospacing="0"/>
                    <w:jc w:val="both"/>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第十条 编制可能对大气环境造成污染的开发利用规划或者建设对大气环境有影响的项目时，应当依法进行环境影响评价，未依法进行环境影响评价的建设项目，不得开工建设。建设项目的大气污染防治设施，应当与主体工程同时设计、同时施工、同时投入使用，符合经批准或者备案的环境影响评价文件的要求。</w:t>
                  </w:r>
                </w:p>
                <w:p>
                  <w:pPr>
                    <w:pStyle w:val="29"/>
                    <w:snapToGrid w:val="0"/>
                    <w:spacing w:before="0" w:beforeAutospacing="0" w:after="0" w:afterAutospacing="0"/>
                    <w:jc w:val="both"/>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第十一条 向大气排放污染物的企业事业单位和其他生产经营者应当按照规定设置大气污染物排放口，安装大气污染防治设施，并确保正常使用，不得超过大气污染物排放标准和重点大气污染物排放总量控制指标排放。</w:t>
                  </w:r>
                </w:p>
                <w:p>
                  <w:pPr>
                    <w:pStyle w:val="29"/>
                    <w:snapToGrid w:val="0"/>
                    <w:spacing w:before="0" w:beforeAutospacing="0" w:after="0" w:afterAutospacing="0"/>
                    <w:jc w:val="both"/>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第十三条：向大气排放污染物的企业事业单位和其他生产经营者应当按照有关规定设置监测点位和采样监测平台，对其所排放的大气污染物进行自行监测或者委托有环境监测资质的单位监测。监测结果由单位主管环境工作的负责人审核签字，原始监测记录至少保存三年。</w:t>
                  </w:r>
                </w:p>
                <w:p>
                  <w:pPr>
                    <w:pStyle w:val="44"/>
                    <w:rPr>
                      <w:rFonts w:hint="eastAsia" w:ascii="宋体" w:hAnsi="宋体" w:cs="宋体"/>
                      <w:color w:val="auto"/>
                      <w:kern w:val="0"/>
                      <w:sz w:val="21"/>
                      <w:szCs w:val="21"/>
                      <w:highlight w:val="none"/>
                    </w:rPr>
                  </w:pPr>
                  <w:r>
                    <w:rPr>
                      <w:rFonts w:ascii="Times New Roman" w:hAnsi="Times New Roman"/>
                      <w:color w:val="auto"/>
                      <w:kern w:val="2"/>
                      <w:sz w:val="21"/>
                      <w:szCs w:val="21"/>
                      <w:highlight w:val="none"/>
                    </w:rPr>
                    <w:t>第二十二条 装卸物料应当采取密闭或者喷淋等方式防治扬尘污染。</w:t>
                  </w:r>
                </w:p>
              </w:tc>
              <w:tc>
                <w:tcPr>
                  <w:tcW w:w="2400" w:type="dxa"/>
                  <w:vAlign w:val="center"/>
                </w:tcPr>
                <w:p>
                  <w:pPr>
                    <w:pStyle w:val="46"/>
                    <w:ind w:left="0"/>
                    <w:rPr>
                      <w:rFonts w:hint="eastAsia" w:ascii="Times New Roman"/>
                      <w:b w:val="0"/>
                      <w:bCs w:val="0"/>
                      <w:color w:val="auto"/>
                      <w:sz w:val="21"/>
                      <w:szCs w:val="21"/>
                      <w:highlight w:val="none"/>
                      <w:lang w:eastAsia="zh-CN"/>
                    </w:rPr>
                  </w:pPr>
                  <w:r>
                    <w:rPr>
                      <w:rFonts w:hint="eastAsia" w:ascii="Times New Roman"/>
                      <w:b w:val="0"/>
                      <w:bCs w:val="0"/>
                      <w:color w:val="auto"/>
                      <w:sz w:val="21"/>
                      <w:szCs w:val="21"/>
                      <w:highlight w:val="none"/>
                    </w:rPr>
                    <w:t>项目正在履行环评手续，运营期</w:t>
                  </w:r>
                  <w:r>
                    <w:rPr>
                      <w:rFonts w:hint="eastAsia" w:ascii="Times New Roman"/>
                      <w:b w:val="0"/>
                      <w:bCs w:val="0"/>
                      <w:color w:val="auto"/>
                      <w:sz w:val="21"/>
                      <w:szCs w:val="21"/>
                      <w:highlight w:val="none"/>
                      <w:lang w:eastAsia="zh-CN"/>
                    </w:rPr>
                    <w:t>废气处理措施如下：</w:t>
                  </w:r>
                </w:p>
                <w:p>
                  <w:pPr>
                    <w:pStyle w:val="46"/>
                    <w:ind w:left="0"/>
                    <w:rPr>
                      <w:rFonts w:hint="eastAsia" w:ascii="Times New Roman"/>
                      <w:b w:val="0"/>
                      <w:bCs w:val="0"/>
                      <w:color w:val="auto"/>
                      <w:sz w:val="21"/>
                      <w:szCs w:val="21"/>
                      <w:highlight w:val="none"/>
                      <w:lang w:eastAsia="zh-CN"/>
                    </w:rPr>
                  </w:pPr>
                  <w:r>
                    <w:rPr>
                      <w:rFonts w:hint="eastAsia" w:ascii="Times New Roman"/>
                      <w:b w:val="0"/>
                      <w:bCs w:val="0"/>
                      <w:color w:val="auto"/>
                      <w:sz w:val="21"/>
                      <w:szCs w:val="21"/>
                      <w:highlight w:val="none"/>
                      <w:lang w:eastAsia="zh-CN"/>
                    </w:rPr>
                    <w:t>①生产车间半封闭，分离筛选工序采用湿法作业；</w:t>
                  </w:r>
                </w:p>
                <w:p>
                  <w:pPr>
                    <w:pStyle w:val="46"/>
                    <w:ind w:left="0"/>
                    <w:rPr>
                      <w:rFonts w:hint="eastAsia" w:ascii="Times New Roman"/>
                      <w:b w:val="0"/>
                      <w:bCs w:val="0"/>
                      <w:color w:val="auto"/>
                      <w:sz w:val="21"/>
                      <w:szCs w:val="21"/>
                      <w:highlight w:val="none"/>
                      <w:lang w:eastAsia="zh-CN"/>
                    </w:rPr>
                  </w:pPr>
                  <w:r>
                    <w:rPr>
                      <w:rFonts w:hint="eastAsia" w:ascii="Times New Roman"/>
                      <w:b w:val="0"/>
                      <w:bCs w:val="0"/>
                      <w:color w:val="auto"/>
                      <w:sz w:val="21"/>
                      <w:szCs w:val="21"/>
                      <w:highlight w:val="none"/>
                      <w:lang w:eastAsia="zh-CN"/>
                    </w:rPr>
                    <w:t>②卸料和铲料时对原料进行喷洒水降尘；</w:t>
                  </w:r>
                </w:p>
                <w:p>
                  <w:pPr>
                    <w:pStyle w:val="46"/>
                    <w:ind w:left="0"/>
                    <w:rPr>
                      <w:rFonts w:hint="eastAsia" w:ascii="Times New Roman"/>
                      <w:b w:val="0"/>
                      <w:bCs w:val="0"/>
                      <w:color w:val="auto"/>
                      <w:sz w:val="21"/>
                      <w:szCs w:val="21"/>
                      <w:highlight w:val="none"/>
                      <w:lang w:eastAsia="zh-CN"/>
                    </w:rPr>
                  </w:pPr>
                  <w:r>
                    <w:rPr>
                      <w:rFonts w:hint="eastAsia" w:ascii="Times New Roman"/>
                      <w:b w:val="0"/>
                      <w:bCs w:val="0"/>
                      <w:color w:val="auto"/>
                      <w:sz w:val="21"/>
                      <w:szCs w:val="21"/>
                      <w:highlight w:val="none"/>
                      <w:lang w:eastAsia="zh-CN"/>
                    </w:rPr>
                    <w:t>③运输道路洒水、运输车辆加盖篷布遮挡、加强车辆管理。</w:t>
                  </w:r>
                </w:p>
                <w:p>
                  <w:pPr>
                    <w:pStyle w:val="46"/>
                    <w:ind w:left="0"/>
                    <w:rPr>
                      <w:rFonts w:hint="eastAsia" w:ascii="Times New Roman"/>
                      <w:b w:val="0"/>
                      <w:bCs w:val="0"/>
                      <w:color w:val="auto"/>
                      <w:sz w:val="21"/>
                      <w:szCs w:val="21"/>
                      <w:highlight w:val="none"/>
                    </w:rPr>
                  </w:pPr>
                  <w:r>
                    <w:rPr>
                      <w:rFonts w:hint="eastAsia" w:ascii="Times New Roman"/>
                      <w:b w:val="0"/>
                      <w:bCs w:val="0"/>
                      <w:color w:val="auto"/>
                      <w:sz w:val="21"/>
                      <w:szCs w:val="21"/>
                      <w:highlight w:val="none"/>
                    </w:rPr>
                    <w:t>此外，建设单位后期</w:t>
                  </w:r>
                  <w:r>
                    <w:rPr>
                      <w:rFonts w:hint="eastAsia" w:ascii="Times New Roman"/>
                      <w:b w:val="0"/>
                      <w:bCs w:val="0"/>
                      <w:color w:val="auto"/>
                      <w:sz w:val="21"/>
                      <w:szCs w:val="21"/>
                      <w:highlight w:val="none"/>
                      <w:lang w:eastAsia="zh-CN"/>
                    </w:rPr>
                    <w:t>应按照第四章中的监测计划对项目运营期无组织颗粒物进行定期监测。</w:t>
                  </w:r>
                </w:p>
              </w:tc>
              <w:tc>
                <w:tcPr>
                  <w:tcW w:w="930" w:type="dxa"/>
                  <w:vAlign w:val="center"/>
                </w:tcPr>
                <w:p>
                  <w:pPr>
                    <w:jc w:val="center"/>
                    <w:rPr>
                      <w:color w:val="auto"/>
                      <w:szCs w:val="21"/>
                      <w:highlight w:val="none"/>
                    </w:rPr>
                  </w:pPr>
                  <w:r>
                    <w:rPr>
                      <w:color w:val="auto"/>
                      <w:szCs w:val="21"/>
                      <w:highlight w:val="none"/>
                    </w:rPr>
                    <w:t>符合</w:t>
                  </w:r>
                </w:p>
              </w:tc>
            </w:tr>
          </w:tbl>
          <w:p>
            <w:pPr>
              <w:adjustRightInd w:val="0"/>
              <w:snapToGrid w:val="0"/>
              <w:spacing w:line="360" w:lineRule="auto"/>
              <w:ind w:firstLine="480" w:firstLineChars="200"/>
              <w:rPr>
                <w:color w:val="auto"/>
                <w:sz w:val="24"/>
                <w:highlight w:val="none"/>
              </w:rPr>
            </w:pPr>
            <w:r>
              <w:rPr>
                <w:rFonts w:hint="eastAsia"/>
                <w:color w:val="auto"/>
                <w:sz w:val="24"/>
                <w:highlight w:val="none"/>
              </w:rPr>
              <w:t>6、选址符合性分析</w:t>
            </w:r>
          </w:p>
          <w:p>
            <w:pPr>
              <w:spacing w:line="360" w:lineRule="auto"/>
              <w:ind w:firstLine="480" w:firstLineChars="200"/>
              <w:rPr>
                <w:color w:val="auto"/>
                <w:sz w:val="24"/>
                <w:highlight w:val="none"/>
              </w:rPr>
            </w:pPr>
            <w:r>
              <w:rPr>
                <w:rFonts w:hint="eastAsia"/>
                <w:color w:val="auto"/>
                <w:kern w:val="0"/>
                <w:sz w:val="24"/>
                <w:highlight w:val="none"/>
              </w:rPr>
              <w:t>（1）</w:t>
            </w:r>
            <w:r>
              <w:rPr>
                <w:rFonts w:hint="eastAsia"/>
                <w:color w:val="auto"/>
                <w:sz w:val="24"/>
                <w:highlight w:val="none"/>
              </w:rPr>
              <w:t>本项目位于洋县磨子桥镇冯杨村二组，本次扩建在厂区预留区域内进行，不新增占地，且厂区用地性质为建设用地（见附件）。此外，根据现场调查，项目周边水电齐全、交通便利。</w:t>
            </w:r>
          </w:p>
          <w:p>
            <w:pPr>
              <w:snapToGrid w:val="0"/>
              <w:spacing w:line="360" w:lineRule="auto"/>
              <w:ind w:firstLine="480" w:firstLineChars="200"/>
              <w:rPr>
                <w:color w:val="auto"/>
                <w:sz w:val="24"/>
                <w:highlight w:val="none"/>
              </w:rPr>
            </w:pPr>
            <w:r>
              <w:rPr>
                <w:rFonts w:hint="eastAsia"/>
                <w:color w:val="auto"/>
                <w:sz w:val="24"/>
                <w:highlight w:val="none"/>
              </w:rPr>
              <w:t>（2）项目</w:t>
            </w:r>
            <w:r>
              <w:rPr>
                <w:color w:val="auto"/>
                <w:sz w:val="24"/>
                <w:highlight w:val="none"/>
              </w:rPr>
              <w:t>选址位于</w:t>
            </w:r>
            <w:r>
              <w:rPr>
                <w:rFonts w:hint="eastAsia"/>
                <w:color w:val="auto"/>
                <w:sz w:val="24"/>
                <w:highlight w:val="none"/>
              </w:rPr>
              <w:t>洋县磨子桥镇冯杨村二组</w:t>
            </w:r>
            <w:r>
              <w:rPr>
                <w:color w:val="auto"/>
                <w:sz w:val="24"/>
                <w:highlight w:val="none"/>
              </w:rPr>
              <w:t>，</w:t>
            </w:r>
            <w:r>
              <w:rPr>
                <w:rFonts w:hint="eastAsia"/>
                <w:color w:val="auto"/>
                <w:sz w:val="24"/>
                <w:highlight w:val="none"/>
              </w:rPr>
              <w:t>经过与陕西汉中朱鹮国家级自然保护区位置进行比对，项目与汉中朱鹮国家级自然保护区界最近直线距离约1.9km，位置关系图详见附图3，因此项目占地不涉及陕西汉中朱鹮国家级自然保护区。</w:t>
            </w:r>
          </w:p>
          <w:p>
            <w:pPr>
              <w:snapToGrid w:val="0"/>
              <w:spacing w:line="360" w:lineRule="auto"/>
              <w:ind w:firstLine="480" w:firstLineChars="200"/>
              <w:rPr>
                <w:color w:val="auto"/>
                <w:sz w:val="24"/>
                <w:highlight w:val="none"/>
              </w:rPr>
            </w:pPr>
            <w:r>
              <w:rPr>
                <w:rFonts w:hint="eastAsia"/>
                <w:color w:val="auto"/>
                <w:sz w:val="24"/>
                <w:highlight w:val="none"/>
              </w:rPr>
              <w:t>（3）</w:t>
            </w:r>
            <w:r>
              <w:rPr>
                <w:rFonts w:hint="eastAsia"/>
                <w:color w:val="auto"/>
                <w:sz w:val="24"/>
                <w:highlight w:val="none"/>
                <w:lang w:eastAsia="zh-CN"/>
              </w:rPr>
              <w:t>项目占地不涉及</w:t>
            </w:r>
            <w:r>
              <w:rPr>
                <w:rFonts w:hint="eastAsia"/>
                <w:color w:val="auto"/>
                <w:sz w:val="24"/>
                <w:highlight w:val="none"/>
              </w:rPr>
              <w:t>自然保护区、风景名胜区等重大环境敏感点；项目不在生活饮用水水源保护区内，不属于国家相关法律、法规划定的禁止建设区域。</w:t>
            </w:r>
          </w:p>
          <w:p>
            <w:pPr>
              <w:snapToGrid w:val="0"/>
              <w:spacing w:line="360" w:lineRule="auto"/>
              <w:ind w:firstLine="480" w:firstLineChars="200"/>
              <w:rPr>
                <w:color w:val="auto"/>
                <w:sz w:val="24"/>
                <w:highlight w:val="none"/>
              </w:rPr>
            </w:pPr>
            <w:r>
              <w:rPr>
                <w:rFonts w:hint="eastAsia"/>
                <w:color w:val="auto"/>
                <w:sz w:val="24"/>
                <w:highlight w:val="none"/>
              </w:rPr>
              <w:t>综上，</w:t>
            </w:r>
            <w:r>
              <w:rPr>
                <w:color w:val="auto"/>
                <w:sz w:val="24"/>
                <w:highlight w:val="none"/>
              </w:rPr>
              <w:t>从环保角度分析，本项目选址可行</w:t>
            </w:r>
            <w:r>
              <w:rPr>
                <w:rFonts w:hint="eastAsia"/>
                <w:color w:val="auto"/>
                <w:sz w:val="24"/>
                <w:highlight w:val="none"/>
              </w:rPr>
              <w:t>。</w:t>
            </w: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p>
            <w:pPr>
              <w:pStyle w:val="42"/>
              <w:rPr>
                <w:color w:val="auto"/>
                <w:highlight w:val="none"/>
              </w:rPr>
            </w:pPr>
          </w:p>
        </w:tc>
      </w:tr>
    </w:tbl>
    <w:p>
      <w:pPr>
        <w:spacing w:line="360" w:lineRule="auto"/>
        <w:outlineLvl w:val="0"/>
        <w:rPr>
          <w:rFonts w:eastAsia="黑体"/>
          <w:color w:val="auto"/>
          <w:sz w:val="30"/>
          <w:highlight w:val="none"/>
        </w:rPr>
        <w:sectPr>
          <w:footerReference r:id="rId5" w:type="default"/>
          <w:pgSz w:w="11906" w:h="16838"/>
          <w:pgMar w:top="1304" w:right="1531" w:bottom="1304" w:left="1531" w:header="851" w:footer="1077" w:gutter="0"/>
          <w:pgNumType w:start="1"/>
          <w:cols w:space="720" w:num="1"/>
          <w:docGrid w:linePitch="312" w:charSpace="0"/>
        </w:sectPr>
      </w:pPr>
    </w:p>
    <w:p>
      <w:pPr>
        <w:pStyle w:val="29"/>
        <w:spacing w:before="0" w:beforeAutospacing="0" w:after="0" w:afterAutospacing="0"/>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二、建设项目工程分析</w:t>
      </w:r>
    </w:p>
    <w:tbl>
      <w:tblPr>
        <w:tblStyle w:val="3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6" w:type="dxa"/>
            <w:vAlign w:val="center"/>
          </w:tcPr>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r>
              <w:rPr>
                <w:rFonts w:hint="eastAsia" w:cs="宋体"/>
                <w:color w:val="auto"/>
                <w:szCs w:val="24"/>
                <w:highlight w:val="none"/>
              </w:rPr>
              <w:t>建设内容</w:t>
            </w: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r>
              <w:rPr>
                <w:rFonts w:hint="eastAsia" w:cs="宋体"/>
                <w:color w:val="auto"/>
                <w:szCs w:val="24"/>
                <w:highlight w:val="none"/>
              </w:rPr>
              <w:t>建设内容</w:t>
            </w: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r>
              <w:rPr>
                <w:rFonts w:hint="eastAsia" w:cs="宋体"/>
                <w:color w:val="auto"/>
                <w:szCs w:val="24"/>
                <w:highlight w:val="none"/>
              </w:rPr>
              <w:t>建设内容</w:t>
            </w: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tc>
        <w:tc>
          <w:tcPr>
            <w:tcW w:w="8604" w:type="dxa"/>
          </w:tcPr>
          <w:p>
            <w:pPr>
              <w:numPr>
                <w:ilvl w:val="0"/>
                <w:numId w:val="3"/>
              </w:numPr>
              <w:spacing w:line="360" w:lineRule="auto"/>
              <w:ind w:firstLine="480" w:firstLineChars="200"/>
              <w:rPr>
                <w:color w:val="auto"/>
                <w:sz w:val="24"/>
                <w:szCs w:val="32"/>
                <w:highlight w:val="none"/>
              </w:rPr>
            </w:pPr>
            <w:r>
              <w:rPr>
                <w:color w:val="auto"/>
                <w:sz w:val="24"/>
                <w:szCs w:val="32"/>
                <w:highlight w:val="none"/>
              </w:rPr>
              <w:t>项目</w:t>
            </w:r>
            <w:r>
              <w:rPr>
                <w:rFonts w:hint="eastAsia"/>
                <w:color w:val="auto"/>
                <w:sz w:val="24"/>
                <w:szCs w:val="32"/>
                <w:highlight w:val="none"/>
              </w:rPr>
              <w:t>由来</w:t>
            </w:r>
          </w:p>
          <w:p>
            <w:pPr>
              <w:pStyle w:val="43"/>
              <w:rPr>
                <w:color w:val="auto"/>
                <w:highlight w:val="none"/>
              </w:rPr>
            </w:pPr>
            <w:r>
              <w:rPr>
                <w:color w:val="auto"/>
                <w:highlight w:val="none"/>
              </w:rPr>
              <w:t>洋县瑞庆新型节能建材厂</w:t>
            </w:r>
            <w:r>
              <w:rPr>
                <w:rFonts w:hint="eastAsia"/>
                <w:color w:val="auto"/>
                <w:highlight w:val="none"/>
              </w:rPr>
              <w:t>成立于</w:t>
            </w:r>
            <w:r>
              <w:rPr>
                <w:rFonts w:ascii="Times New Roman" w:hAnsi="Times New Roman" w:eastAsia="黑体"/>
                <w:color w:val="auto"/>
                <w:highlight w:val="none"/>
              </w:rPr>
              <w:t>2019</w:t>
            </w:r>
            <w:r>
              <w:rPr>
                <w:rFonts w:hint="eastAsia"/>
                <w:color w:val="auto"/>
                <w:highlight w:val="none"/>
              </w:rPr>
              <w:t>年，厂址位于洋县磨子桥镇冯杨村二组，主要生产页岩烧结砖，现已正常运营</w:t>
            </w:r>
            <w:r>
              <w:rPr>
                <w:rFonts w:ascii="Times New Roman" w:hAnsi="Times New Roman"/>
                <w:color w:val="auto"/>
                <w:highlight w:val="none"/>
              </w:rPr>
              <w:t>4</w:t>
            </w:r>
            <w:r>
              <w:rPr>
                <w:rFonts w:hint="eastAsia"/>
                <w:color w:val="auto"/>
                <w:highlight w:val="none"/>
              </w:rPr>
              <w:t>年。考虑到近年来区域内页岩砖市场波动情况较大，企业整体经营受到一定影响，</w:t>
            </w:r>
            <w:r>
              <w:rPr>
                <w:rFonts w:hint="eastAsia"/>
                <w:color w:val="auto"/>
                <w:highlight w:val="none"/>
                <w:lang w:eastAsia="zh-CN"/>
              </w:rPr>
              <w:t>为响应文件—《“十四五”大宗固体废弃物综合利用的指导意见》（发改环</w:t>
            </w:r>
            <w:r>
              <w:rPr>
                <w:rFonts w:hint="default" w:ascii="Times New Roman" w:hAnsi="Times New Roman" w:cs="Times New Roman"/>
                <w:color w:val="auto"/>
                <w:highlight w:val="none"/>
                <w:lang w:eastAsia="zh-CN"/>
              </w:rPr>
              <w:t>资</w:t>
            </w:r>
            <w:r>
              <w:rPr>
                <w:rFonts w:hint="default" w:ascii="Times New Roman" w:hAnsi="Times New Roman" w:cs="Times New Roman"/>
                <w:color w:val="auto"/>
                <w:highlight w:val="none"/>
                <w:lang w:val="en-US" w:eastAsia="zh-CN"/>
              </w:rPr>
              <w:t>[2021]381号</w:t>
            </w:r>
            <w:r>
              <w:rPr>
                <w:rFonts w:hint="eastAsia"/>
                <w:color w:val="auto"/>
                <w:highlight w:val="none"/>
                <w:lang w:eastAsia="zh-CN"/>
              </w:rPr>
              <w:t>）精神，并谋求企业长远发展，</w:t>
            </w:r>
            <w:r>
              <w:rPr>
                <w:color w:val="auto"/>
                <w:highlight w:val="none"/>
              </w:rPr>
              <w:t>洋县瑞庆新型节能建材厂</w:t>
            </w:r>
            <w:r>
              <w:rPr>
                <w:rFonts w:hint="eastAsia"/>
                <w:color w:val="auto"/>
                <w:highlight w:val="none"/>
              </w:rPr>
              <w:t>负责人计划在原厂区内扩建一条</w:t>
            </w:r>
            <w:r>
              <w:rPr>
                <w:rFonts w:hint="eastAsia" w:hAnsi="宋体"/>
                <w:color w:val="auto"/>
                <w:highlight w:val="none"/>
              </w:rPr>
              <w:t>泥</w:t>
            </w:r>
            <w:r>
              <w:rPr>
                <w:rFonts w:hint="eastAsia"/>
                <w:color w:val="auto"/>
                <w:szCs w:val="18"/>
                <w:highlight w:val="none"/>
                <w:lang w:eastAsia="zh-CN"/>
              </w:rPr>
              <w:t>砂</w:t>
            </w:r>
            <w:r>
              <w:rPr>
                <w:rFonts w:hint="eastAsia" w:hAnsi="宋体"/>
                <w:color w:val="auto"/>
                <w:highlight w:val="none"/>
              </w:rPr>
              <w:t>分离生产线，</w:t>
            </w:r>
            <w:r>
              <w:rPr>
                <w:rFonts w:hint="eastAsia" w:hAnsi="宋体"/>
                <w:color w:val="auto"/>
                <w:highlight w:val="none"/>
                <w:lang w:eastAsia="zh-CN"/>
              </w:rPr>
              <w:t>外购上游</w:t>
            </w:r>
            <w:r>
              <w:rPr>
                <w:rFonts w:hint="eastAsia"/>
                <w:color w:val="auto"/>
                <w:szCs w:val="21"/>
                <w:highlight w:val="none"/>
                <w:lang w:eastAsia="zh-CN"/>
              </w:rPr>
              <w:t>汉中市昌申矿业有限责任公司提供的尾矿砂，运营期</w:t>
            </w:r>
            <w:r>
              <w:rPr>
                <w:rFonts w:hint="eastAsia" w:hAnsi="宋体"/>
                <w:color w:val="auto"/>
                <w:highlight w:val="none"/>
              </w:rPr>
              <w:t>筛分出的</w:t>
            </w:r>
            <w:r>
              <w:rPr>
                <w:rFonts w:hint="eastAsia"/>
                <w:color w:val="auto"/>
                <w:szCs w:val="18"/>
                <w:highlight w:val="none"/>
                <w:lang w:eastAsia="zh-CN"/>
              </w:rPr>
              <w:t>砂</w:t>
            </w:r>
            <w:r>
              <w:rPr>
                <w:rFonts w:hint="eastAsia" w:hAnsi="宋体"/>
                <w:color w:val="auto"/>
                <w:highlight w:val="none"/>
              </w:rPr>
              <w:t>料外售</w:t>
            </w:r>
            <w:r>
              <w:rPr>
                <w:rFonts w:hint="eastAsia" w:hAnsi="宋体"/>
                <w:color w:val="auto"/>
                <w:highlight w:val="none"/>
                <w:lang w:eastAsia="zh-CN"/>
              </w:rPr>
              <w:t>至下游建筑（建材）公司</w:t>
            </w:r>
            <w:r>
              <w:rPr>
                <w:rFonts w:hint="eastAsia" w:hAnsi="宋体"/>
                <w:color w:val="auto"/>
                <w:highlight w:val="none"/>
              </w:rPr>
              <w:t>、压滤后的泥饼用于厂区烧结砖生产线。本项目的实施可</w:t>
            </w:r>
            <w:r>
              <w:rPr>
                <w:rFonts w:hint="eastAsia" w:hAnsi="宋体"/>
                <w:color w:val="auto"/>
                <w:highlight w:val="none"/>
                <w:lang w:eastAsia="zh-CN"/>
              </w:rPr>
              <w:t>落实文件中相关要求，</w:t>
            </w:r>
            <w:r>
              <w:rPr>
                <w:rFonts w:hint="eastAsia" w:hAnsi="宋体"/>
                <w:color w:val="auto"/>
                <w:highlight w:val="none"/>
              </w:rPr>
              <w:t>拓宽产品种类</w:t>
            </w:r>
            <w:r>
              <w:rPr>
                <w:rFonts w:hint="eastAsia" w:hAnsi="宋体"/>
                <w:color w:val="auto"/>
                <w:highlight w:val="none"/>
                <w:lang w:eastAsia="zh-CN"/>
              </w:rPr>
              <w:t>并</w:t>
            </w:r>
            <w:r>
              <w:rPr>
                <w:rFonts w:hint="eastAsia" w:hAnsi="宋体"/>
                <w:color w:val="auto"/>
                <w:highlight w:val="none"/>
              </w:rPr>
              <w:t>增加企业营收，进而改善企业目前经营状况。</w:t>
            </w:r>
          </w:p>
          <w:p>
            <w:pPr>
              <w:numPr>
                <w:ilvl w:val="0"/>
                <w:numId w:val="3"/>
              </w:numPr>
              <w:spacing w:line="360" w:lineRule="auto"/>
              <w:ind w:firstLine="480" w:firstLineChars="200"/>
              <w:rPr>
                <w:color w:val="auto"/>
                <w:sz w:val="24"/>
                <w:szCs w:val="32"/>
                <w:highlight w:val="none"/>
              </w:rPr>
            </w:pPr>
            <w:r>
              <w:rPr>
                <w:color w:val="auto"/>
                <w:sz w:val="24"/>
                <w:szCs w:val="32"/>
                <w:highlight w:val="none"/>
              </w:rPr>
              <w:t>项目组成</w:t>
            </w:r>
          </w:p>
          <w:p>
            <w:pPr>
              <w:snapToGrid w:val="0"/>
              <w:spacing w:line="360" w:lineRule="auto"/>
              <w:ind w:firstLine="480" w:firstLineChars="200"/>
              <w:rPr>
                <w:color w:val="auto"/>
                <w:sz w:val="24"/>
                <w:szCs w:val="32"/>
                <w:highlight w:val="none"/>
              </w:rPr>
            </w:pPr>
            <w:r>
              <w:rPr>
                <w:rFonts w:hint="eastAsia" w:hAnsi="宋体"/>
                <w:color w:val="auto"/>
                <w:sz w:val="24"/>
                <w:highlight w:val="none"/>
              </w:rPr>
              <w:t>根据项目备案可知，洋县瑞庆新型节能建材厂计划投资160万人民币，在原厂区内扩建</w:t>
            </w:r>
            <w:r>
              <w:rPr>
                <w:rFonts w:hint="eastAsia" w:hAnsi="宋体"/>
                <w:color w:val="auto"/>
                <w:sz w:val="24"/>
                <w:highlight w:val="none"/>
                <w:lang w:eastAsia="zh-CN"/>
              </w:rPr>
              <w:t>新增</w:t>
            </w:r>
            <w:r>
              <w:rPr>
                <w:rFonts w:hint="eastAsia" w:hAnsi="宋体"/>
                <w:color w:val="auto"/>
                <w:sz w:val="24"/>
                <w:highlight w:val="none"/>
              </w:rPr>
              <w:t>一条泥</w:t>
            </w:r>
            <w:r>
              <w:rPr>
                <w:rFonts w:hint="eastAsia" w:hAnsi="宋体"/>
                <w:color w:val="auto"/>
                <w:sz w:val="24"/>
                <w:highlight w:val="none"/>
                <w:lang w:eastAsia="zh-CN"/>
              </w:rPr>
              <w:t>砂</w:t>
            </w:r>
            <w:r>
              <w:rPr>
                <w:rFonts w:hint="eastAsia" w:hAnsi="宋体"/>
                <w:color w:val="auto"/>
                <w:sz w:val="24"/>
                <w:highlight w:val="none"/>
              </w:rPr>
              <w:t>分离生产线，主要设备为轮式分离机、带式压泥机等。</w:t>
            </w:r>
            <w:r>
              <w:rPr>
                <w:color w:val="auto"/>
                <w:sz w:val="24"/>
                <w:szCs w:val="32"/>
                <w:highlight w:val="none"/>
              </w:rPr>
              <w:t>具体组成及建设内容详见表2-1：</w:t>
            </w:r>
          </w:p>
          <w:p>
            <w:pPr>
              <w:pStyle w:val="42"/>
              <w:jc w:val="center"/>
              <w:rPr>
                <w:color w:val="auto"/>
                <w:sz w:val="21"/>
                <w:szCs w:val="21"/>
                <w:highlight w:val="none"/>
              </w:rPr>
            </w:pPr>
            <w:r>
              <w:rPr>
                <w:b/>
                <w:bCs/>
                <w:color w:val="auto"/>
                <w:sz w:val="21"/>
                <w:szCs w:val="21"/>
                <w:highlight w:val="none"/>
              </w:rPr>
              <w:t>表</w:t>
            </w:r>
            <w:r>
              <w:rPr>
                <w:rFonts w:hint="eastAsia" w:ascii="Times New Roman" w:cs="Times New Roman"/>
                <w:b/>
                <w:bCs/>
                <w:color w:val="auto"/>
                <w:kern w:val="2"/>
                <w:sz w:val="21"/>
                <w:szCs w:val="21"/>
                <w:highlight w:val="none"/>
              </w:rPr>
              <w:t xml:space="preserve">2-1 </w:t>
            </w:r>
            <w:r>
              <w:rPr>
                <w:b/>
                <w:bCs/>
                <w:color w:val="auto"/>
                <w:sz w:val="21"/>
                <w:szCs w:val="21"/>
                <w:highlight w:val="none"/>
              </w:rPr>
              <w:t xml:space="preserve">  项目建设内容及组成一览表</w:t>
            </w:r>
          </w:p>
          <w:tbl>
            <w:tblPr>
              <w:tblStyle w:val="34"/>
              <w:tblW w:w="84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37"/>
              <w:gridCol w:w="2946"/>
              <w:gridCol w:w="2953"/>
              <w:gridCol w:w="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63" w:type="dxa"/>
                  <w:tcBorders>
                    <w:tl2br w:val="nil"/>
                    <w:tr2bl w:val="nil"/>
                  </w:tcBorders>
                  <w:vAlign w:val="center"/>
                </w:tcPr>
                <w:p>
                  <w:pPr>
                    <w:spacing w:line="280" w:lineRule="exact"/>
                    <w:jc w:val="center"/>
                    <w:rPr>
                      <w:rFonts w:hAnsi="宋体"/>
                      <w:b/>
                      <w:color w:val="auto"/>
                      <w:szCs w:val="21"/>
                      <w:highlight w:val="none"/>
                    </w:rPr>
                  </w:pPr>
                  <w:r>
                    <w:rPr>
                      <w:rFonts w:hint="eastAsia" w:hAnsi="宋体"/>
                      <w:b/>
                      <w:color w:val="auto"/>
                      <w:szCs w:val="21"/>
                      <w:highlight w:val="none"/>
                    </w:rPr>
                    <w:t>名称</w:t>
                  </w:r>
                </w:p>
              </w:tc>
              <w:tc>
                <w:tcPr>
                  <w:tcW w:w="937" w:type="dxa"/>
                  <w:tcBorders>
                    <w:tl2br w:val="nil"/>
                    <w:tr2bl w:val="nil"/>
                  </w:tcBorders>
                  <w:vAlign w:val="center"/>
                </w:tcPr>
                <w:p>
                  <w:pPr>
                    <w:spacing w:line="280" w:lineRule="exact"/>
                    <w:jc w:val="center"/>
                    <w:rPr>
                      <w:rFonts w:hAnsi="宋体"/>
                      <w:b/>
                      <w:color w:val="auto"/>
                      <w:szCs w:val="21"/>
                      <w:highlight w:val="none"/>
                    </w:rPr>
                  </w:pPr>
                  <w:r>
                    <w:rPr>
                      <w:rFonts w:hint="eastAsia" w:hAnsi="宋体"/>
                      <w:b/>
                      <w:color w:val="auto"/>
                      <w:szCs w:val="21"/>
                      <w:highlight w:val="none"/>
                    </w:rPr>
                    <w:t>工程</w:t>
                  </w:r>
                </w:p>
                <w:p>
                  <w:pPr>
                    <w:spacing w:line="280" w:lineRule="exact"/>
                    <w:jc w:val="center"/>
                    <w:rPr>
                      <w:rFonts w:hAnsi="宋体"/>
                      <w:b/>
                      <w:color w:val="auto"/>
                      <w:szCs w:val="21"/>
                      <w:highlight w:val="none"/>
                    </w:rPr>
                  </w:pPr>
                  <w:r>
                    <w:rPr>
                      <w:rFonts w:hint="eastAsia" w:hAnsi="宋体"/>
                      <w:b/>
                      <w:color w:val="auto"/>
                      <w:szCs w:val="21"/>
                      <w:highlight w:val="none"/>
                    </w:rPr>
                    <w:t>名称</w:t>
                  </w:r>
                </w:p>
              </w:tc>
              <w:tc>
                <w:tcPr>
                  <w:tcW w:w="2946"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现有工程</w:t>
                  </w:r>
                </w:p>
              </w:tc>
              <w:tc>
                <w:tcPr>
                  <w:tcW w:w="2953"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扩建工程</w:t>
                  </w:r>
                </w:p>
              </w:tc>
              <w:tc>
                <w:tcPr>
                  <w:tcW w:w="941"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int="eastAsia" w:hAnsi="宋体"/>
                      <w:b/>
                      <w:color w:val="auto"/>
                      <w:sz w:val="21"/>
                      <w:szCs w:val="21"/>
                      <w:highlight w:val="none"/>
                    </w:rPr>
                  </w:pPr>
                  <w:r>
                    <w:rPr>
                      <w:rFonts w:hint="eastAsia" w:hAnsi="宋体"/>
                      <w:b/>
                      <w:color w:val="auto"/>
                      <w:sz w:val="21"/>
                      <w:szCs w:val="21"/>
                      <w:highlight w:val="none"/>
                    </w:rPr>
                    <w:t>依托</w:t>
                  </w:r>
                </w:p>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关系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63" w:type="dxa"/>
                  <w:vMerge w:val="restart"/>
                  <w:tcBorders>
                    <w:tl2br w:val="nil"/>
                    <w:tr2bl w:val="nil"/>
                  </w:tcBorders>
                  <w:vAlign w:val="center"/>
                </w:tcPr>
                <w:p>
                  <w:pPr>
                    <w:snapToGrid w:val="0"/>
                    <w:jc w:val="center"/>
                    <w:rPr>
                      <w:rFonts w:hAnsi="宋体"/>
                      <w:color w:val="auto"/>
                      <w:szCs w:val="21"/>
                      <w:highlight w:val="none"/>
                    </w:rPr>
                  </w:pPr>
                  <w:r>
                    <w:rPr>
                      <w:rFonts w:hint="eastAsia" w:hAnsi="宋体"/>
                      <w:color w:val="auto"/>
                      <w:szCs w:val="21"/>
                      <w:highlight w:val="none"/>
                    </w:rPr>
                    <w:t>主体</w:t>
                  </w:r>
                </w:p>
                <w:p>
                  <w:pPr>
                    <w:snapToGrid w:val="0"/>
                    <w:jc w:val="center"/>
                    <w:rPr>
                      <w:rFonts w:hAnsi="宋体"/>
                      <w:color w:val="auto"/>
                      <w:szCs w:val="21"/>
                      <w:highlight w:val="none"/>
                    </w:rPr>
                  </w:pPr>
                  <w:r>
                    <w:rPr>
                      <w:rFonts w:hint="eastAsia" w:hAnsi="宋体"/>
                      <w:color w:val="auto"/>
                      <w:szCs w:val="21"/>
                      <w:highlight w:val="none"/>
                    </w:rPr>
                    <w:t>工程</w:t>
                  </w:r>
                </w:p>
              </w:tc>
              <w:tc>
                <w:tcPr>
                  <w:tcW w:w="937" w:type="dxa"/>
                  <w:tcBorders>
                    <w:tl2br w:val="nil"/>
                    <w:tr2bl w:val="nil"/>
                  </w:tcBorders>
                  <w:vAlign w:val="center"/>
                </w:tcPr>
                <w:p>
                  <w:pPr>
                    <w:spacing w:line="280" w:lineRule="exact"/>
                    <w:jc w:val="center"/>
                    <w:rPr>
                      <w:rFonts w:hAnsi="宋体"/>
                      <w:b/>
                      <w:color w:val="auto"/>
                      <w:szCs w:val="21"/>
                      <w:highlight w:val="none"/>
                    </w:rPr>
                  </w:pPr>
                  <w:r>
                    <w:rPr>
                      <w:color w:val="auto"/>
                      <w:szCs w:val="21"/>
                      <w:highlight w:val="none"/>
                    </w:rPr>
                    <w:t>隧道窑</w:t>
                  </w:r>
                </w:p>
              </w:tc>
              <w:tc>
                <w:tcPr>
                  <w:tcW w:w="2946" w:type="dxa"/>
                  <w:tcBorders>
                    <w:tl2br w:val="nil"/>
                    <w:tr2bl w:val="nil"/>
                  </w:tcBorders>
                  <w:vAlign w:val="center"/>
                </w:tcPr>
                <w:p>
                  <w:pPr>
                    <w:pStyle w:val="23"/>
                    <w:pBdr>
                      <w:bottom w:val="none" w:color="auto" w:sz="0" w:space="0"/>
                    </w:pBdr>
                    <w:tabs>
                      <w:tab w:val="clear" w:pos="4153"/>
                      <w:tab w:val="clear" w:pos="8306"/>
                    </w:tabs>
                    <w:snapToGrid/>
                    <w:spacing w:line="280" w:lineRule="exact"/>
                    <w:jc w:val="both"/>
                    <w:rPr>
                      <w:rFonts w:hAnsi="宋体"/>
                      <w:b/>
                      <w:color w:val="auto"/>
                      <w:sz w:val="21"/>
                      <w:szCs w:val="21"/>
                      <w:highlight w:val="none"/>
                    </w:rPr>
                  </w:pPr>
                  <w:r>
                    <w:rPr>
                      <w:rFonts w:hint="eastAsia"/>
                      <w:color w:val="auto"/>
                      <w:sz w:val="21"/>
                      <w:szCs w:val="21"/>
                      <w:highlight w:val="none"/>
                    </w:rPr>
                    <w:t>移动式隧道窑窑底中心线直径150m，轨外留设6m宽道路，其最大直径约162m，总面积17000 m</w:t>
                  </w:r>
                  <w:r>
                    <w:rPr>
                      <w:rFonts w:hint="eastAsia"/>
                      <w:color w:val="auto"/>
                      <w:sz w:val="21"/>
                      <w:szCs w:val="21"/>
                      <w:highlight w:val="none"/>
                      <w:vertAlign w:val="superscript"/>
                    </w:rPr>
                    <w:t>2</w:t>
                  </w:r>
                  <w:r>
                    <w:rPr>
                      <w:rFonts w:hint="eastAsia"/>
                      <w:color w:val="auto"/>
                      <w:sz w:val="21"/>
                      <w:szCs w:val="21"/>
                      <w:highlight w:val="none"/>
                    </w:rPr>
                    <w:t>。</w:t>
                  </w:r>
                </w:p>
              </w:tc>
              <w:tc>
                <w:tcPr>
                  <w:tcW w:w="2953"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w:t>
                  </w:r>
                </w:p>
              </w:tc>
              <w:tc>
                <w:tcPr>
                  <w:tcW w:w="941"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63" w:type="dxa"/>
                  <w:vMerge w:val="continue"/>
                  <w:tcBorders>
                    <w:tl2br w:val="nil"/>
                    <w:tr2bl w:val="nil"/>
                  </w:tcBorders>
                  <w:vAlign w:val="center"/>
                </w:tcPr>
                <w:p>
                  <w:pPr>
                    <w:spacing w:line="280" w:lineRule="exact"/>
                    <w:jc w:val="center"/>
                    <w:rPr>
                      <w:rFonts w:hAnsi="宋体"/>
                      <w:b/>
                      <w:color w:val="auto"/>
                      <w:szCs w:val="21"/>
                      <w:highlight w:val="none"/>
                    </w:rPr>
                  </w:pPr>
                </w:p>
              </w:tc>
              <w:tc>
                <w:tcPr>
                  <w:tcW w:w="937" w:type="dxa"/>
                  <w:tcBorders>
                    <w:tl2br w:val="nil"/>
                    <w:tr2bl w:val="nil"/>
                  </w:tcBorders>
                  <w:vAlign w:val="center"/>
                </w:tcPr>
                <w:p>
                  <w:pPr>
                    <w:adjustRightInd w:val="0"/>
                    <w:snapToGrid w:val="0"/>
                    <w:jc w:val="center"/>
                    <w:rPr>
                      <w:color w:val="auto"/>
                      <w:szCs w:val="21"/>
                      <w:highlight w:val="none"/>
                    </w:rPr>
                  </w:pPr>
                  <w:r>
                    <w:rPr>
                      <w:color w:val="auto"/>
                      <w:szCs w:val="21"/>
                      <w:highlight w:val="none"/>
                    </w:rPr>
                    <w:t>破碎</w:t>
                  </w:r>
                </w:p>
                <w:p>
                  <w:pPr>
                    <w:adjustRightInd w:val="0"/>
                    <w:snapToGrid w:val="0"/>
                    <w:jc w:val="center"/>
                    <w:rPr>
                      <w:rFonts w:hAnsi="宋体"/>
                      <w:b/>
                      <w:color w:val="auto"/>
                      <w:szCs w:val="21"/>
                      <w:highlight w:val="none"/>
                    </w:rPr>
                  </w:pPr>
                  <w:r>
                    <w:rPr>
                      <w:color w:val="auto"/>
                      <w:szCs w:val="21"/>
                      <w:highlight w:val="none"/>
                    </w:rPr>
                    <w:t>车间</w:t>
                  </w:r>
                </w:p>
              </w:tc>
              <w:tc>
                <w:tcPr>
                  <w:tcW w:w="2946" w:type="dxa"/>
                  <w:tcBorders>
                    <w:tl2br w:val="nil"/>
                    <w:tr2bl w:val="nil"/>
                  </w:tcBorders>
                  <w:vAlign w:val="center"/>
                </w:tcPr>
                <w:p>
                  <w:pPr>
                    <w:adjustRightInd w:val="0"/>
                    <w:snapToGrid w:val="0"/>
                    <w:rPr>
                      <w:rFonts w:hAnsi="宋体"/>
                      <w:b/>
                      <w:color w:val="auto"/>
                      <w:szCs w:val="21"/>
                      <w:highlight w:val="none"/>
                    </w:rPr>
                  </w:pPr>
                  <w:r>
                    <w:rPr>
                      <w:rFonts w:hint="eastAsia"/>
                      <w:color w:val="auto"/>
                      <w:szCs w:val="21"/>
                      <w:highlight w:val="none"/>
                    </w:rPr>
                    <w:t>封闭</w:t>
                  </w:r>
                  <w:r>
                    <w:rPr>
                      <w:color w:val="auto"/>
                      <w:szCs w:val="21"/>
                      <w:highlight w:val="none"/>
                    </w:rPr>
                    <w:t>式</w:t>
                  </w:r>
                  <w:r>
                    <w:rPr>
                      <w:rFonts w:hint="eastAsia"/>
                      <w:color w:val="auto"/>
                      <w:szCs w:val="21"/>
                      <w:highlight w:val="none"/>
                    </w:rPr>
                    <w:t>车间</w:t>
                  </w:r>
                  <w:r>
                    <w:rPr>
                      <w:color w:val="auto"/>
                      <w:szCs w:val="21"/>
                      <w:highlight w:val="none"/>
                    </w:rPr>
                    <w:t>，</w:t>
                  </w:r>
                  <w:r>
                    <w:rPr>
                      <w:rFonts w:hint="eastAsia"/>
                      <w:color w:val="auto"/>
                      <w:szCs w:val="21"/>
                      <w:highlight w:val="none"/>
                    </w:rPr>
                    <w:t>建筑面积700m</w:t>
                  </w:r>
                  <w:r>
                    <w:rPr>
                      <w:rFonts w:hint="eastAsia"/>
                      <w:color w:val="auto"/>
                      <w:szCs w:val="21"/>
                      <w:highlight w:val="none"/>
                      <w:vertAlign w:val="superscript"/>
                    </w:rPr>
                    <w:t>2</w:t>
                  </w:r>
                  <w:r>
                    <w:rPr>
                      <w:rFonts w:hint="eastAsia"/>
                      <w:color w:val="auto"/>
                      <w:szCs w:val="21"/>
                      <w:highlight w:val="none"/>
                    </w:rPr>
                    <w:t>，均为钢结构，净高6.5m</w:t>
                  </w:r>
                  <w:r>
                    <w:rPr>
                      <w:color w:val="auto"/>
                      <w:szCs w:val="21"/>
                      <w:highlight w:val="none"/>
                    </w:rPr>
                    <w:t>，内设</w:t>
                  </w:r>
                  <w:r>
                    <w:rPr>
                      <w:rFonts w:hint="eastAsia"/>
                      <w:color w:val="auto"/>
                      <w:szCs w:val="21"/>
                      <w:highlight w:val="none"/>
                    </w:rPr>
                    <w:t>给</w:t>
                  </w:r>
                  <w:r>
                    <w:rPr>
                      <w:color w:val="auto"/>
                      <w:szCs w:val="21"/>
                      <w:highlight w:val="none"/>
                    </w:rPr>
                    <w:t>料机、</w:t>
                  </w:r>
                  <w:r>
                    <w:rPr>
                      <w:rFonts w:hint="eastAsia"/>
                      <w:color w:val="auto"/>
                      <w:szCs w:val="21"/>
                      <w:highlight w:val="none"/>
                    </w:rPr>
                    <w:t>粉碎</w:t>
                  </w:r>
                  <w:r>
                    <w:rPr>
                      <w:color w:val="auto"/>
                      <w:szCs w:val="21"/>
                      <w:highlight w:val="none"/>
                    </w:rPr>
                    <w:t>机、搅拌机等设备，将原料破碎至符合制砖所要求的粒度</w:t>
                  </w:r>
                  <w:r>
                    <w:rPr>
                      <w:rFonts w:hint="eastAsia"/>
                      <w:color w:val="auto"/>
                      <w:szCs w:val="21"/>
                      <w:highlight w:val="none"/>
                    </w:rPr>
                    <w:t>。</w:t>
                  </w:r>
                </w:p>
              </w:tc>
              <w:tc>
                <w:tcPr>
                  <w:tcW w:w="2953"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w:t>
                  </w:r>
                </w:p>
              </w:tc>
              <w:tc>
                <w:tcPr>
                  <w:tcW w:w="941"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63" w:type="dxa"/>
                  <w:vMerge w:val="continue"/>
                  <w:tcBorders>
                    <w:tl2br w:val="nil"/>
                    <w:tr2bl w:val="nil"/>
                  </w:tcBorders>
                  <w:vAlign w:val="center"/>
                </w:tcPr>
                <w:p>
                  <w:pPr>
                    <w:spacing w:line="280" w:lineRule="exact"/>
                    <w:jc w:val="center"/>
                    <w:rPr>
                      <w:rFonts w:hAnsi="宋体"/>
                      <w:b/>
                      <w:color w:val="auto"/>
                      <w:szCs w:val="21"/>
                      <w:highlight w:val="none"/>
                    </w:rPr>
                  </w:pPr>
                </w:p>
              </w:tc>
              <w:tc>
                <w:tcPr>
                  <w:tcW w:w="937" w:type="dxa"/>
                  <w:tcBorders>
                    <w:tl2br w:val="nil"/>
                    <w:tr2bl w:val="nil"/>
                  </w:tcBorders>
                  <w:vAlign w:val="center"/>
                </w:tcPr>
                <w:p>
                  <w:pPr>
                    <w:adjustRightInd w:val="0"/>
                    <w:snapToGrid w:val="0"/>
                    <w:jc w:val="center"/>
                    <w:rPr>
                      <w:color w:val="auto"/>
                      <w:szCs w:val="21"/>
                      <w:highlight w:val="none"/>
                    </w:rPr>
                  </w:pPr>
                  <w:r>
                    <w:rPr>
                      <w:color w:val="auto"/>
                      <w:szCs w:val="21"/>
                      <w:highlight w:val="none"/>
                    </w:rPr>
                    <w:t>陈化</w:t>
                  </w:r>
                </w:p>
                <w:p>
                  <w:pPr>
                    <w:adjustRightInd w:val="0"/>
                    <w:snapToGrid w:val="0"/>
                    <w:jc w:val="center"/>
                    <w:rPr>
                      <w:rFonts w:hAnsi="宋体"/>
                      <w:b/>
                      <w:color w:val="auto"/>
                      <w:szCs w:val="21"/>
                      <w:highlight w:val="none"/>
                    </w:rPr>
                  </w:pPr>
                  <w:r>
                    <w:rPr>
                      <w:color w:val="auto"/>
                      <w:szCs w:val="21"/>
                      <w:highlight w:val="none"/>
                    </w:rPr>
                    <w:t>车间</w:t>
                  </w:r>
                </w:p>
              </w:tc>
              <w:tc>
                <w:tcPr>
                  <w:tcW w:w="2946" w:type="dxa"/>
                  <w:tcBorders>
                    <w:tl2br w:val="nil"/>
                    <w:tr2bl w:val="nil"/>
                  </w:tcBorders>
                  <w:vAlign w:val="center"/>
                </w:tcPr>
                <w:p>
                  <w:pPr>
                    <w:adjustRightInd w:val="0"/>
                    <w:snapToGrid w:val="0"/>
                    <w:rPr>
                      <w:rFonts w:hAnsi="宋体"/>
                      <w:b/>
                      <w:color w:val="auto"/>
                      <w:szCs w:val="21"/>
                      <w:highlight w:val="none"/>
                    </w:rPr>
                  </w:pPr>
                  <w:r>
                    <w:rPr>
                      <w:rFonts w:hint="eastAsia"/>
                      <w:color w:val="auto"/>
                      <w:szCs w:val="21"/>
                      <w:highlight w:val="none"/>
                    </w:rPr>
                    <w:t>陈化仓（位于圆形隧道窑内部）为封闭</w:t>
                  </w:r>
                  <w:r>
                    <w:rPr>
                      <w:color w:val="auto"/>
                      <w:szCs w:val="21"/>
                      <w:highlight w:val="none"/>
                    </w:rPr>
                    <w:t>式</w:t>
                  </w:r>
                  <w:r>
                    <w:rPr>
                      <w:rFonts w:hint="eastAsia"/>
                      <w:color w:val="auto"/>
                      <w:szCs w:val="21"/>
                      <w:highlight w:val="none"/>
                    </w:rPr>
                    <w:t>车间</w:t>
                  </w:r>
                  <w:r>
                    <w:rPr>
                      <w:color w:val="auto"/>
                      <w:szCs w:val="21"/>
                      <w:highlight w:val="none"/>
                    </w:rPr>
                    <w:t>，</w:t>
                  </w:r>
                  <w:r>
                    <w:rPr>
                      <w:rFonts w:hint="eastAsia"/>
                      <w:color w:val="auto"/>
                      <w:szCs w:val="21"/>
                      <w:highlight w:val="none"/>
                    </w:rPr>
                    <w:t>原料输入陈化仓陈化6</w:t>
                  </w:r>
                  <w:r>
                    <w:rPr>
                      <w:color w:val="auto"/>
                      <w:szCs w:val="21"/>
                      <w:highlight w:val="none"/>
                    </w:rPr>
                    <w:t>～</w:t>
                  </w:r>
                  <w:r>
                    <w:rPr>
                      <w:rFonts w:hint="eastAsia"/>
                      <w:color w:val="auto"/>
                      <w:szCs w:val="21"/>
                      <w:highlight w:val="none"/>
                    </w:rPr>
                    <w:t>10天（仓容4200m</w:t>
                  </w:r>
                  <w:r>
                    <w:rPr>
                      <w:rFonts w:hint="eastAsia"/>
                      <w:color w:val="auto"/>
                      <w:szCs w:val="21"/>
                      <w:highlight w:val="none"/>
                      <w:vertAlign w:val="superscript"/>
                    </w:rPr>
                    <w:t>3</w:t>
                  </w:r>
                  <w:r>
                    <w:rPr>
                      <w:rFonts w:hint="eastAsia"/>
                      <w:color w:val="auto"/>
                      <w:szCs w:val="21"/>
                      <w:highlight w:val="none"/>
                    </w:rPr>
                    <w:t>），</w:t>
                  </w:r>
                  <w:r>
                    <w:rPr>
                      <w:color w:val="auto"/>
                      <w:szCs w:val="21"/>
                      <w:highlight w:val="none"/>
                    </w:rPr>
                    <w:t>占地面积约</w:t>
                  </w:r>
                  <w:r>
                    <w:rPr>
                      <w:rFonts w:hint="eastAsia"/>
                      <w:color w:val="auto"/>
                      <w:szCs w:val="21"/>
                      <w:highlight w:val="none"/>
                    </w:rPr>
                    <w:t>3000</w:t>
                  </w:r>
                  <w:r>
                    <w:rPr>
                      <w:color w:val="auto"/>
                      <w:szCs w:val="21"/>
                      <w:highlight w:val="none"/>
                    </w:rPr>
                    <w:t>m</w:t>
                  </w:r>
                  <w:r>
                    <w:rPr>
                      <w:color w:val="auto"/>
                      <w:szCs w:val="21"/>
                      <w:highlight w:val="none"/>
                      <w:vertAlign w:val="superscript"/>
                    </w:rPr>
                    <w:t>2</w:t>
                  </w:r>
                  <w:r>
                    <w:rPr>
                      <w:color w:val="auto"/>
                      <w:szCs w:val="21"/>
                      <w:highlight w:val="none"/>
                    </w:rPr>
                    <w:t>，内设布料机、挖掘机等</w:t>
                  </w:r>
                  <w:r>
                    <w:rPr>
                      <w:rFonts w:hint="eastAsia"/>
                      <w:color w:val="auto"/>
                      <w:szCs w:val="21"/>
                      <w:highlight w:val="none"/>
                    </w:rPr>
                    <w:t>。</w:t>
                  </w:r>
                </w:p>
              </w:tc>
              <w:tc>
                <w:tcPr>
                  <w:tcW w:w="2953"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w:t>
                  </w:r>
                </w:p>
              </w:tc>
              <w:tc>
                <w:tcPr>
                  <w:tcW w:w="941"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vMerge w:val="continue"/>
                  <w:tcBorders>
                    <w:tl2br w:val="nil"/>
                    <w:tr2bl w:val="nil"/>
                  </w:tcBorders>
                  <w:vAlign w:val="center"/>
                </w:tcPr>
                <w:p>
                  <w:pPr>
                    <w:spacing w:line="280" w:lineRule="exact"/>
                    <w:jc w:val="center"/>
                    <w:rPr>
                      <w:rFonts w:hAnsi="宋体"/>
                      <w:b/>
                      <w:color w:val="auto"/>
                      <w:szCs w:val="21"/>
                      <w:highlight w:val="none"/>
                    </w:rPr>
                  </w:pPr>
                </w:p>
              </w:tc>
              <w:tc>
                <w:tcPr>
                  <w:tcW w:w="937" w:type="dxa"/>
                  <w:tcBorders>
                    <w:tl2br w:val="nil"/>
                    <w:tr2bl w:val="nil"/>
                  </w:tcBorders>
                  <w:vAlign w:val="center"/>
                </w:tcPr>
                <w:p>
                  <w:pPr>
                    <w:adjustRightInd w:val="0"/>
                    <w:snapToGrid w:val="0"/>
                    <w:jc w:val="center"/>
                    <w:rPr>
                      <w:color w:val="auto"/>
                      <w:szCs w:val="21"/>
                      <w:highlight w:val="none"/>
                    </w:rPr>
                  </w:pPr>
                  <w:r>
                    <w:rPr>
                      <w:color w:val="auto"/>
                      <w:szCs w:val="21"/>
                      <w:highlight w:val="none"/>
                    </w:rPr>
                    <w:t>制砖</w:t>
                  </w:r>
                </w:p>
                <w:p>
                  <w:pPr>
                    <w:adjustRightInd w:val="0"/>
                    <w:snapToGrid w:val="0"/>
                    <w:jc w:val="center"/>
                    <w:rPr>
                      <w:rFonts w:hAnsi="宋体"/>
                      <w:b/>
                      <w:color w:val="auto"/>
                      <w:szCs w:val="21"/>
                      <w:highlight w:val="none"/>
                    </w:rPr>
                  </w:pPr>
                  <w:r>
                    <w:rPr>
                      <w:color w:val="auto"/>
                      <w:szCs w:val="21"/>
                      <w:highlight w:val="none"/>
                    </w:rPr>
                    <w:t>车间</w:t>
                  </w:r>
                </w:p>
              </w:tc>
              <w:tc>
                <w:tcPr>
                  <w:tcW w:w="2946" w:type="dxa"/>
                  <w:tcBorders>
                    <w:tl2br w:val="nil"/>
                    <w:tr2bl w:val="nil"/>
                  </w:tcBorders>
                  <w:vAlign w:val="center"/>
                </w:tcPr>
                <w:p>
                  <w:pPr>
                    <w:adjustRightInd w:val="0"/>
                    <w:snapToGrid w:val="0"/>
                    <w:rPr>
                      <w:rFonts w:hAnsi="宋体"/>
                      <w:b/>
                      <w:color w:val="auto"/>
                      <w:szCs w:val="21"/>
                      <w:highlight w:val="none"/>
                    </w:rPr>
                  </w:pPr>
                  <w:r>
                    <w:rPr>
                      <w:rFonts w:hint="eastAsia"/>
                      <w:color w:val="auto"/>
                      <w:szCs w:val="21"/>
                      <w:highlight w:val="none"/>
                    </w:rPr>
                    <w:t>由双轴搅拌机、真空挤砖机、</w:t>
                  </w:r>
                  <w:r>
                    <w:rPr>
                      <w:rFonts w:hint="eastAsia" w:ascii="宋体" w:hAnsi="宋体" w:cs="宋体"/>
                      <w:color w:val="auto"/>
                      <w:szCs w:val="21"/>
                      <w:highlight w:val="none"/>
                    </w:rPr>
                    <w:t>自动切条切坯机、旋台输送机</w:t>
                  </w:r>
                  <w:r>
                    <w:rPr>
                      <w:rFonts w:hint="eastAsia"/>
                      <w:color w:val="auto"/>
                      <w:szCs w:val="21"/>
                      <w:highlight w:val="none"/>
                    </w:rPr>
                    <w:t>、</w:t>
                  </w:r>
                  <w:r>
                    <w:rPr>
                      <w:rFonts w:hint="eastAsia" w:ascii="宋体" w:hAnsi="宋体" w:cs="宋体"/>
                      <w:color w:val="auto"/>
                      <w:szCs w:val="21"/>
                      <w:highlight w:val="none"/>
                    </w:rPr>
                    <w:t>自动码坯机组成制砖码坯流水线，位于陈化库和隧道窑之间。</w:t>
                  </w:r>
                  <w:r>
                    <w:rPr>
                      <w:color w:val="auto"/>
                      <w:szCs w:val="21"/>
                      <w:highlight w:val="none"/>
                    </w:rPr>
                    <w:t>占地面积约</w:t>
                  </w:r>
                  <w:r>
                    <w:rPr>
                      <w:rFonts w:hint="eastAsia"/>
                      <w:color w:val="auto"/>
                      <w:szCs w:val="21"/>
                      <w:highlight w:val="none"/>
                    </w:rPr>
                    <w:t>500</w:t>
                  </w:r>
                  <w:r>
                    <w:rPr>
                      <w:color w:val="auto"/>
                      <w:szCs w:val="21"/>
                      <w:highlight w:val="none"/>
                    </w:rPr>
                    <w:t>m</w:t>
                  </w:r>
                  <w:r>
                    <w:rPr>
                      <w:color w:val="auto"/>
                      <w:szCs w:val="21"/>
                      <w:highlight w:val="none"/>
                      <w:vertAlign w:val="superscript"/>
                    </w:rPr>
                    <w:t>2</w:t>
                  </w:r>
                  <w:r>
                    <w:rPr>
                      <w:rFonts w:hint="eastAsia"/>
                      <w:color w:val="auto"/>
                      <w:szCs w:val="21"/>
                      <w:highlight w:val="none"/>
                    </w:rPr>
                    <w:t>。</w:t>
                  </w:r>
                </w:p>
              </w:tc>
              <w:tc>
                <w:tcPr>
                  <w:tcW w:w="2953"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w:t>
                  </w:r>
                </w:p>
              </w:tc>
              <w:tc>
                <w:tcPr>
                  <w:tcW w:w="941" w:type="dxa"/>
                  <w:tcBorders>
                    <w:tl2br w:val="nil"/>
                    <w:tr2bl w:val="nil"/>
                  </w:tcBorders>
                  <w:vAlign w:val="center"/>
                </w:tcPr>
                <w:p>
                  <w:pPr>
                    <w:pStyle w:val="23"/>
                    <w:pBdr>
                      <w:bottom w:val="none" w:color="auto" w:sz="0" w:space="0"/>
                    </w:pBdr>
                    <w:tabs>
                      <w:tab w:val="clear" w:pos="4153"/>
                      <w:tab w:val="clear" w:pos="8306"/>
                    </w:tabs>
                    <w:snapToGrid/>
                    <w:spacing w:line="280" w:lineRule="exact"/>
                    <w:rPr>
                      <w:rFonts w:hAnsi="宋体"/>
                      <w:b/>
                      <w:color w:val="auto"/>
                      <w:sz w:val="21"/>
                      <w:szCs w:val="21"/>
                      <w:highlight w:val="none"/>
                    </w:rPr>
                  </w:pPr>
                  <w:r>
                    <w:rPr>
                      <w:rFonts w:hint="eastAsia" w:hAnsi="宋体"/>
                      <w:b/>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63" w:type="dxa"/>
                  <w:vMerge w:val="continue"/>
                  <w:tcBorders>
                    <w:tl2br w:val="nil"/>
                    <w:tr2bl w:val="nil"/>
                  </w:tcBorders>
                  <w:vAlign w:val="center"/>
                </w:tcPr>
                <w:p>
                  <w:pPr>
                    <w:snapToGrid w:val="0"/>
                    <w:jc w:val="center"/>
                    <w:rPr>
                      <w:rFonts w:hAnsi="宋体"/>
                      <w:color w:val="auto"/>
                      <w:szCs w:val="21"/>
                      <w:highlight w:val="none"/>
                    </w:rPr>
                  </w:pPr>
                </w:p>
              </w:tc>
              <w:tc>
                <w:tcPr>
                  <w:tcW w:w="937" w:type="dxa"/>
                  <w:tcBorders>
                    <w:tl2br w:val="nil"/>
                    <w:tr2bl w:val="nil"/>
                  </w:tcBorders>
                  <w:vAlign w:val="center"/>
                </w:tcPr>
                <w:p>
                  <w:pPr>
                    <w:spacing w:beforeLines="30" w:afterLines="30"/>
                    <w:jc w:val="center"/>
                    <w:rPr>
                      <w:rFonts w:hAnsi="宋体"/>
                      <w:color w:val="auto"/>
                      <w:szCs w:val="21"/>
                      <w:highlight w:val="none"/>
                    </w:rPr>
                  </w:pPr>
                  <w:r>
                    <w:rPr>
                      <w:rFonts w:hint="eastAsia" w:hAnsi="宋体"/>
                      <w:color w:val="auto"/>
                      <w:szCs w:val="21"/>
                      <w:highlight w:val="none"/>
                    </w:rPr>
                    <w:t>泥</w:t>
                  </w:r>
                  <w:r>
                    <w:rPr>
                      <w:rFonts w:hint="eastAsia" w:hAnsi="宋体"/>
                      <w:color w:val="auto"/>
                      <w:szCs w:val="21"/>
                      <w:highlight w:val="none"/>
                      <w:lang w:eastAsia="zh-CN"/>
                    </w:rPr>
                    <w:t>砂</w:t>
                  </w:r>
                  <w:r>
                    <w:rPr>
                      <w:rFonts w:hint="eastAsia" w:hAnsi="宋体"/>
                      <w:color w:val="auto"/>
                      <w:szCs w:val="21"/>
                      <w:highlight w:val="none"/>
                    </w:rPr>
                    <w:t>分离车间</w:t>
                  </w:r>
                </w:p>
              </w:tc>
              <w:tc>
                <w:tcPr>
                  <w:tcW w:w="2946" w:type="dxa"/>
                  <w:tcBorders>
                    <w:tl2br w:val="nil"/>
                    <w:tr2bl w:val="nil"/>
                  </w:tcBorders>
                  <w:vAlign w:val="center"/>
                </w:tcPr>
                <w:p>
                  <w:pPr>
                    <w:spacing w:beforeLines="30"/>
                    <w:jc w:val="center"/>
                    <w:rPr>
                      <w:color w:val="auto"/>
                      <w:highlight w:val="none"/>
                    </w:rPr>
                  </w:pPr>
                  <w:r>
                    <w:rPr>
                      <w:rFonts w:hint="eastAsia"/>
                      <w:color w:val="auto"/>
                      <w:highlight w:val="none"/>
                    </w:rPr>
                    <w:t>/</w:t>
                  </w:r>
                </w:p>
              </w:tc>
              <w:tc>
                <w:tcPr>
                  <w:tcW w:w="2953" w:type="dxa"/>
                  <w:tcBorders>
                    <w:tl2br w:val="nil"/>
                    <w:tr2bl w:val="nil"/>
                  </w:tcBorders>
                  <w:vAlign w:val="center"/>
                </w:tcPr>
                <w:p>
                  <w:pPr>
                    <w:spacing w:beforeLines="30"/>
                    <w:jc w:val="left"/>
                    <w:rPr>
                      <w:color w:val="auto"/>
                      <w:szCs w:val="21"/>
                      <w:highlight w:val="none"/>
                    </w:rPr>
                  </w:pPr>
                  <w:r>
                    <w:rPr>
                      <w:rFonts w:hint="eastAsia"/>
                      <w:color w:val="auto"/>
                      <w:highlight w:val="none"/>
                    </w:rPr>
                    <w:t>扩建场地内新建</w:t>
                  </w:r>
                  <w:r>
                    <w:rPr>
                      <w:rFonts w:hint="eastAsia"/>
                      <w:color w:val="auto"/>
                      <w:highlight w:val="none"/>
                      <w:lang w:eastAsia="zh-CN"/>
                    </w:rPr>
                    <w:t>泥沙分离</w:t>
                  </w:r>
                  <w:r>
                    <w:rPr>
                      <w:rFonts w:hint="eastAsia"/>
                      <w:color w:val="auto"/>
                      <w:highlight w:val="none"/>
                    </w:rPr>
                    <w:t>车间一个，</w:t>
                  </w:r>
                  <w:r>
                    <w:rPr>
                      <w:rFonts w:hint="eastAsia"/>
                      <w:color w:val="auto"/>
                      <w:szCs w:val="21"/>
                      <w:highlight w:val="none"/>
                    </w:rPr>
                    <w:t>1F，钢结构，占地约800m</w:t>
                  </w:r>
                  <w:r>
                    <w:rPr>
                      <w:rFonts w:hint="eastAsia"/>
                      <w:color w:val="auto"/>
                      <w:szCs w:val="21"/>
                      <w:highlight w:val="none"/>
                      <w:vertAlign w:val="superscript"/>
                    </w:rPr>
                    <w:t>2</w:t>
                  </w:r>
                  <w:r>
                    <w:rPr>
                      <w:rFonts w:hint="eastAsia"/>
                      <w:color w:val="auto"/>
                      <w:szCs w:val="21"/>
                      <w:highlight w:val="none"/>
                    </w:rPr>
                    <w:t>，内含泥</w:t>
                  </w:r>
                  <w:r>
                    <w:rPr>
                      <w:rFonts w:hint="eastAsia"/>
                      <w:color w:val="auto"/>
                      <w:szCs w:val="21"/>
                      <w:highlight w:val="none"/>
                      <w:lang w:eastAsia="zh-CN"/>
                    </w:rPr>
                    <w:t>砂</w:t>
                  </w:r>
                  <w:r>
                    <w:rPr>
                      <w:rFonts w:hint="eastAsia"/>
                      <w:color w:val="auto"/>
                      <w:szCs w:val="21"/>
                      <w:highlight w:val="none"/>
                    </w:rPr>
                    <w:t>分离生产线一条，配备水轮式洗</w:t>
                  </w:r>
                  <w:r>
                    <w:rPr>
                      <w:rFonts w:hint="eastAsia"/>
                      <w:color w:val="auto"/>
                      <w:szCs w:val="21"/>
                      <w:highlight w:val="none"/>
                      <w:lang w:eastAsia="zh-CN"/>
                    </w:rPr>
                    <w:t>砂</w:t>
                  </w:r>
                  <w:r>
                    <w:rPr>
                      <w:rFonts w:hint="eastAsia"/>
                      <w:color w:val="auto"/>
                      <w:szCs w:val="21"/>
                      <w:highlight w:val="none"/>
                    </w:rPr>
                    <w:t>机、分离筛、脱水筛等设备</w:t>
                  </w:r>
                  <w:r>
                    <w:rPr>
                      <w:rFonts w:hint="eastAsia"/>
                      <w:color w:val="auto"/>
                      <w:highlight w:val="none"/>
                    </w:rPr>
                    <w:t>。</w:t>
                  </w:r>
                </w:p>
              </w:tc>
              <w:tc>
                <w:tcPr>
                  <w:tcW w:w="941" w:type="dxa"/>
                  <w:tcBorders>
                    <w:tl2br w:val="nil"/>
                    <w:tr2bl w:val="nil"/>
                  </w:tcBorders>
                  <w:vAlign w:val="center"/>
                </w:tcPr>
                <w:p>
                  <w:pPr>
                    <w:pStyle w:val="46"/>
                    <w:ind w:left="0"/>
                    <w:jc w:val="center"/>
                    <w:rPr>
                      <w:rFonts w:ascii="Times New Roman"/>
                      <w:b w:val="0"/>
                      <w:bCs w:val="0"/>
                      <w:color w:val="auto"/>
                      <w:sz w:val="21"/>
                      <w:szCs w:val="21"/>
                      <w:highlight w:val="none"/>
                    </w:rPr>
                  </w:pPr>
                  <w:r>
                    <w:rPr>
                      <w:rFonts w:hint="eastAsia" w:ascii="Times New Roman"/>
                      <w:b w:val="0"/>
                      <w:bCs w:val="0"/>
                      <w:color w:val="auto"/>
                      <w:sz w:val="21"/>
                      <w:szCs w:val="21"/>
                      <w:highlight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3" w:type="dxa"/>
                  <w:vMerge w:val="continue"/>
                  <w:tcBorders>
                    <w:tl2br w:val="nil"/>
                    <w:tr2bl w:val="nil"/>
                  </w:tcBorders>
                  <w:vAlign w:val="center"/>
                </w:tcPr>
                <w:p>
                  <w:pPr>
                    <w:snapToGrid w:val="0"/>
                    <w:jc w:val="center"/>
                    <w:rPr>
                      <w:rFonts w:hAnsi="宋体"/>
                      <w:color w:val="auto"/>
                      <w:szCs w:val="21"/>
                      <w:highlight w:val="none"/>
                    </w:rPr>
                  </w:pPr>
                </w:p>
              </w:tc>
              <w:tc>
                <w:tcPr>
                  <w:tcW w:w="937" w:type="dxa"/>
                  <w:tcBorders>
                    <w:tl2br w:val="nil"/>
                    <w:tr2bl w:val="nil"/>
                  </w:tcBorders>
                  <w:vAlign w:val="center"/>
                </w:tcPr>
                <w:p>
                  <w:pPr>
                    <w:pStyle w:val="103"/>
                    <w:snapToGrid w:val="0"/>
                    <w:spacing w:beforeLines="5" w:afterLines="5"/>
                    <w:rPr>
                      <w:rFonts w:hint="default" w:ascii="Times New Roman" w:hAnsi="Times New Roman"/>
                      <w:color w:val="auto"/>
                      <w:kern w:val="2"/>
                      <w:sz w:val="21"/>
                      <w:highlight w:val="none"/>
                    </w:rPr>
                  </w:pPr>
                  <w:r>
                    <w:rPr>
                      <w:rFonts w:hint="default" w:ascii="Times New Roman" w:hAnsi="Times New Roman"/>
                      <w:color w:val="auto"/>
                      <w:kern w:val="2"/>
                      <w:sz w:val="21"/>
                      <w:highlight w:val="none"/>
                    </w:rPr>
                    <w:t>原料区</w:t>
                  </w:r>
                </w:p>
              </w:tc>
              <w:tc>
                <w:tcPr>
                  <w:tcW w:w="2946" w:type="dxa"/>
                  <w:tcBorders>
                    <w:tl2br w:val="nil"/>
                    <w:tr2bl w:val="nil"/>
                  </w:tcBorders>
                  <w:vAlign w:val="center"/>
                </w:tcPr>
                <w:p>
                  <w:pPr>
                    <w:pStyle w:val="103"/>
                    <w:snapToGrid w:val="0"/>
                    <w:spacing w:beforeLines="5"/>
                    <w:rPr>
                      <w:rFonts w:hint="default" w:ascii="Times New Roman" w:hAnsi="Times New Roman"/>
                      <w:bCs/>
                      <w:color w:val="auto"/>
                      <w:sz w:val="21"/>
                      <w:highlight w:val="none"/>
                    </w:rPr>
                  </w:pPr>
                  <w:r>
                    <w:rPr>
                      <w:rFonts w:hint="default" w:ascii="Times New Roman" w:hAnsi="Times New Roman"/>
                      <w:bCs/>
                      <w:color w:val="auto"/>
                      <w:sz w:val="21"/>
                      <w:highlight w:val="none"/>
                    </w:rPr>
                    <w:t>位于破碎车间</w:t>
                  </w:r>
                  <w:r>
                    <w:rPr>
                      <w:rFonts w:hint="eastAsia" w:ascii="Times New Roman" w:hAnsi="Times New Roman"/>
                      <w:bCs/>
                      <w:color w:val="auto"/>
                      <w:sz w:val="21"/>
                      <w:highlight w:val="none"/>
                      <w:lang w:eastAsia="zh-CN"/>
                    </w:rPr>
                    <w:t>西</w:t>
                  </w:r>
                  <w:r>
                    <w:rPr>
                      <w:rFonts w:hint="default" w:ascii="Times New Roman" w:hAnsi="Times New Roman"/>
                      <w:bCs/>
                      <w:color w:val="auto"/>
                      <w:sz w:val="21"/>
                      <w:highlight w:val="none"/>
                    </w:rPr>
                    <w:t>侧，占地面积约</w:t>
                  </w:r>
                  <w:r>
                    <w:rPr>
                      <w:rFonts w:hint="eastAsia" w:ascii="Times New Roman" w:hAnsi="Times New Roman"/>
                      <w:bCs/>
                      <w:color w:val="auto"/>
                      <w:sz w:val="21"/>
                      <w:highlight w:val="none"/>
                      <w:lang w:val="en-US" w:eastAsia="zh-CN"/>
                    </w:rPr>
                    <w:t>5</w:t>
                  </w:r>
                  <w:r>
                    <w:rPr>
                      <w:rFonts w:hint="default" w:ascii="Times New Roman" w:hAnsi="Times New Roman"/>
                      <w:bCs/>
                      <w:color w:val="auto"/>
                      <w:sz w:val="21"/>
                      <w:highlight w:val="none"/>
                    </w:rPr>
                    <w:t>00m</w:t>
                  </w:r>
                  <w:r>
                    <w:rPr>
                      <w:rFonts w:hint="default" w:ascii="Times New Roman" w:hAnsi="Times New Roman"/>
                      <w:bCs/>
                      <w:color w:val="auto"/>
                      <w:sz w:val="21"/>
                      <w:highlight w:val="none"/>
                      <w:vertAlign w:val="superscript"/>
                    </w:rPr>
                    <w:t>2</w:t>
                  </w:r>
                  <w:r>
                    <w:rPr>
                      <w:rFonts w:hint="default" w:ascii="Times New Roman" w:hAnsi="Times New Roman"/>
                      <w:bCs/>
                      <w:color w:val="auto"/>
                      <w:sz w:val="21"/>
                      <w:highlight w:val="none"/>
                    </w:rPr>
                    <w:t>。</w:t>
                  </w:r>
                </w:p>
              </w:tc>
              <w:tc>
                <w:tcPr>
                  <w:tcW w:w="2953" w:type="dxa"/>
                  <w:tcBorders>
                    <w:tl2br w:val="nil"/>
                    <w:tr2bl w:val="nil"/>
                  </w:tcBorders>
                  <w:vAlign w:val="center"/>
                </w:tcPr>
                <w:p>
                  <w:pPr>
                    <w:pStyle w:val="103"/>
                    <w:snapToGrid w:val="0"/>
                    <w:spacing w:beforeLines="5"/>
                    <w:jc w:val="both"/>
                    <w:rPr>
                      <w:rFonts w:hint="default" w:ascii="Times New Roman" w:hAnsi="Times New Roman"/>
                      <w:color w:val="auto"/>
                      <w:kern w:val="2"/>
                      <w:sz w:val="21"/>
                      <w:highlight w:val="none"/>
                    </w:rPr>
                  </w:pPr>
                  <w:r>
                    <w:rPr>
                      <w:rFonts w:hint="default" w:ascii="Times New Roman" w:hAnsi="Times New Roman"/>
                      <w:bCs/>
                      <w:color w:val="auto"/>
                      <w:sz w:val="21"/>
                      <w:highlight w:val="none"/>
                    </w:rPr>
                    <w:t>原料区位于</w:t>
                  </w:r>
                  <w:r>
                    <w:rPr>
                      <w:rFonts w:hint="eastAsia"/>
                      <w:color w:val="auto"/>
                      <w:highlight w:val="none"/>
                      <w:lang w:eastAsia="zh-CN"/>
                    </w:rPr>
                    <w:t>泥沙分离</w:t>
                  </w:r>
                  <w:r>
                    <w:rPr>
                      <w:rFonts w:hint="eastAsia"/>
                      <w:color w:val="auto"/>
                      <w:highlight w:val="none"/>
                    </w:rPr>
                    <w:t>车间</w:t>
                  </w:r>
                  <w:r>
                    <w:rPr>
                      <w:rFonts w:hint="default" w:ascii="Times New Roman" w:hAnsi="Times New Roman"/>
                      <w:bCs/>
                      <w:color w:val="auto"/>
                      <w:sz w:val="21"/>
                      <w:highlight w:val="none"/>
                    </w:rPr>
                    <w:t>西侧，</w:t>
                  </w:r>
                  <w:r>
                    <w:rPr>
                      <w:rFonts w:hint="default" w:ascii="Times New Roman" w:hAnsi="Times New Roman"/>
                      <w:color w:val="auto"/>
                      <w:sz w:val="21"/>
                      <w:highlight w:val="none"/>
                    </w:rPr>
                    <w:t>1F，钢结构</w:t>
                  </w:r>
                  <w:r>
                    <w:rPr>
                      <w:rFonts w:hint="default" w:ascii="Times New Roman" w:hAnsi="Times New Roman"/>
                      <w:bCs/>
                      <w:color w:val="auto"/>
                      <w:sz w:val="21"/>
                      <w:highlight w:val="none"/>
                    </w:rPr>
                    <w:t>占地约500m</w:t>
                  </w:r>
                  <w:r>
                    <w:rPr>
                      <w:rFonts w:hint="default" w:ascii="Times New Roman" w:hAnsi="Times New Roman"/>
                      <w:bCs/>
                      <w:color w:val="auto"/>
                      <w:sz w:val="21"/>
                      <w:highlight w:val="none"/>
                      <w:vertAlign w:val="superscript"/>
                    </w:rPr>
                    <w:t>2</w:t>
                  </w:r>
                  <w:r>
                    <w:rPr>
                      <w:rFonts w:hint="default" w:ascii="Times New Roman" w:hAnsi="Times New Roman"/>
                      <w:bCs/>
                      <w:color w:val="auto"/>
                      <w:sz w:val="21"/>
                      <w:highlight w:val="none"/>
                    </w:rPr>
                    <w:t>，主要</w:t>
                  </w:r>
                  <w:r>
                    <w:rPr>
                      <w:rFonts w:ascii="Times New Roman" w:hAnsi="Times New Roman"/>
                      <w:bCs/>
                      <w:color w:val="auto"/>
                      <w:sz w:val="21"/>
                      <w:highlight w:val="none"/>
                    </w:rPr>
                    <w:t>堆存</w:t>
                  </w:r>
                  <w:r>
                    <w:rPr>
                      <w:rFonts w:hint="default" w:ascii="Times New Roman" w:hAnsi="Times New Roman"/>
                      <w:bCs/>
                      <w:color w:val="auto"/>
                      <w:sz w:val="21"/>
                      <w:highlight w:val="none"/>
                    </w:rPr>
                    <w:t>外购的原料</w:t>
                  </w:r>
                  <w:r>
                    <w:rPr>
                      <w:rFonts w:hint="default" w:ascii="Times New Roman" w:hAnsi="Times New Roman"/>
                      <w:color w:val="auto"/>
                      <w:sz w:val="21"/>
                      <w:highlight w:val="none"/>
                    </w:rPr>
                    <w:t>。</w:t>
                  </w:r>
                </w:p>
              </w:tc>
              <w:tc>
                <w:tcPr>
                  <w:tcW w:w="941" w:type="dxa"/>
                  <w:tcBorders>
                    <w:tl2br w:val="nil"/>
                    <w:tr2bl w:val="nil"/>
                  </w:tcBorders>
                  <w:vAlign w:val="center"/>
                </w:tcPr>
                <w:p>
                  <w:pPr>
                    <w:snapToGrid w:val="0"/>
                    <w:spacing w:beforeLines="5"/>
                    <w:jc w:val="center"/>
                    <w:rPr>
                      <w:bCs/>
                      <w:color w:val="auto"/>
                      <w:highlight w:val="none"/>
                    </w:rPr>
                  </w:pPr>
                  <w:r>
                    <w:rPr>
                      <w:rFonts w:hint="eastAsia"/>
                      <w:bCs/>
                      <w:color w:val="auto"/>
                      <w:highlight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3" w:type="dxa"/>
                  <w:vMerge w:val="continue"/>
                  <w:tcBorders>
                    <w:tl2br w:val="nil"/>
                    <w:tr2bl w:val="nil"/>
                  </w:tcBorders>
                  <w:vAlign w:val="center"/>
                </w:tcPr>
                <w:p>
                  <w:pPr>
                    <w:snapToGrid w:val="0"/>
                    <w:jc w:val="center"/>
                    <w:rPr>
                      <w:rFonts w:hAnsi="宋体"/>
                      <w:color w:val="auto"/>
                      <w:szCs w:val="21"/>
                      <w:highlight w:val="none"/>
                    </w:rPr>
                  </w:pPr>
                </w:p>
              </w:tc>
              <w:tc>
                <w:tcPr>
                  <w:tcW w:w="937" w:type="dxa"/>
                  <w:tcBorders>
                    <w:tl2br w:val="nil"/>
                    <w:tr2bl w:val="nil"/>
                  </w:tcBorders>
                  <w:vAlign w:val="center"/>
                </w:tcPr>
                <w:p>
                  <w:pPr>
                    <w:pStyle w:val="103"/>
                    <w:snapToGrid w:val="0"/>
                    <w:spacing w:beforeLines="5" w:afterLines="5"/>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成品区</w:t>
                  </w:r>
                </w:p>
              </w:tc>
              <w:tc>
                <w:tcPr>
                  <w:tcW w:w="2946" w:type="dxa"/>
                  <w:tcBorders>
                    <w:tl2br w:val="nil"/>
                    <w:tr2bl w:val="nil"/>
                  </w:tcBorders>
                  <w:vAlign w:val="center"/>
                </w:tcPr>
                <w:p>
                  <w:pPr>
                    <w:pStyle w:val="103"/>
                    <w:snapToGrid w:val="0"/>
                    <w:spacing w:beforeLines="5"/>
                    <w:rPr>
                      <w:rFonts w:hint="default" w:ascii="Times New Roman" w:hAnsi="Times New Roman"/>
                      <w:bCs/>
                      <w:color w:val="auto"/>
                      <w:sz w:val="21"/>
                      <w:highlight w:val="none"/>
                    </w:rPr>
                  </w:pPr>
                  <w:r>
                    <w:rPr>
                      <w:rFonts w:hint="default" w:ascii="Times New Roman" w:hAnsi="Times New Roman"/>
                      <w:bCs/>
                      <w:color w:val="auto"/>
                      <w:sz w:val="21"/>
                      <w:highlight w:val="none"/>
                    </w:rPr>
                    <w:t>圆形隧道窑外围空地区域</w:t>
                  </w:r>
                  <w:r>
                    <w:rPr>
                      <w:rFonts w:hint="eastAsia" w:ascii="Times New Roman" w:hAnsi="Times New Roman"/>
                      <w:bCs/>
                      <w:color w:val="auto"/>
                      <w:sz w:val="21"/>
                      <w:highlight w:val="none"/>
                      <w:lang w:eastAsia="zh-CN"/>
                    </w:rPr>
                    <w:t>为临时成品堆存区，成品区位于隧道窑西南侧，占地约</w:t>
                  </w:r>
                  <w:r>
                    <w:rPr>
                      <w:rFonts w:hint="eastAsia" w:ascii="Times New Roman" w:hAnsi="Times New Roman"/>
                      <w:bCs/>
                      <w:color w:val="auto"/>
                      <w:sz w:val="21"/>
                      <w:highlight w:val="none"/>
                      <w:lang w:val="en-US" w:eastAsia="zh-CN"/>
                    </w:rPr>
                    <w:t>2000m</w:t>
                  </w:r>
                  <w:r>
                    <w:rPr>
                      <w:rFonts w:hint="eastAsia" w:ascii="Times New Roman" w:hAnsi="Times New Roman"/>
                      <w:bCs/>
                      <w:color w:val="auto"/>
                      <w:sz w:val="21"/>
                      <w:highlight w:val="none"/>
                      <w:vertAlign w:val="superscript"/>
                      <w:lang w:val="en-US" w:eastAsia="zh-CN"/>
                    </w:rPr>
                    <w:t>2</w:t>
                  </w:r>
                  <w:r>
                    <w:rPr>
                      <w:rFonts w:hint="default" w:ascii="Times New Roman" w:hAnsi="Times New Roman"/>
                      <w:bCs/>
                      <w:color w:val="auto"/>
                      <w:sz w:val="21"/>
                      <w:highlight w:val="none"/>
                    </w:rPr>
                    <w:t>。</w:t>
                  </w:r>
                </w:p>
              </w:tc>
              <w:tc>
                <w:tcPr>
                  <w:tcW w:w="2953" w:type="dxa"/>
                  <w:tcBorders>
                    <w:tl2br w:val="nil"/>
                    <w:tr2bl w:val="nil"/>
                  </w:tcBorders>
                  <w:vAlign w:val="center"/>
                </w:tcPr>
                <w:p>
                  <w:pPr>
                    <w:pStyle w:val="103"/>
                    <w:snapToGrid w:val="0"/>
                    <w:spacing w:beforeLines="5"/>
                    <w:jc w:val="left"/>
                    <w:rPr>
                      <w:rFonts w:hint="default" w:ascii="Times New Roman" w:hAnsi="Times New Roman"/>
                      <w:color w:val="auto"/>
                      <w:kern w:val="2"/>
                      <w:sz w:val="21"/>
                      <w:highlight w:val="none"/>
                    </w:rPr>
                  </w:pPr>
                  <w:r>
                    <w:rPr>
                      <w:rFonts w:hint="default" w:ascii="Times New Roman" w:hAnsi="Times New Roman"/>
                      <w:bCs/>
                      <w:color w:val="auto"/>
                      <w:sz w:val="21"/>
                      <w:highlight w:val="none"/>
                    </w:rPr>
                    <w:t>成品区位于</w:t>
                  </w:r>
                  <w:r>
                    <w:rPr>
                      <w:rFonts w:hint="eastAsia"/>
                      <w:color w:val="auto"/>
                      <w:highlight w:val="none"/>
                      <w:lang w:eastAsia="zh-CN"/>
                    </w:rPr>
                    <w:t>泥沙分离</w:t>
                  </w:r>
                  <w:r>
                    <w:rPr>
                      <w:rFonts w:hint="eastAsia"/>
                      <w:color w:val="auto"/>
                      <w:highlight w:val="none"/>
                    </w:rPr>
                    <w:t>车间</w:t>
                  </w:r>
                  <w:r>
                    <w:rPr>
                      <w:rFonts w:ascii="Times New Roman" w:hAnsi="Times New Roman"/>
                      <w:bCs/>
                      <w:color w:val="auto"/>
                      <w:sz w:val="21"/>
                      <w:highlight w:val="none"/>
                    </w:rPr>
                    <w:t>北</w:t>
                  </w:r>
                  <w:r>
                    <w:rPr>
                      <w:rFonts w:hint="default" w:ascii="Times New Roman" w:hAnsi="Times New Roman"/>
                      <w:bCs/>
                      <w:color w:val="auto"/>
                      <w:sz w:val="21"/>
                      <w:highlight w:val="none"/>
                    </w:rPr>
                    <w:t>侧，</w:t>
                  </w:r>
                  <w:r>
                    <w:rPr>
                      <w:rFonts w:hint="default" w:ascii="Times New Roman" w:hAnsi="Times New Roman"/>
                      <w:color w:val="auto"/>
                      <w:sz w:val="21"/>
                      <w:highlight w:val="none"/>
                    </w:rPr>
                    <w:t>1F，钢结构</w:t>
                  </w:r>
                  <w:r>
                    <w:rPr>
                      <w:rFonts w:hint="default" w:ascii="Times New Roman" w:hAnsi="Times New Roman"/>
                      <w:bCs/>
                      <w:color w:val="auto"/>
                      <w:sz w:val="21"/>
                      <w:highlight w:val="none"/>
                    </w:rPr>
                    <w:t>占地约500m</w:t>
                  </w:r>
                  <w:r>
                    <w:rPr>
                      <w:rFonts w:hint="default" w:ascii="Times New Roman" w:hAnsi="Times New Roman"/>
                      <w:bCs/>
                      <w:color w:val="auto"/>
                      <w:sz w:val="21"/>
                      <w:highlight w:val="none"/>
                      <w:vertAlign w:val="superscript"/>
                    </w:rPr>
                    <w:t>2</w:t>
                  </w:r>
                  <w:r>
                    <w:rPr>
                      <w:rFonts w:hint="default" w:ascii="Times New Roman" w:hAnsi="Times New Roman"/>
                      <w:bCs/>
                      <w:color w:val="auto"/>
                      <w:sz w:val="21"/>
                      <w:highlight w:val="none"/>
                    </w:rPr>
                    <w:t>，主要</w:t>
                  </w:r>
                  <w:r>
                    <w:rPr>
                      <w:rFonts w:ascii="Times New Roman" w:hAnsi="Times New Roman"/>
                      <w:bCs/>
                      <w:color w:val="auto"/>
                      <w:sz w:val="21"/>
                      <w:highlight w:val="none"/>
                    </w:rPr>
                    <w:t>堆存成品</w:t>
                  </w:r>
                  <w:r>
                    <w:rPr>
                      <w:rFonts w:hint="eastAsia" w:ascii="Times New Roman" w:hAnsi="Times New Roman"/>
                      <w:bCs/>
                      <w:color w:val="auto"/>
                      <w:sz w:val="21"/>
                      <w:highlight w:val="none"/>
                      <w:lang w:eastAsia="zh-CN"/>
                    </w:rPr>
                    <w:t>砂</w:t>
                  </w:r>
                  <w:r>
                    <w:rPr>
                      <w:rFonts w:hint="default" w:ascii="Times New Roman" w:hAnsi="Times New Roman"/>
                      <w:color w:val="auto"/>
                      <w:sz w:val="21"/>
                      <w:highlight w:val="none"/>
                    </w:rPr>
                    <w:t>。</w:t>
                  </w:r>
                </w:p>
              </w:tc>
              <w:tc>
                <w:tcPr>
                  <w:tcW w:w="941" w:type="dxa"/>
                  <w:tcBorders>
                    <w:tl2br w:val="nil"/>
                    <w:tr2bl w:val="nil"/>
                  </w:tcBorders>
                  <w:vAlign w:val="center"/>
                </w:tcPr>
                <w:p>
                  <w:pPr>
                    <w:snapToGrid w:val="0"/>
                    <w:spacing w:beforeLines="5"/>
                    <w:jc w:val="center"/>
                    <w:rPr>
                      <w:bCs/>
                      <w:color w:val="auto"/>
                      <w:highlight w:val="none"/>
                    </w:rPr>
                  </w:pPr>
                  <w:r>
                    <w:rPr>
                      <w:color w:val="auto"/>
                      <w:szCs w:val="21"/>
                      <w:highlight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3" w:type="dxa"/>
                  <w:tcBorders>
                    <w:tl2br w:val="nil"/>
                    <w:tr2bl w:val="nil"/>
                  </w:tcBorders>
                  <w:vAlign w:val="center"/>
                </w:tcPr>
                <w:p>
                  <w:pPr>
                    <w:snapToGrid w:val="0"/>
                    <w:jc w:val="center"/>
                    <w:rPr>
                      <w:rFonts w:hAnsi="宋体"/>
                      <w:color w:val="auto"/>
                      <w:szCs w:val="21"/>
                      <w:highlight w:val="none"/>
                    </w:rPr>
                  </w:pPr>
                  <w:r>
                    <w:rPr>
                      <w:rFonts w:hint="eastAsia" w:hAnsi="宋体"/>
                      <w:color w:val="auto"/>
                      <w:szCs w:val="21"/>
                      <w:highlight w:val="none"/>
                    </w:rPr>
                    <w:t>辅助</w:t>
                  </w:r>
                </w:p>
                <w:p>
                  <w:pPr>
                    <w:snapToGrid w:val="0"/>
                    <w:jc w:val="center"/>
                    <w:rPr>
                      <w:rFonts w:hAnsi="宋体"/>
                      <w:color w:val="auto"/>
                      <w:szCs w:val="21"/>
                      <w:highlight w:val="none"/>
                    </w:rPr>
                  </w:pPr>
                  <w:r>
                    <w:rPr>
                      <w:rFonts w:hint="eastAsia" w:hAnsi="宋体"/>
                      <w:color w:val="auto"/>
                      <w:szCs w:val="21"/>
                      <w:highlight w:val="none"/>
                    </w:rPr>
                    <w:t>工程</w:t>
                  </w:r>
                </w:p>
              </w:tc>
              <w:tc>
                <w:tcPr>
                  <w:tcW w:w="937" w:type="dxa"/>
                  <w:tcBorders>
                    <w:tl2br w:val="nil"/>
                    <w:tr2bl w:val="nil"/>
                  </w:tcBorders>
                  <w:vAlign w:val="center"/>
                </w:tcPr>
                <w:p>
                  <w:pPr>
                    <w:pStyle w:val="103"/>
                    <w:snapToGrid w:val="0"/>
                    <w:spacing w:beforeLines="5" w:afterLines="5"/>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办公及</w:t>
                  </w:r>
                </w:p>
                <w:p>
                  <w:pPr>
                    <w:pStyle w:val="103"/>
                    <w:snapToGrid w:val="0"/>
                    <w:spacing w:beforeLines="5" w:afterLines="5"/>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生活区</w:t>
                  </w:r>
                </w:p>
              </w:tc>
              <w:tc>
                <w:tcPr>
                  <w:tcW w:w="5899" w:type="dxa"/>
                  <w:gridSpan w:val="2"/>
                  <w:tcBorders>
                    <w:tl2br w:val="nil"/>
                    <w:tr2bl w:val="nil"/>
                  </w:tcBorders>
                  <w:vAlign w:val="center"/>
                </w:tcPr>
                <w:p>
                  <w:pPr>
                    <w:pStyle w:val="103"/>
                    <w:snapToGrid w:val="0"/>
                    <w:spacing w:beforeLines="5"/>
                    <w:jc w:val="left"/>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位于厂区西侧入口处，1F，砖混结构，占地面积为300m</w:t>
                  </w:r>
                  <w:r>
                    <w:rPr>
                      <w:rFonts w:ascii="Times New Roman" w:hAnsi="Times New Roman" w:cs="宋体"/>
                      <w:color w:val="auto"/>
                      <w:kern w:val="2"/>
                      <w:sz w:val="21"/>
                      <w:highlight w:val="none"/>
                      <w:vertAlign w:val="superscript"/>
                    </w:rPr>
                    <w:t>2</w:t>
                  </w:r>
                  <w:r>
                    <w:rPr>
                      <w:rFonts w:ascii="Times New Roman" w:hAnsi="Times New Roman" w:cs="宋体"/>
                      <w:color w:val="auto"/>
                      <w:kern w:val="2"/>
                      <w:sz w:val="21"/>
                      <w:highlight w:val="none"/>
                    </w:rPr>
                    <w:t>，主要用于员工日常办公和生活。</w:t>
                  </w:r>
                </w:p>
              </w:tc>
              <w:tc>
                <w:tcPr>
                  <w:tcW w:w="941" w:type="dxa"/>
                  <w:tcBorders>
                    <w:tl2br w:val="nil"/>
                    <w:tr2bl w:val="nil"/>
                  </w:tcBorders>
                  <w:vAlign w:val="center"/>
                </w:tcPr>
                <w:p>
                  <w:pPr>
                    <w:snapToGrid w:val="0"/>
                    <w:spacing w:beforeLines="5"/>
                    <w:jc w:val="center"/>
                    <w:rPr>
                      <w:rFonts w:hint="eastAsia" w:cs="宋体"/>
                      <w:color w:val="auto"/>
                      <w:highlight w:val="none"/>
                    </w:rPr>
                  </w:pPr>
                  <w:r>
                    <w:rPr>
                      <w:rFonts w:hint="eastAsia" w:cs="宋体"/>
                      <w:color w:val="auto"/>
                      <w:highlight w:val="none"/>
                    </w:rPr>
                    <w:t>依托</w:t>
                  </w:r>
                </w:p>
                <w:p>
                  <w:pPr>
                    <w:snapToGrid w:val="0"/>
                    <w:spacing w:beforeLines="5"/>
                    <w:jc w:val="center"/>
                    <w:rPr>
                      <w:rFonts w:cs="宋体"/>
                      <w:color w:val="auto"/>
                      <w:highlight w:val="none"/>
                    </w:rPr>
                  </w:pPr>
                  <w:r>
                    <w:rPr>
                      <w:rFonts w:hint="eastAsia" w:cs="宋体"/>
                      <w:color w:val="auto"/>
                      <w:highlight w:val="none"/>
                    </w:rPr>
                    <w:t>原有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3" w:type="dxa"/>
                  <w:vMerge w:val="restart"/>
                  <w:tcBorders>
                    <w:tl2br w:val="nil"/>
                    <w:tr2bl w:val="nil"/>
                  </w:tcBorders>
                  <w:vAlign w:val="center"/>
                </w:tcPr>
                <w:p>
                  <w:pPr>
                    <w:pStyle w:val="103"/>
                    <w:snapToGrid w:val="0"/>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公用</w:t>
                  </w:r>
                </w:p>
                <w:p>
                  <w:pPr>
                    <w:pStyle w:val="103"/>
                    <w:snapToGrid w:val="0"/>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工程</w:t>
                  </w:r>
                </w:p>
              </w:tc>
              <w:tc>
                <w:tcPr>
                  <w:tcW w:w="937" w:type="dxa"/>
                  <w:tcBorders>
                    <w:tl2br w:val="nil"/>
                    <w:tr2bl w:val="nil"/>
                  </w:tcBorders>
                  <w:vAlign w:val="center"/>
                </w:tcPr>
                <w:p>
                  <w:pPr>
                    <w:pStyle w:val="103"/>
                    <w:snapToGrid w:val="0"/>
                    <w:spacing w:beforeLines="5" w:afterLines="5"/>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供水</w:t>
                  </w:r>
                </w:p>
              </w:tc>
              <w:tc>
                <w:tcPr>
                  <w:tcW w:w="5899" w:type="dxa"/>
                  <w:gridSpan w:val="2"/>
                  <w:tcBorders>
                    <w:tl2br w:val="nil"/>
                    <w:tr2bl w:val="nil"/>
                  </w:tcBorders>
                  <w:vAlign w:val="center"/>
                </w:tcPr>
                <w:p>
                  <w:pPr>
                    <w:pStyle w:val="103"/>
                    <w:snapToGrid w:val="0"/>
                    <w:spacing w:beforeLines="5"/>
                    <w:jc w:val="left"/>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生产及生活用水均由厂区</w:t>
                  </w:r>
                  <w:r>
                    <w:rPr>
                      <w:color w:val="auto"/>
                      <w:sz w:val="21"/>
                      <w:highlight w:val="none"/>
                    </w:rPr>
                    <w:t>水井提供</w:t>
                  </w:r>
                  <w:r>
                    <w:rPr>
                      <w:rFonts w:hint="eastAsia"/>
                      <w:color w:val="auto"/>
                      <w:sz w:val="21"/>
                      <w:highlight w:val="none"/>
                      <w:lang w:eastAsia="zh-CN"/>
                    </w:rPr>
                    <w:t>，厂区现有水井一个，井深约</w:t>
                  </w:r>
                  <w:r>
                    <w:rPr>
                      <w:rFonts w:hint="default" w:ascii="Times New Roman" w:hAnsi="Times New Roman" w:cs="Times New Roman"/>
                      <w:color w:val="auto"/>
                      <w:sz w:val="21"/>
                      <w:highlight w:val="none"/>
                      <w:lang w:val="en-US" w:eastAsia="zh-CN"/>
                    </w:rPr>
                    <w:t>40m</w:t>
                  </w:r>
                  <w:r>
                    <w:rPr>
                      <w:rFonts w:hint="default" w:ascii="Times New Roman" w:hAnsi="Times New Roman" w:cs="Times New Roman"/>
                      <w:color w:val="auto"/>
                      <w:sz w:val="21"/>
                      <w:highlight w:val="none"/>
                    </w:rPr>
                    <w:t>。</w:t>
                  </w:r>
                </w:p>
              </w:tc>
              <w:tc>
                <w:tcPr>
                  <w:tcW w:w="941" w:type="dxa"/>
                  <w:tcBorders>
                    <w:tl2br w:val="nil"/>
                    <w:tr2bl w:val="nil"/>
                  </w:tcBorders>
                  <w:vAlign w:val="center"/>
                </w:tcPr>
                <w:p>
                  <w:pPr>
                    <w:snapToGrid w:val="0"/>
                    <w:spacing w:beforeLines="5"/>
                    <w:jc w:val="center"/>
                    <w:rPr>
                      <w:rFonts w:hint="eastAsia" w:cs="宋体"/>
                      <w:color w:val="auto"/>
                      <w:highlight w:val="none"/>
                    </w:rPr>
                  </w:pPr>
                  <w:r>
                    <w:rPr>
                      <w:rFonts w:hint="eastAsia" w:cs="宋体"/>
                      <w:color w:val="auto"/>
                      <w:highlight w:val="none"/>
                    </w:rPr>
                    <w:t>依托</w:t>
                  </w:r>
                </w:p>
                <w:p>
                  <w:pPr>
                    <w:snapToGrid w:val="0"/>
                    <w:spacing w:beforeLines="5"/>
                    <w:jc w:val="center"/>
                    <w:rPr>
                      <w:rFonts w:cs="宋体"/>
                      <w:color w:val="auto"/>
                      <w:highlight w:val="none"/>
                    </w:rPr>
                  </w:pPr>
                  <w:r>
                    <w:rPr>
                      <w:rFonts w:hint="eastAsia" w:cs="宋体"/>
                      <w:color w:val="auto"/>
                      <w:highlight w:val="none"/>
                    </w:rPr>
                    <w:t>原有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63" w:type="dxa"/>
                  <w:vMerge w:val="continue"/>
                  <w:tcBorders>
                    <w:tl2br w:val="nil"/>
                    <w:tr2bl w:val="nil"/>
                  </w:tcBorders>
                  <w:vAlign w:val="center"/>
                </w:tcPr>
                <w:p>
                  <w:pPr>
                    <w:pStyle w:val="103"/>
                    <w:snapToGrid w:val="0"/>
                    <w:rPr>
                      <w:rFonts w:hint="default" w:ascii="Times New Roman" w:hAnsi="Times New Roman" w:cs="宋体"/>
                      <w:color w:val="auto"/>
                      <w:kern w:val="2"/>
                      <w:sz w:val="21"/>
                      <w:highlight w:val="none"/>
                    </w:rPr>
                  </w:pPr>
                </w:p>
              </w:tc>
              <w:tc>
                <w:tcPr>
                  <w:tcW w:w="937" w:type="dxa"/>
                  <w:tcBorders>
                    <w:tl2br w:val="nil"/>
                    <w:tr2bl w:val="nil"/>
                  </w:tcBorders>
                  <w:vAlign w:val="center"/>
                </w:tcPr>
                <w:p>
                  <w:pPr>
                    <w:pStyle w:val="103"/>
                    <w:snapToGrid w:val="0"/>
                    <w:spacing w:beforeLines="5" w:afterLines="5"/>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排水</w:t>
                  </w:r>
                </w:p>
              </w:tc>
              <w:tc>
                <w:tcPr>
                  <w:tcW w:w="2946" w:type="dxa"/>
                  <w:tcBorders>
                    <w:tl2br w:val="nil"/>
                    <w:tr2bl w:val="nil"/>
                  </w:tcBorders>
                  <w:vAlign w:val="center"/>
                </w:tcPr>
                <w:p>
                  <w:pPr>
                    <w:pStyle w:val="103"/>
                    <w:snapToGrid w:val="0"/>
                    <w:spacing w:beforeLines="5"/>
                    <w:jc w:val="both"/>
                    <w:rPr>
                      <w:rFonts w:hint="eastAsia" w:eastAsia="宋体" w:cs="宋体"/>
                      <w:color w:val="auto"/>
                      <w:sz w:val="21"/>
                      <w:highlight w:val="none"/>
                      <w:lang w:eastAsia="zh-CN"/>
                    </w:rPr>
                  </w:pPr>
                  <w:r>
                    <w:rPr>
                      <w:rFonts w:hint="eastAsia" w:cs="宋体"/>
                      <w:color w:val="auto"/>
                      <w:sz w:val="21"/>
                      <w:highlight w:val="none"/>
                      <w:lang w:eastAsia="zh-CN"/>
                    </w:rPr>
                    <w:t>现有工程占地区实行雨污分流。</w:t>
                  </w:r>
                </w:p>
              </w:tc>
              <w:tc>
                <w:tcPr>
                  <w:tcW w:w="2953" w:type="dxa"/>
                  <w:tcBorders>
                    <w:tl2br w:val="nil"/>
                    <w:tr2bl w:val="nil"/>
                  </w:tcBorders>
                  <w:vAlign w:val="center"/>
                </w:tcPr>
                <w:p>
                  <w:pPr>
                    <w:pStyle w:val="103"/>
                    <w:snapToGrid w:val="0"/>
                    <w:spacing w:beforeLines="5"/>
                    <w:jc w:val="both"/>
                    <w:rPr>
                      <w:rFonts w:hint="eastAsia" w:ascii="Times New Roman" w:hAnsi="Times New Roman" w:eastAsia="宋体" w:cs="宋体"/>
                      <w:color w:val="auto"/>
                      <w:sz w:val="21"/>
                      <w:highlight w:val="none"/>
                      <w:lang w:eastAsia="zh-CN"/>
                    </w:rPr>
                  </w:pPr>
                  <w:r>
                    <w:rPr>
                      <w:rFonts w:hint="eastAsia" w:ascii="Times New Roman" w:hAnsi="Times New Roman" w:cs="宋体"/>
                      <w:color w:val="auto"/>
                      <w:sz w:val="21"/>
                      <w:highlight w:val="none"/>
                      <w:lang w:eastAsia="zh-CN"/>
                    </w:rPr>
                    <w:t>本次扩建工程占地区实行雨污分流。</w:t>
                  </w:r>
                </w:p>
              </w:tc>
              <w:tc>
                <w:tcPr>
                  <w:tcW w:w="941" w:type="dxa"/>
                  <w:tcBorders>
                    <w:tl2br w:val="nil"/>
                    <w:tr2bl w:val="nil"/>
                  </w:tcBorders>
                  <w:vAlign w:val="center"/>
                </w:tcPr>
                <w:p>
                  <w:pPr>
                    <w:snapToGrid w:val="0"/>
                    <w:spacing w:beforeLines="5"/>
                    <w:jc w:val="center"/>
                    <w:rPr>
                      <w:rFonts w:hint="eastAsia" w:eastAsia="宋体" w:cs="宋体"/>
                      <w:color w:val="auto"/>
                      <w:highlight w:val="none"/>
                      <w:lang w:eastAsia="zh-CN"/>
                    </w:rPr>
                  </w:pPr>
                  <w:r>
                    <w:rPr>
                      <w:rFonts w:hint="eastAsia"/>
                      <w:color w:val="auto"/>
                      <w:szCs w:val="21"/>
                      <w:highlight w:val="none"/>
                      <w:lang w:eastAsia="zh-CN"/>
                    </w:rPr>
                    <w:t>新建雨污分流设施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3" w:type="dxa"/>
                  <w:vMerge w:val="continue"/>
                  <w:tcBorders>
                    <w:tl2br w:val="nil"/>
                    <w:tr2bl w:val="nil"/>
                  </w:tcBorders>
                  <w:vAlign w:val="center"/>
                </w:tcPr>
                <w:p>
                  <w:pPr>
                    <w:pStyle w:val="103"/>
                    <w:snapToGrid w:val="0"/>
                    <w:rPr>
                      <w:rFonts w:hint="default" w:ascii="Times New Roman" w:hAnsi="Times New Roman" w:cs="宋体"/>
                      <w:color w:val="auto"/>
                      <w:kern w:val="2"/>
                      <w:sz w:val="21"/>
                      <w:highlight w:val="none"/>
                    </w:rPr>
                  </w:pPr>
                </w:p>
              </w:tc>
              <w:tc>
                <w:tcPr>
                  <w:tcW w:w="937" w:type="dxa"/>
                  <w:tcBorders>
                    <w:tl2br w:val="nil"/>
                    <w:tr2bl w:val="nil"/>
                  </w:tcBorders>
                  <w:vAlign w:val="center"/>
                </w:tcPr>
                <w:p>
                  <w:pPr>
                    <w:pStyle w:val="103"/>
                    <w:snapToGrid w:val="0"/>
                    <w:spacing w:beforeLines="5" w:afterLines="5"/>
                    <w:rPr>
                      <w:rFonts w:hint="default" w:ascii="Times New Roman" w:hAnsi="Times New Roman" w:cs="宋体"/>
                      <w:color w:val="auto"/>
                      <w:kern w:val="2"/>
                      <w:sz w:val="21"/>
                      <w:highlight w:val="none"/>
                    </w:rPr>
                  </w:pPr>
                  <w:r>
                    <w:rPr>
                      <w:rFonts w:ascii="Times New Roman" w:hAnsi="Times New Roman" w:cs="宋体"/>
                      <w:color w:val="auto"/>
                      <w:kern w:val="2"/>
                      <w:sz w:val="21"/>
                      <w:highlight w:val="none"/>
                    </w:rPr>
                    <w:t>供电</w:t>
                  </w:r>
                </w:p>
              </w:tc>
              <w:tc>
                <w:tcPr>
                  <w:tcW w:w="5899" w:type="dxa"/>
                  <w:gridSpan w:val="2"/>
                  <w:tcBorders>
                    <w:tl2br w:val="nil"/>
                    <w:tr2bl w:val="nil"/>
                  </w:tcBorders>
                  <w:vAlign w:val="center"/>
                </w:tcPr>
                <w:p>
                  <w:pPr>
                    <w:pStyle w:val="103"/>
                    <w:snapToGrid w:val="0"/>
                    <w:spacing w:beforeLines="5"/>
                    <w:jc w:val="left"/>
                    <w:rPr>
                      <w:rFonts w:hint="default" w:ascii="Times New Roman" w:hAnsi="Times New Roman" w:cs="宋体"/>
                      <w:color w:val="auto"/>
                      <w:sz w:val="21"/>
                      <w:highlight w:val="none"/>
                    </w:rPr>
                  </w:pPr>
                  <w:r>
                    <w:rPr>
                      <w:bCs/>
                      <w:color w:val="auto"/>
                      <w:sz w:val="21"/>
                      <w:highlight w:val="none"/>
                    </w:rPr>
                    <w:t>接入当地电网，厂区内设有变电箱。</w:t>
                  </w:r>
                </w:p>
              </w:tc>
              <w:tc>
                <w:tcPr>
                  <w:tcW w:w="941" w:type="dxa"/>
                  <w:tcBorders>
                    <w:tl2br w:val="nil"/>
                    <w:tr2bl w:val="nil"/>
                  </w:tcBorders>
                  <w:vAlign w:val="center"/>
                </w:tcPr>
                <w:p>
                  <w:pPr>
                    <w:snapToGrid w:val="0"/>
                    <w:spacing w:beforeLines="5"/>
                    <w:jc w:val="center"/>
                    <w:rPr>
                      <w:rFonts w:hint="eastAsia" w:cs="宋体"/>
                      <w:color w:val="auto"/>
                      <w:highlight w:val="none"/>
                    </w:rPr>
                  </w:pPr>
                  <w:r>
                    <w:rPr>
                      <w:rFonts w:hint="eastAsia" w:cs="宋体"/>
                      <w:color w:val="auto"/>
                      <w:highlight w:val="none"/>
                    </w:rPr>
                    <w:t>依托</w:t>
                  </w:r>
                </w:p>
                <w:p>
                  <w:pPr>
                    <w:snapToGrid w:val="0"/>
                    <w:spacing w:beforeLines="5"/>
                    <w:jc w:val="center"/>
                    <w:rPr>
                      <w:bCs/>
                      <w:color w:val="auto"/>
                      <w:highlight w:val="none"/>
                    </w:rPr>
                  </w:pPr>
                  <w:r>
                    <w:rPr>
                      <w:rFonts w:hint="eastAsia" w:cs="宋体"/>
                      <w:color w:val="auto"/>
                      <w:highlight w:val="none"/>
                    </w:rPr>
                    <w:t>原有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663" w:type="dxa"/>
                  <w:vMerge w:val="restart"/>
                  <w:tcBorders>
                    <w:tl2br w:val="nil"/>
                    <w:tr2bl w:val="nil"/>
                  </w:tcBorders>
                  <w:vAlign w:val="center"/>
                </w:tcPr>
                <w:p>
                  <w:pPr>
                    <w:snapToGrid w:val="0"/>
                    <w:jc w:val="center"/>
                    <w:rPr>
                      <w:rFonts w:hAnsi="宋体"/>
                      <w:color w:val="auto"/>
                      <w:szCs w:val="21"/>
                      <w:highlight w:val="none"/>
                    </w:rPr>
                  </w:pPr>
                  <w:r>
                    <w:rPr>
                      <w:rFonts w:hint="eastAsia" w:hAnsi="宋体"/>
                      <w:color w:val="auto"/>
                      <w:szCs w:val="21"/>
                      <w:highlight w:val="none"/>
                    </w:rPr>
                    <w:t>环保</w:t>
                  </w:r>
                </w:p>
                <w:p>
                  <w:pPr>
                    <w:snapToGrid w:val="0"/>
                    <w:jc w:val="center"/>
                    <w:rPr>
                      <w:rFonts w:hAnsi="宋体"/>
                      <w:color w:val="auto"/>
                      <w:szCs w:val="21"/>
                      <w:highlight w:val="none"/>
                    </w:rPr>
                  </w:pPr>
                  <w:r>
                    <w:rPr>
                      <w:rFonts w:hint="eastAsia" w:hAnsi="宋体"/>
                      <w:color w:val="auto"/>
                      <w:szCs w:val="21"/>
                      <w:highlight w:val="none"/>
                    </w:rPr>
                    <w:t>工程</w:t>
                  </w:r>
                </w:p>
              </w:tc>
              <w:tc>
                <w:tcPr>
                  <w:tcW w:w="937" w:type="dxa"/>
                  <w:tcBorders>
                    <w:tl2br w:val="nil"/>
                    <w:tr2bl w:val="nil"/>
                  </w:tcBorders>
                  <w:vAlign w:val="center"/>
                </w:tcPr>
                <w:p>
                  <w:pPr>
                    <w:spacing w:beforeLines="30" w:afterLines="30"/>
                    <w:jc w:val="center"/>
                    <w:rPr>
                      <w:rFonts w:hAnsi="宋体"/>
                      <w:color w:val="auto"/>
                      <w:szCs w:val="21"/>
                      <w:highlight w:val="none"/>
                    </w:rPr>
                  </w:pPr>
                  <w:r>
                    <w:rPr>
                      <w:rFonts w:hint="eastAsia" w:hAnsi="宋体"/>
                      <w:color w:val="auto"/>
                      <w:szCs w:val="21"/>
                      <w:highlight w:val="none"/>
                    </w:rPr>
                    <w:t>废水</w:t>
                  </w:r>
                </w:p>
              </w:tc>
              <w:tc>
                <w:tcPr>
                  <w:tcW w:w="2946" w:type="dxa"/>
                  <w:tcBorders>
                    <w:tl2br w:val="nil"/>
                    <w:tr2bl w:val="nil"/>
                  </w:tcBorders>
                  <w:vAlign w:val="center"/>
                </w:tcPr>
                <w:p>
                  <w:pPr>
                    <w:adjustRightInd w:val="0"/>
                    <w:snapToGrid w:val="0"/>
                    <w:rPr>
                      <w:rFonts w:hint="eastAsia" w:eastAsia="宋体"/>
                      <w:color w:val="auto"/>
                      <w:szCs w:val="21"/>
                      <w:highlight w:val="none"/>
                      <w:lang w:eastAsia="zh-CN"/>
                    </w:rPr>
                  </w:pPr>
                  <w:r>
                    <w:rPr>
                      <w:rFonts w:hint="eastAsia" w:ascii="宋体" w:hAnsi="宋体" w:cs="宋体"/>
                      <w:color w:val="auto"/>
                      <w:szCs w:val="21"/>
                      <w:highlight w:val="none"/>
                    </w:rPr>
                    <w:t>①</w:t>
                  </w:r>
                  <w:r>
                    <w:rPr>
                      <w:rFonts w:hint="eastAsia"/>
                      <w:color w:val="auto"/>
                      <w:szCs w:val="21"/>
                      <w:highlight w:val="none"/>
                    </w:rPr>
                    <w:t>现有工程脱硫塔水循环利用</w:t>
                  </w:r>
                  <w:r>
                    <w:rPr>
                      <w:rFonts w:hint="eastAsia"/>
                      <w:color w:val="auto"/>
                      <w:szCs w:val="21"/>
                      <w:highlight w:val="none"/>
                      <w:lang w:eastAsia="zh-CN"/>
                    </w:rPr>
                    <w:t>；</w:t>
                  </w:r>
                </w:p>
                <w:p>
                  <w:pPr>
                    <w:pStyle w:val="103"/>
                    <w:snapToGrid w:val="0"/>
                    <w:spacing w:beforeLines="5"/>
                    <w:jc w:val="left"/>
                    <w:rPr>
                      <w:rFonts w:hint="default"/>
                      <w:color w:val="auto"/>
                      <w:sz w:val="21"/>
                      <w:highlight w:val="none"/>
                    </w:rPr>
                  </w:pPr>
                  <w:r>
                    <w:rPr>
                      <w:rFonts w:cs="宋体"/>
                      <w:color w:val="auto"/>
                      <w:sz w:val="21"/>
                      <w:highlight w:val="none"/>
                    </w:rPr>
                    <w:t>②</w:t>
                  </w:r>
                  <w:r>
                    <w:rPr>
                      <w:color w:val="auto"/>
                      <w:sz w:val="21"/>
                      <w:highlight w:val="none"/>
                    </w:rPr>
                    <w:t>生活污水经化粪池处理后，用于周边农田施肥；</w:t>
                  </w:r>
                </w:p>
                <w:p>
                  <w:pPr>
                    <w:pStyle w:val="103"/>
                    <w:snapToGrid w:val="0"/>
                    <w:spacing w:beforeLines="5"/>
                    <w:jc w:val="left"/>
                    <w:rPr>
                      <w:rFonts w:hint="default" w:cs="宋体"/>
                      <w:color w:val="auto"/>
                      <w:sz w:val="21"/>
                      <w:highlight w:val="none"/>
                    </w:rPr>
                  </w:pPr>
                  <w:r>
                    <w:rPr>
                      <w:rFonts w:cs="宋体"/>
                      <w:color w:val="auto"/>
                      <w:sz w:val="21"/>
                      <w:highlight w:val="none"/>
                    </w:rPr>
                    <w:t>③</w:t>
                  </w:r>
                  <w:r>
                    <w:rPr>
                      <w:color w:val="auto"/>
                      <w:sz w:val="21"/>
                      <w:highlight w:val="none"/>
                    </w:rPr>
                    <w:t>车辆冲洗废水经现有沉淀池（</w:t>
                  </w:r>
                  <w:r>
                    <w:rPr>
                      <w:rFonts w:ascii="Times New Roman" w:hAnsi="Times New Roman"/>
                      <w:color w:val="auto"/>
                      <w:sz w:val="21"/>
                      <w:highlight w:val="none"/>
                    </w:rPr>
                    <w:t>容积为45</w:t>
                  </w:r>
                  <w:r>
                    <w:rPr>
                      <w:rFonts w:hint="default" w:ascii="Times New Roman" w:hAnsi="Times New Roman"/>
                      <w:color w:val="auto"/>
                      <w:sz w:val="21"/>
                      <w:highlight w:val="none"/>
                    </w:rPr>
                    <w:t>m</w:t>
                  </w:r>
                  <w:r>
                    <w:rPr>
                      <w:rFonts w:hint="default" w:ascii="Times New Roman" w:hAnsi="Times New Roman"/>
                      <w:color w:val="auto"/>
                      <w:sz w:val="21"/>
                      <w:highlight w:val="none"/>
                      <w:vertAlign w:val="superscript"/>
                    </w:rPr>
                    <w:t>3</w:t>
                  </w:r>
                  <w:r>
                    <w:rPr>
                      <w:color w:val="auto"/>
                      <w:sz w:val="21"/>
                      <w:highlight w:val="none"/>
                    </w:rPr>
                    <w:t>）处理后回用。</w:t>
                  </w:r>
                </w:p>
              </w:tc>
              <w:tc>
                <w:tcPr>
                  <w:tcW w:w="2953" w:type="dxa"/>
                  <w:tcBorders>
                    <w:tl2br w:val="nil"/>
                    <w:tr2bl w:val="nil"/>
                  </w:tcBorders>
                  <w:vAlign w:val="center"/>
                </w:tcPr>
                <w:p>
                  <w:pPr>
                    <w:pStyle w:val="103"/>
                    <w:snapToGrid w:val="0"/>
                    <w:spacing w:beforeLines="5"/>
                    <w:jc w:val="left"/>
                    <w:rPr>
                      <w:rFonts w:hint="default" w:ascii="Times New Roman" w:hAnsi="Times New Roman" w:cs="宋体"/>
                      <w:color w:val="auto"/>
                      <w:sz w:val="21"/>
                      <w:highlight w:val="none"/>
                    </w:rPr>
                  </w:pPr>
                  <w:r>
                    <w:rPr>
                      <w:rFonts w:cs="宋体"/>
                      <w:color w:val="auto"/>
                      <w:sz w:val="21"/>
                      <w:highlight w:val="none"/>
                    </w:rPr>
                    <w:t>①生产废水：洗</w:t>
                  </w:r>
                  <w:r>
                    <w:rPr>
                      <w:rFonts w:hint="eastAsia" w:cs="宋体"/>
                      <w:color w:val="auto"/>
                      <w:sz w:val="21"/>
                      <w:highlight w:val="none"/>
                      <w:lang w:eastAsia="zh-CN"/>
                    </w:rPr>
                    <w:t>砂</w:t>
                  </w:r>
                  <w:r>
                    <w:rPr>
                      <w:rFonts w:cs="宋体"/>
                      <w:color w:val="auto"/>
                      <w:sz w:val="21"/>
                      <w:highlight w:val="none"/>
                    </w:rPr>
                    <w:t>与脱水工序产生</w:t>
                  </w:r>
                  <w:r>
                    <w:rPr>
                      <w:rFonts w:hint="eastAsia" w:cs="宋体"/>
                      <w:color w:val="auto"/>
                      <w:sz w:val="21"/>
                      <w:highlight w:val="none"/>
                      <w:lang w:eastAsia="zh-CN"/>
                    </w:rPr>
                    <w:t>的</w:t>
                  </w:r>
                  <w:r>
                    <w:rPr>
                      <w:rFonts w:cs="宋体"/>
                      <w:color w:val="auto"/>
                      <w:sz w:val="21"/>
                      <w:highlight w:val="none"/>
                    </w:rPr>
                    <w:t>废水经絮凝沉淀处理后回用</w:t>
                  </w:r>
                  <w:r>
                    <w:rPr>
                      <w:rFonts w:hint="eastAsia" w:cs="宋体"/>
                      <w:color w:val="auto"/>
                      <w:sz w:val="21"/>
                      <w:highlight w:val="none"/>
                      <w:lang w:eastAsia="zh-CN"/>
                    </w:rPr>
                    <w:t>（废水处理设施新增）</w:t>
                  </w:r>
                  <w:r>
                    <w:rPr>
                      <w:rFonts w:cs="宋体"/>
                      <w:color w:val="auto"/>
                      <w:sz w:val="21"/>
                      <w:highlight w:val="none"/>
                    </w:rPr>
                    <w:t>；</w:t>
                  </w:r>
                </w:p>
                <w:p>
                  <w:pPr>
                    <w:pStyle w:val="103"/>
                    <w:snapToGrid w:val="0"/>
                    <w:spacing w:beforeLines="5"/>
                    <w:jc w:val="left"/>
                    <w:rPr>
                      <w:rFonts w:hint="default" w:cs="宋体"/>
                      <w:color w:val="auto"/>
                      <w:sz w:val="21"/>
                      <w:highlight w:val="none"/>
                    </w:rPr>
                  </w:pPr>
                  <w:r>
                    <w:rPr>
                      <w:rFonts w:cs="宋体"/>
                      <w:color w:val="auto"/>
                      <w:sz w:val="21"/>
                      <w:highlight w:val="none"/>
                    </w:rPr>
                    <w:t>②</w:t>
                  </w:r>
                  <w:r>
                    <w:rPr>
                      <w:rFonts w:ascii="Times New Roman" w:hAnsi="Times New Roman" w:cs="宋体"/>
                      <w:color w:val="auto"/>
                      <w:sz w:val="21"/>
                      <w:highlight w:val="none"/>
                    </w:rPr>
                    <w:t>生活污水：经</w:t>
                  </w:r>
                  <w:r>
                    <w:rPr>
                      <w:rFonts w:hint="eastAsia" w:ascii="Times New Roman" w:hAnsi="Times New Roman" w:cs="宋体"/>
                      <w:color w:val="auto"/>
                      <w:sz w:val="21"/>
                      <w:highlight w:val="none"/>
                      <w:lang w:eastAsia="zh-CN"/>
                    </w:rPr>
                    <w:t>现有</w:t>
                  </w:r>
                  <w:r>
                    <w:rPr>
                      <w:rFonts w:ascii="Times New Roman" w:hAnsi="Times New Roman" w:cs="宋体"/>
                      <w:color w:val="auto"/>
                      <w:sz w:val="21"/>
                      <w:highlight w:val="none"/>
                    </w:rPr>
                    <w:t>化粪池处理后，用于周边农田施肥</w:t>
                  </w:r>
                  <w:r>
                    <w:rPr>
                      <w:rFonts w:cs="宋体"/>
                      <w:color w:val="auto"/>
                      <w:sz w:val="21"/>
                      <w:highlight w:val="none"/>
                    </w:rPr>
                    <w:t>，不外排。</w:t>
                  </w:r>
                </w:p>
                <w:p>
                  <w:pPr>
                    <w:pStyle w:val="103"/>
                    <w:snapToGrid w:val="0"/>
                    <w:spacing w:beforeLines="5"/>
                    <w:jc w:val="left"/>
                    <w:rPr>
                      <w:rFonts w:hint="default" w:ascii="Times New Roman" w:hAnsi="Times New Roman" w:cs="宋体"/>
                      <w:color w:val="auto"/>
                      <w:sz w:val="21"/>
                      <w:highlight w:val="none"/>
                    </w:rPr>
                  </w:pPr>
                  <w:r>
                    <w:rPr>
                      <w:rFonts w:cs="宋体"/>
                      <w:color w:val="auto"/>
                      <w:sz w:val="21"/>
                      <w:highlight w:val="none"/>
                    </w:rPr>
                    <w:t>③车辆冲洗废水：经现有沉淀池</w:t>
                  </w:r>
                  <w:r>
                    <w:rPr>
                      <w:rFonts w:hint="default" w:ascii="Times New Roman" w:hAnsi="Times New Roman"/>
                      <w:color w:val="auto"/>
                      <w:sz w:val="21"/>
                      <w:highlight w:val="none"/>
                    </w:rPr>
                    <w:t>（</w:t>
                  </w:r>
                  <w:r>
                    <w:rPr>
                      <w:rFonts w:ascii="Times New Roman" w:hAnsi="Times New Roman"/>
                      <w:color w:val="auto"/>
                      <w:sz w:val="21"/>
                      <w:highlight w:val="none"/>
                    </w:rPr>
                    <w:t>容积为45</w:t>
                  </w:r>
                  <w:r>
                    <w:rPr>
                      <w:rFonts w:hint="default" w:ascii="Times New Roman" w:hAnsi="Times New Roman"/>
                      <w:color w:val="auto"/>
                      <w:sz w:val="21"/>
                      <w:highlight w:val="none"/>
                    </w:rPr>
                    <w:t>m</w:t>
                  </w:r>
                  <w:r>
                    <w:rPr>
                      <w:rFonts w:hint="default" w:ascii="Times New Roman" w:hAnsi="Times New Roman"/>
                      <w:color w:val="auto"/>
                      <w:sz w:val="21"/>
                      <w:highlight w:val="none"/>
                      <w:vertAlign w:val="superscript"/>
                    </w:rPr>
                    <w:t>3</w:t>
                  </w:r>
                  <w:r>
                    <w:rPr>
                      <w:rFonts w:hint="default" w:ascii="Times New Roman" w:hAnsi="Times New Roman"/>
                      <w:color w:val="auto"/>
                      <w:sz w:val="21"/>
                      <w:highlight w:val="none"/>
                    </w:rPr>
                    <w:t>）</w:t>
                  </w:r>
                  <w:r>
                    <w:rPr>
                      <w:rFonts w:ascii="Times New Roman" w:hAnsi="Times New Roman"/>
                      <w:color w:val="auto"/>
                      <w:sz w:val="21"/>
                      <w:highlight w:val="none"/>
                    </w:rPr>
                    <w:t>处理后回用。</w:t>
                  </w:r>
                </w:p>
              </w:tc>
              <w:tc>
                <w:tcPr>
                  <w:tcW w:w="941" w:type="dxa"/>
                  <w:tcBorders>
                    <w:tl2br w:val="nil"/>
                    <w:tr2bl w:val="nil"/>
                  </w:tcBorders>
                  <w:vAlign w:val="center"/>
                </w:tcPr>
                <w:p>
                  <w:pPr>
                    <w:snapToGrid w:val="0"/>
                    <w:spacing w:beforeLines="5"/>
                    <w:jc w:val="center"/>
                    <w:rPr>
                      <w:rFonts w:hint="eastAsia" w:eastAsia="宋体" w:cs="宋体"/>
                      <w:color w:val="auto"/>
                      <w:highlight w:val="none"/>
                      <w:lang w:eastAsia="zh-CN"/>
                    </w:rPr>
                  </w:pPr>
                  <w:r>
                    <w:rPr>
                      <w:rFonts w:hint="eastAsia"/>
                      <w:color w:val="auto"/>
                      <w:szCs w:val="21"/>
                      <w:highlight w:val="none"/>
                    </w:rPr>
                    <w:t>依托原有化粪池及洗车台旁沉淀池，新建清水池</w:t>
                  </w:r>
                  <w:r>
                    <w:rPr>
                      <w:rFonts w:hint="eastAsia"/>
                      <w:color w:val="auto"/>
                      <w:highlight w:val="none"/>
                      <w:lang w:eastAsia="zh-CN"/>
                    </w:rPr>
                    <w:t>与污水罐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663" w:type="dxa"/>
                  <w:vMerge w:val="continue"/>
                  <w:tcBorders>
                    <w:tl2br w:val="nil"/>
                    <w:tr2bl w:val="nil"/>
                  </w:tcBorders>
                  <w:vAlign w:val="center"/>
                </w:tcPr>
                <w:p>
                  <w:pPr>
                    <w:spacing w:beforeLines="30" w:afterLines="30"/>
                    <w:jc w:val="center"/>
                    <w:rPr>
                      <w:rFonts w:hAnsi="宋体"/>
                      <w:color w:val="auto"/>
                      <w:szCs w:val="21"/>
                      <w:highlight w:val="none"/>
                    </w:rPr>
                  </w:pPr>
                </w:p>
              </w:tc>
              <w:tc>
                <w:tcPr>
                  <w:tcW w:w="937" w:type="dxa"/>
                  <w:tcBorders>
                    <w:tl2br w:val="nil"/>
                    <w:tr2bl w:val="nil"/>
                  </w:tcBorders>
                  <w:vAlign w:val="center"/>
                </w:tcPr>
                <w:p>
                  <w:pPr>
                    <w:spacing w:beforeLines="30" w:afterLines="30"/>
                    <w:jc w:val="center"/>
                    <w:rPr>
                      <w:rFonts w:hAnsi="宋体"/>
                      <w:color w:val="auto"/>
                      <w:szCs w:val="21"/>
                      <w:highlight w:val="none"/>
                    </w:rPr>
                  </w:pPr>
                  <w:r>
                    <w:rPr>
                      <w:rFonts w:hint="eastAsia" w:hAnsi="宋体"/>
                      <w:color w:val="auto"/>
                      <w:szCs w:val="21"/>
                      <w:highlight w:val="none"/>
                    </w:rPr>
                    <w:t>废气</w:t>
                  </w:r>
                </w:p>
              </w:tc>
              <w:tc>
                <w:tcPr>
                  <w:tcW w:w="2946" w:type="dxa"/>
                  <w:tcBorders>
                    <w:tl2br w:val="nil"/>
                    <w:tr2bl w:val="nil"/>
                  </w:tcBorders>
                  <w:vAlign w:val="center"/>
                </w:tcPr>
                <w:p>
                  <w:pPr>
                    <w:pStyle w:val="103"/>
                    <w:snapToGrid w:val="0"/>
                    <w:spacing w:beforeLines="5"/>
                    <w:jc w:val="left"/>
                    <w:rPr>
                      <w:rFonts w:hint="default" w:ascii="Times New Roman" w:hAnsi="Times New Roman"/>
                      <w:bCs/>
                      <w:color w:val="auto"/>
                      <w:sz w:val="21"/>
                      <w:highlight w:val="none"/>
                    </w:rPr>
                  </w:pPr>
                  <w:r>
                    <w:rPr>
                      <w:rFonts w:cs="宋体"/>
                      <w:bCs/>
                      <w:color w:val="auto"/>
                      <w:sz w:val="21"/>
                      <w:highlight w:val="none"/>
                    </w:rPr>
                    <w:t>①</w:t>
                  </w:r>
                  <w:r>
                    <w:rPr>
                      <w:rFonts w:hint="default" w:ascii="Times New Roman" w:hAnsi="Times New Roman"/>
                      <w:bCs/>
                      <w:color w:val="auto"/>
                      <w:sz w:val="21"/>
                      <w:highlight w:val="none"/>
                    </w:rPr>
                    <w:t>破碎车间粉尘采用布袋除尘；</w:t>
                  </w:r>
                </w:p>
                <w:p>
                  <w:pPr>
                    <w:pStyle w:val="103"/>
                    <w:snapToGrid w:val="0"/>
                    <w:spacing w:beforeLines="5"/>
                    <w:jc w:val="left"/>
                    <w:rPr>
                      <w:rFonts w:hint="default" w:cs="宋体"/>
                      <w:bCs/>
                      <w:color w:val="auto"/>
                      <w:sz w:val="21"/>
                      <w:highlight w:val="none"/>
                    </w:rPr>
                  </w:pPr>
                  <w:r>
                    <w:rPr>
                      <w:rFonts w:cs="宋体"/>
                      <w:bCs/>
                      <w:color w:val="auto"/>
                      <w:sz w:val="21"/>
                      <w:highlight w:val="none"/>
                    </w:rPr>
                    <w:t>②</w:t>
                  </w:r>
                  <w:r>
                    <w:rPr>
                      <w:rFonts w:hint="default" w:ascii="Times New Roman" w:hAnsi="Times New Roman"/>
                      <w:bCs/>
                      <w:color w:val="auto"/>
                      <w:sz w:val="21"/>
                      <w:highlight w:val="none"/>
                    </w:rPr>
                    <w:t>隧道窑废气采用脱硫塔+26m高排气筒处理。</w:t>
                  </w:r>
                </w:p>
              </w:tc>
              <w:tc>
                <w:tcPr>
                  <w:tcW w:w="2953" w:type="dxa"/>
                  <w:tcBorders>
                    <w:tl2br w:val="nil"/>
                    <w:tr2bl w:val="nil"/>
                  </w:tcBorders>
                  <w:vAlign w:val="center"/>
                </w:tcPr>
                <w:p>
                  <w:pPr>
                    <w:pStyle w:val="103"/>
                    <w:snapToGrid w:val="0"/>
                    <w:spacing w:beforeLines="5"/>
                    <w:jc w:val="left"/>
                    <w:rPr>
                      <w:rFonts w:hint="default"/>
                      <w:bCs/>
                      <w:color w:val="auto"/>
                      <w:sz w:val="21"/>
                      <w:highlight w:val="none"/>
                    </w:rPr>
                  </w:pPr>
                  <w:r>
                    <w:rPr>
                      <w:rFonts w:cs="宋体"/>
                      <w:bCs/>
                      <w:color w:val="auto"/>
                      <w:sz w:val="21"/>
                      <w:highlight w:val="none"/>
                    </w:rPr>
                    <w:t>①</w:t>
                  </w:r>
                  <w:r>
                    <w:rPr>
                      <w:bCs/>
                      <w:color w:val="auto"/>
                      <w:sz w:val="21"/>
                      <w:highlight w:val="none"/>
                    </w:rPr>
                    <w:t>生产车间半封闭，分离筛选</w:t>
                  </w:r>
                  <w:r>
                    <w:rPr>
                      <w:rFonts w:cs="宋体"/>
                      <w:color w:val="auto"/>
                      <w:sz w:val="21"/>
                      <w:highlight w:val="none"/>
                    </w:rPr>
                    <w:t>工序</w:t>
                  </w:r>
                  <w:r>
                    <w:rPr>
                      <w:bCs/>
                      <w:color w:val="auto"/>
                      <w:sz w:val="21"/>
                      <w:highlight w:val="none"/>
                    </w:rPr>
                    <w:t>采用湿法作业；</w:t>
                  </w:r>
                </w:p>
                <w:p>
                  <w:pPr>
                    <w:pStyle w:val="103"/>
                    <w:snapToGrid w:val="0"/>
                    <w:spacing w:beforeLines="5"/>
                    <w:jc w:val="left"/>
                    <w:rPr>
                      <w:rFonts w:hint="default"/>
                      <w:bCs/>
                      <w:color w:val="auto"/>
                      <w:sz w:val="21"/>
                      <w:highlight w:val="none"/>
                    </w:rPr>
                  </w:pPr>
                  <w:r>
                    <w:rPr>
                      <w:rFonts w:cs="宋体"/>
                      <w:bCs/>
                      <w:color w:val="auto"/>
                      <w:sz w:val="21"/>
                      <w:highlight w:val="none"/>
                    </w:rPr>
                    <w:t>②</w:t>
                  </w:r>
                  <w:r>
                    <w:rPr>
                      <w:bCs/>
                      <w:color w:val="auto"/>
                      <w:sz w:val="21"/>
                      <w:highlight w:val="none"/>
                    </w:rPr>
                    <w:t>卸料和铲料时对原料进行喷洒水降尘；</w:t>
                  </w:r>
                </w:p>
                <w:p>
                  <w:pPr>
                    <w:pStyle w:val="103"/>
                    <w:snapToGrid w:val="0"/>
                    <w:spacing w:beforeLines="5"/>
                    <w:jc w:val="left"/>
                    <w:rPr>
                      <w:rFonts w:hint="default"/>
                      <w:bCs/>
                      <w:color w:val="auto"/>
                      <w:sz w:val="21"/>
                      <w:highlight w:val="none"/>
                    </w:rPr>
                  </w:pPr>
                  <w:r>
                    <w:rPr>
                      <w:rFonts w:cs="宋体"/>
                      <w:bCs/>
                      <w:color w:val="auto"/>
                      <w:sz w:val="21"/>
                      <w:highlight w:val="none"/>
                    </w:rPr>
                    <w:t>③</w:t>
                  </w:r>
                  <w:r>
                    <w:rPr>
                      <w:bCs/>
                      <w:color w:val="auto"/>
                      <w:sz w:val="21"/>
                      <w:highlight w:val="none"/>
                    </w:rPr>
                    <w:t>运输道路洒水、运输车辆加盖篷布遮挡、加强车辆管理。</w:t>
                  </w:r>
                </w:p>
              </w:tc>
              <w:tc>
                <w:tcPr>
                  <w:tcW w:w="941" w:type="dxa"/>
                  <w:tcBorders>
                    <w:tl2br w:val="nil"/>
                    <w:tr2bl w:val="nil"/>
                  </w:tcBorders>
                  <w:vAlign w:val="center"/>
                </w:tcPr>
                <w:p>
                  <w:pPr>
                    <w:snapToGrid w:val="0"/>
                    <w:spacing w:beforeLines="5"/>
                    <w:jc w:val="center"/>
                    <w:rPr>
                      <w:rFonts w:hint="eastAsia" w:eastAsia="宋体" w:cs="宋体"/>
                      <w:bCs/>
                      <w:color w:val="auto"/>
                      <w:highlight w:val="none"/>
                      <w:lang w:eastAsia="zh-CN"/>
                    </w:rPr>
                  </w:pPr>
                  <w:r>
                    <w:rPr>
                      <w:rFonts w:hint="eastAsia"/>
                      <w:color w:val="auto"/>
                      <w:highlight w:val="none"/>
                      <w:lang w:eastAsia="zh-CN"/>
                    </w:rPr>
                    <w:t>扩建工程新增废气处理措施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663" w:type="dxa"/>
                  <w:vMerge w:val="continue"/>
                  <w:tcBorders>
                    <w:tl2br w:val="nil"/>
                    <w:tr2bl w:val="nil"/>
                  </w:tcBorders>
                  <w:vAlign w:val="center"/>
                </w:tcPr>
                <w:p>
                  <w:pPr>
                    <w:spacing w:beforeLines="30" w:afterLines="30"/>
                    <w:jc w:val="center"/>
                    <w:rPr>
                      <w:rFonts w:hAnsi="宋体"/>
                      <w:color w:val="auto"/>
                      <w:szCs w:val="21"/>
                      <w:highlight w:val="none"/>
                    </w:rPr>
                  </w:pPr>
                </w:p>
              </w:tc>
              <w:tc>
                <w:tcPr>
                  <w:tcW w:w="937" w:type="dxa"/>
                  <w:tcBorders>
                    <w:tl2br w:val="nil"/>
                    <w:tr2bl w:val="nil"/>
                  </w:tcBorders>
                  <w:vAlign w:val="center"/>
                </w:tcPr>
                <w:p>
                  <w:pPr>
                    <w:spacing w:beforeLines="30" w:afterLines="30"/>
                    <w:jc w:val="center"/>
                    <w:rPr>
                      <w:color w:val="auto"/>
                      <w:szCs w:val="21"/>
                      <w:highlight w:val="none"/>
                    </w:rPr>
                  </w:pPr>
                  <w:r>
                    <w:rPr>
                      <w:rFonts w:hAnsi="宋体"/>
                      <w:color w:val="auto"/>
                      <w:szCs w:val="21"/>
                      <w:highlight w:val="none"/>
                    </w:rPr>
                    <w:t>噪声</w:t>
                  </w:r>
                </w:p>
              </w:tc>
              <w:tc>
                <w:tcPr>
                  <w:tcW w:w="2946" w:type="dxa"/>
                  <w:tcBorders>
                    <w:tl2br w:val="nil"/>
                    <w:tr2bl w:val="nil"/>
                  </w:tcBorders>
                  <w:vAlign w:val="center"/>
                </w:tcPr>
                <w:p>
                  <w:pPr>
                    <w:pStyle w:val="103"/>
                    <w:snapToGrid w:val="0"/>
                    <w:spacing w:beforeLines="5"/>
                    <w:jc w:val="left"/>
                    <w:rPr>
                      <w:rFonts w:hint="default"/>
                      <w:color w:val="auto"/>
                      <w:sz w:val="21"/>
                      <w:highlight w:val="none"/>
                    </w:rPr>
                  </w:pPr>
                  <w:r>
                    <w:rPr>
                      <w:color w:val="auto"/>
                      <w:sz w:val="21"/>
                      <w:highlight w:val="none"/>
                    </w:rPr>
                    <w:t>选用低噪声设备，基座采取减振措施，加强设备维修和养护，车间封闭。</w:t>
                  </w:r>
                </w:p>
              </w:tc>
              <w:tc>
                <w:tcPr>
                  <w:tcW w:w="2953" w:type="dxa"/>
                  <w:tcBorders>
                    <w:tl2br w:val="nil"/>
                    <w:tr2bl w:val="nil"/>
                  </w:tcBorders>
                  <w:vAlign w:val="center"/>
                </w:tcPr>
                <w:p>
                  <w:pPr>
                    <w:pStyle w:val="103"/>
                    <w:snapToGrid w:val="0"/>
                    <w:spacing w:beforeLines="5"/>
                    <w:jc w:val="left"/>
                    <w:rPr>
                      <w:rFonts w:hint="default" w:ascii="Times New Roman" w:hAnsi="Times New Roman" w:cs="宋体"/>
                      <w:color w:val="auto"/>
                      <w:kern w:val="2"/>
                      <w:sz w:val="21"/>
                      <w:highlight w:val="none"/>
                    </w:rPr>
                  </w:pPr>
                  <w:r>
                    <w:rPr>
                      <w:color w:val="auto"/>
                      <w:sz w:val="21"/>
                      <w:highlight w:val="none"/>
                    </w:rPr>
                    <w:t>生产车间半封闭（三面封闭+顶棚），</w:t>
                  </w:r>
                  <w:r>
                    <w:rPr>
                      <w:bCs/>
                      <w:color w:val="auto"/>
                      <w:sz w:val="21"/>
                      <w:highlight w:val="none"/>
                    </w:rPr>
                    <w:t>采用低噪声设备，合理安排运行时间，并采取隔声减振措施，加强机械维护。</w:t>
                  </w:r>
                </w:p>
              </w:tc>
              <w:tc>
                <w:tcPr>
                  <w:tcW w:w="941" w:type="dxa"/>
                  <w:tcBorders>
                    <w:tl2br w:val="nil"/>
                    <w:tr2bl w:val="nil"/>
                  </w:tcBorders>
                  <w:vAlign w:val="center"/>
                </w:tcPr>
                <w:p>
                  <w:pPr>
                    <w:snapToGrid w:val="0"/>
                    <w:spacing w:beforeLines="5"/>
                    <w:jc w:val="center"/>
                    <w:rPr>
                      <w:color w:val="auto"/>
                      <w:highlight w:val="none"/>
                    </w:rPr>
                  </w:pPr>
                  <w:r>
                    <w:rPr>
                      <w:rFonts w:hint="eastAsia"/>
                      <w:color w:val="auto"/>
                      <w:szCs w:val="21"/>
                      <w:highlight w:val="none"/>
                    </w:rPr>
                    <w:t>新增减振措施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vMerge w:val="continue"/>
                  <w:tcBorders>
                    <w:tl2br w:val="nil"/>
                    <w:tr2bl w:val="nil"/>
                  </w:tcBorders>
                  <w:vAlign w:val="center"/>
                </w:tcPr>
                <w:p>
                  <w:pPr>
                    <w:spacing w:beforeLines="30" w:afterLines="30"/>
                    <w:jc w:val="center"/>
                    <w:rPr>
                      <w:rFonts w:hAnsi="宋体"/>
                      <w:color w:val="auto"/>
                      <w:szCs w:val="21"/>
                      <w:highlight w:val="none"/>
                    </w:rPr>
                  </w:pPr>
                </w:p>
              </w:tc>
              <w:tc>
                <w:tcPr>
                  <w:tcW w:w="937" w:type="dxa"/>
                  <w:tcBorders>
                    <w:tl2br w:val="nil"/>
                    <w:tr2bl w:val="nil"/>
                  </w:tcBorders>
                  <w:vAlign w:val="center"/>
                </w:tcPr>
                <w:p>
                  <w:pPr>
                    <w:spacing w:beforeLines="30" w:afterLines="30"/>
                    <w:jc w:val="center"/>
                    <w:rPr>
                      <w:rFonts w:hAnsi="宋体"/>
                      <w:color w:val="auto"/>
                      <w:szCs w:val="21"/>
                      <w:highlight w:val="none"/>
                    </w:rPr>
                  </w:pPr>
                  <w:r>
                    <w:rPr>
                      <w:rFonts w:hint="eastAsia" w:hAnsi="宋体"/>
                      <w:color w:val="auto"/>
                      <w:szCs w:val="21"/>
                      <w:highlight w:val="none"/>
                    </w:rPr>
                    <w:t>固废</w:t>
                  </w:r>
                </w:p>
              </w:tc>
              <w:tc>
                <w:tcPr>
                  <w:tcW w:w="2946" w:type="dxa"/>
                  <w:tcBorders>
                    <w:tl2br w:val="nil"/>
                    <w:tr2bl w:val="nil"/>
                  </w:tcBorders>
                  <w:vAlign w:val="center"/>
                </w:tcPr>
                <w:p>
                  <w:pPr>
                    <w:widowControl/>
                    <w:jc w:val="left"/>
                    <w:rPr>
                      <w:rFonts w:ascii="宋体" w:hAnsi="宋体" w:cs="宋体"/>
                      <w:bCs/>
                      <w:color w:val="auto"/>
                      <w:szCs w:val="21"/>
                      <w:highlight w:val="none"/>
                    </w:rPr>
                  </w:pPr>
                  <w:r>
                    <w:rPr>
                      <w:rFonts w:hint="eastAsia" w:ascii="宋体" w:hAnsi="宋体" w:cs="宋体"/>
                      <w:bCs/>
                      <w:color w:val="auto"/>
                      <w:szCs w:val="21"/>
                      <w:highlight w:val="none"/>
                    </w:rPr>
                    <w:t>①生活垃圾经垃圾桶收集后交环卫部门清运；</w:t>
                  </w:r>
                </w:p>
                <w:p>
                  <w:pPr>
                    <w:widowControl/>
                    <w:jc w:val="left"/>
                    <w:rPr>
                      <w:rFonts w:ascii="宋体" w:hAnsi="宋体" w:cs="宋体"/>
                      <w:bCs/>
                      <w:color w:val="auto"/>
                      <w:szCs w:val="21"/>
                      <w:highlight w:val="none"/>
                    </w:rPr>
                  </w:pPr>
                  <w:r>
                    <w:rPr>
                      <w:rFonts w:hint="eastAsia" w:ascii="宋体" w:hAnsi="宋体" w:cs="宋体"/>
                      <w:bCs/>
                      <w:color w:val="auto"/>
                      <w:szCs w:val="21"/>
                      <w:highlight w:val="none"/>
                    </w:rPr>
                    <w:t>②设备维修废润滑油等暂存于危废暂存间，交</w:t>
                  </w:r>
                  <w:r>
                    <w:rPr>
                      <w:rFonts w:hint="eastAsia" w:ascii="宋体" w:hAnsi="宋体" w:cs="宋体"/>
                      <w:bCs/>
                      <w:color w:val="auto"/>
                      <w:szCs w:val="21"/>
                      <w:highlight w:val="none"/>
                      <w:lang w:eastAsia="zh-CN"/>
                    </w:rPr>
                    <w:t>由</w:t>
                  </w:r>
                  <w:r>
                    <w:rPr>
                      <w:rFonts w:hint="eastAsia" w:ascii="宋体" w:hAnsi="宋体" w:cs="宋体"/>
                      <w:bCs/>
                      <w:color w:val="auto"/>
                      <w:szCs w:val="21"/>
                      <w:highlight w:val="none"/>
                    </w:rPr>
                    <w:t>有资质单位处理。</w:t>
                  </w:r>
                </w:p>
              </w:tc>
              <w:tc>
                <w:tcPr>
                  <w:tcW w:w="2953" w:type="dxa"/>
                  <w:tcBorders>
                    <w:tl2br w:val="nil"/>
                    <w:tr2bl w:val="nil"/>
                  </w:tcBorders>
                  <w:vAlign w:val="center"/>
                </w:tcPr>
                <w:p>
                  <w:pPr>
                    <w:widowControl/>
                    <w:spacing w:beforeLines="30"/>
                    <w:jc w:val="left"/>
                    <w:rPr>
                      <w:rFonts w:hAnsi="宋体"/>
                      <w:color w:val="auto"/>
                      <w:szCs w:val="21"/>
                      <w:highlight w:val="none"/>
                    </w:rPr>
                  </w:pPr>
                  <w:r>
                    <w:rPr>
                      <w:rFonts w:hint="eastAsia" w:ascii="宋体" w:hAnsi="宋体" w:cs="宋体"/>
                      <w:color w:val="auto"/>
                      <w:szCs w:val="21"/>
                      <w:highlight w:val="none"/>
                    </w:rPr>
                    <w:t>①</w:t>
                  </w:r>
                  <w:r>
                    <w:rPr>
                      <w:rFonts w:hint="eastAsia"/>
                      <w:bCs/>
                      <w:color w:val="auto"/>
                      <w:szCs w:val="21"/>
                      <w:highlight w:val="none"/>
                    </w:rPr>
                    <w:t>员工生活垃圾经垃圾桶集中收集后，送至就近垃圾收集点，交由环卫部门处理。</w:t>
                  </w:r>
                </w:p>
                <w:p>
                  <w:pPr>
                    <w:widowControl/>
                    <w:jc w:val="left"/>
                    <w:rPr>
                      <w:bCs/>
                      <w:color w:val="auto"/>
                      <w:szCs w:val="21"/>
                      <w:highlight w:val="none"/>
                    </w:rPr>
                  </w:pPr>
                  <w:r>
                    <w:rPr>
                      <w:rFonts w:hint="eastAsia" w:ascii="宋体" w:hAnsi="宋体" w:cs="宋体"/>
                      <w:color w:val="auto"/>
                      <w:szCs w:val="21"/>
                      <w:highlight w:val="none"/>
                    </w:rPr>
                    <w:t>②</w:t>
                  </w:r>
                  <w:r>
                    <w:rPr>
                      <w:rFonts w:hint="eastAsia" w:hAnsi="宋体"/>
                      <w:color w:val="auto"/>
                      <w:szCs w:val="21"/>
                      <w:highlight w:val="none"/>
                    </w:rPr>
                    <w:t>沉淀池尾泥进入压滤机中压滤，压滤产生的</w:t>
                  </w:r>
                  <w:r>
                    <w:rPr>
                      <w:rFonts w:hint="eastAsia"/>
                      <w:bCs/>
                      <w:color w:val="auto"/>
                      <w:szCs w:val="21"/>
                      <w:highlight w:val="none"/>
                    </w:rPr>
                    <w:t>泥饼作为原料，回用于制砖工序；</w:t>
                  </w:r>
                </w:p>
                <w:p>
                  <w:pPr>
                    <w:widowControl/>
                    <w:jc w:val="left"/>
                    <w:rPr>
                      <w:bCs/>
                      <w:color w:val="auto"/>
                      <w:szCs w:val="21"/>
                      <w:highlight w:val="none"/>
                    </w:rPr>
                  </w:pPr>
                  <w:r>
                    <w:rPr>
                      <w:rFonts w:hint="eastAsia" w:ascii="宋体" w:hAnsi="宋体" w:cs="宋体"/>
                      <w:bCs/>
                      <w:color w:val="auto"/>
                      <w:szCs w:val="21"/>
                      <w:highlight w:val="none"/>
                    </w:rPr>
                    <w:t>④</w:t>
                  </w:r>
                  <w:r>
                    <w:rPr>
                      <w:bCs/>
                      <w:color w:val="auto"/>
                      <w:szCs w:val="21"/>
                      <w:highlight w:val="none"/>
                    </w:rPr>
                    <w:t>机械设备保养维护过程产生的废</w:t>
                  </w:r>
                  <w:r>
                    <w:rPr>
                      <w:rFonts w:hint="eastAsia"/>
                      <w:bCs/>
                      <w:color w:val="auto"/>
                      <w:szCs w:val="21"/>
                      <w:highlight w:val="none"/>
                    </w:rPr>
                    <w:t>润滑油</w:t>
                  </w:r>
                  <w:r>
                    <w:rPr>
                      <w:bCs/>
                      <w:color w:val="auto"/>
                      <w:szCs w:val="21"/>
                      <w:highlight w:val="none"/>
                    </w:rPr>
                    <w:t>、废油桶、含油手套</w:t>
                  </w:r>
                  <w:r>
                    <w:rPr>
                      <w:rFonts w:hint="eastAsia"/>
                      <w:bCs/>
                      <w:color w:val="auto"/>
                      <w:szCs w:val="21"/>
                      <w:highlight w:val="none"/>
                    </w:rPr>
                    <w:t>及</w:t>
                  </w:r>
                  <w:r>
                    <w:rPr>
                      <w:bCs/>
                      <w:color w:val="auto"/>
                      <w:szCs w:val="21"/>
                      <w:highlight w:val="none"/>
                    </w:rPr>
                    <w:t>棉纱均属于危废，</w:t>
                  </w:r>
                  <w:r>
                    <w:rPr>
                      <w:rFonts w:hint="eastAsia"/>
                      <w:bCs/>
                      <w:color w:val="auto"/>
                      <w:szCs w:val="21"/>
                      <w:highlight w:val="none"/>
                    </w:rPr>
                    <w:t>在厂区现有</w:t>
                  </w:r>
                  <w:r>
                    <w:rPr>
                      <w:bCs/>
                      <w:color w:val="auto"/>
                      <w:szCs w:val="21"/>
                      <w:highlight w:val="none"/>
                    </w:rPr>
                    <w:t>危废暂存间暂存后，定期</w:t>
                  </w:r>
                  <w:r>
                    <w:rPr>
                      <w:rFonts w:hint="eastAsia" w:ascii="宋体" w:hAnsi="宋体" w:cs="宋体"/>
                      <w:bCs/>
                      <w:color w:val="auto"/>
                      <w:szCs w:val="21"/>
                      <w:highlight w:val="none"/>
                    </w:rPr>
                    <w:t>交</w:t>
                  </w:r>
                  <w:r>
                    <w:rPr>
                      <w:rFonts w:hint="eastAsia" w:ascii="宋体" w:hAnsi="宋体" w:cs="宋体"/>
                      <w:bCs/>
                      <w:color w:val="auto"/>
                      <w:szCs w:val="21"/>
                      <w:highlight w:val="none"/>
                      <w:lang w:eastAsia="zh-CN"/>
                    </w:rPr>
                    <w:t>由</w:t>
                  </w:r>
                  <w:r>
                    <w:rPr>
                      <w:rFonts w:hint="eastAsia" w:ascii="宋体" w:hAnsi="宋体" w:cs="宋体"/>
                      <w:bCs/>
                      <w:color w:val="auto"/>
                      <w:szCs w:val="21"/>
                      <w:highlight w:val="none"/>
                    </w:rPr>
                    <w:t>有资质单位处理。</w:t>
                  </w:r>
                </w:p>
              </w:tc>
              <w:tc>
                <w:tcPr>
                  <w:tcW w:w="941" w:type="dxa"/>
                  <w:tcBorders>
                    <w:tl2br w:val="nil"/>
                    <w:tr2bl w:val="nil"/>
                  </w:tcBorders>
                  <w:vAlign w:val="center"/>
                </w:tcPr>
                <w:p>
                  <w:pPr>
                    <w:widowControl/>
                    <w:jc w:val="center"/>
                    <w:rPr>
                      <w:rFonts w:ascii="宋体" w:hAnsi="宋体" w:cs="宋体"/>
                      <w:bCs/>
                      <w:color w:val="auto"/>
                      <w:szCs w:val="21"/>
                      <w:highlight w:val="none"/>
                    </w:rPr>
                  </w:pPr>
                  <w:r>
                    <w:rPr>
                      <w:rFonts w:hint="eastAsia"/>
                      <w:color w:val="auto"/>
                      <w:szCs w:val="21"/>
                      <w:highlight w:val="none"/>
                    </w:rPr>
                    <w:t>危废间依托原有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3" w:type="dxa"/>
                  <w:tcBorders>
                    <w:tl2br w:val="nil"/>
                    <w:tr2bl w:val="nil"/>
                  </w:tcBorders>
                  <w:vAlign w:val="center"/>
                </w:tcPr>
                <w:p>
                  <w:pPr>
                    <w:spacing w:beforeLines="30" w:afterLines="30"/>
                    <w:jc w:val="center"/>
                    <w:rPr>
                      <w:rFonts w:hAnsi="宋体"/>
                      <w:color w:val="auto"/>
                      <w:szCs w:val="21"/>
                      <w:highlight w:val="none"/>
                    </w:rPr>
                  </w:pPr>
                  <w:r>
                    <w:rPr>
                      <w:rFonts w:hint="eastAsia" w:hAnsi="宋体"/>
                      <w:color w:val="auto"/>
                      <w:szCs w:val="21"/>
                      <w:highlight w:val="none"/>
                    </w:rPr>
                    <w:t>依托工程</w:t>
                  </w:r>
                </w:p>
              </w:tc>
              <w:tc>
                <w:tcPr>
                  <w:tcW w:w="7777" w:type="dxa"/>
                  <w:gridSpan w:val="4"/>
                  <w:tcBorders>
                    <w:tl2br w:val="nil"/>
                    <w:tr2bl w:val="nil"/>
                  </w:tcBorders>
                  <w:vAlign w:val="center"/>
                </w:tcPr>
                <w:p>
                  <w:pPr>
                    <w:widowControl/>
                    <w:rPr>
                      <w:color w:val="auto"/>
                      <w:szCs w:val="21"/>
                      <w:highlight w:val="none"/>
                    </w:rPr>
                  </w:pPr>
                  <w:r>
                    <w:rPr>
                      <w:rFonts w:hint="eastAsia"/>
                      <w:color w:val="auto"/>
                      <w:szCs w:val="21"/>
                      <w:highlight w:val="none"/>
                    </w:rPr>
                    <w:t>本次扩建工程依托原厂区中化粪池、危废间、洗车平台+沉淀池等设施</w:t>
                  </w:r>
                </w:p>
              </w:tc>
            </w:tr>
          </w:tbl>
          <w:p>
            <w:pPr>
              <w:numPr>
                <w:ilvl w:val="255"/>
                <w:numId w:val="0"/>
              </w:numPr>
              <w:spacing w:line="360" w:lineRule="auto"/>
              <w:ind w:firstLine="480" w:firstLineChars="200"/>
              <w:rPr>
                <w:color w:val="auto"/>
                <w:sz w:val="24"/>
                <w:szCs w:val="32"/>
                <w:highlight w:val="none"/>
              </w:rPr>
            </w:pPr>
            <w:r>
              <w:rPr>
                <w:rFonts w:hint="eastAsia"/>
                <w:color w:val="auto"/>
                <w:sz w:val="24"/>
                <w:szCs w:val="32"/>
                <w:highlight w:val="none"/>
              </w:rPr>
              <w:t>3、产品方案</w:t>
            </w:r>
          </w:p>
          <w:p>
            <w:pPr>
              <w:pStyle w:val="42"/>
              <w:numPr>
                <w:ilvl w:val="255"/>
                <w:numId w:val="0"/>
              </w:numPr>
              <w:spacing w:line="360" w:lineRule="auto"/>
              <w:rPr>
                <w:rFonts w:hint="eastAsia" w:eastAsia="宋体"/>
                <w:color w:val="auto"/>
                <w:highlight w:val="none"/>
                <w:lang w:eastAsia="zh-CN"/>
              </w:rPr>
            </w:pPr>
            <w:r>
              <w:rPr>
                <w:rFonts w:hint="eastAsia"/>
                <w:color w:val="auto"/>
                <w:szCs w:val="32"/>
                <w:highlight w:val="none"/>
              </w:rPr>
              <w:t xml:space="preserve">    经现场调查，现有工程主要进行页岩烧结砖生产，扩建工程后期主要进行泥</w:t>
            </w:r>
            <w:r>
              <w:rPr>
                <w:rFonts w:hint="eastAsia"/>
                <w:color w:val="auto"/>
                <w:szCs w:val="32"/>
                <w:highlight w:val="none"/>
                <w:lang w:eastAsia="zh-CN"/>
              </w:rPr>
              <w:t>砂</w:t>
            </w:r>
            <w:r>
              <w:rPr>
                <w:rFonts w:hint="eastAsia"/>
                <w:color w:val="auto"/>
                <w:szCs w:val="32"/>
                <w:highlight w:val="none"/>
              </w:rPr>
              <w:t>分离、筛选</w:t>
            </w:r>
            <w:r>
              <w:rPr>
                <w:rFonts w:hint="eastAsia"/>
                <w:color w:val="auto"/>
                <w:szCs w:val="32"/>
                <w:highlight w:val="none"/>
                <w:lang w:eastAsia="zh-CN"/>
              </w:rPr>
              <w:t>砂</w:t>
            </w:r>
            <w:r>
              <w:rPr>
                <w:rFonts w:hint="eastAsia"/>
                <w:color w:val="auto"/>
                <w:szCs w:val="32"/>
                <w:highlight w:val="none"/>
              </w:rPr>
              <w:t>料，两者产品方案不同</w:t>
            </w:r>
            <w:r>
              <w:rPr>
                <w:rFonts w:hint="eastAsia"/>
                <w:color w:val="auto"/>
                <w:szCs w:val="32"/>
                <w:highlight w:val="none"/>
                <w:lang w:eastAsia="zh-CN"/>
              </w:rPr>
              <w:t>。本项目建成后，全厂将新增成品砂产品</w:t>
            </w:r>
            <w:r>
              <w:rPr>
                <w:rFonts w:hint="default" w:ascii="Times New Roman" w:hAnsi="Times New Roman" w:cs="Times New Roman"/>
                <w:color w:val="auto"/>
                <w:szCs w:val="32"/>
                <w:highlight w:val="none"/>
                <w:lang w:val="en-US" w:eastAsia="zh-CN"/>
              </w:rPr>
              <w:t>20万吨/a</w:t>
            </w:r>
            <w:r>
              <w:rPr>
                <w:rFonts w:hint="eastAsia" w:ascii="Times New Roman" w:cs="Times New Roman"/>
                <w:color w:val="auto"/>
                <w:szCs w:val="32"/>
                <w:highlight w:val="none"/>
                <w:lang w:val="en-US" w:eastAsia="zh-CN"/>
              </w:rPr>
              <w:t>，现有工程和扩建工程产品方案见下表</w:t>
            </w:r>
            <w:r>
              <w:rPr>
                <w:rFonts w:hint="eastAsia"/>
                <w:color w:val="auto"/>
                <w:szCs w:val="32"/>
                <w:highlight w:val="none"/>
                <w:lang w:eastAsia="zh-CN"/>
              </w:rPr>
              <w:t>：</w:t>
            </w:r>
          </w:p>
          <w:p>
            <w:pPr>
              <w:adjustRightInd w:val="0"/>
              <w:snapToGrid w:val="0"/>
              <w:jc w:val="center"/>
              <w:rPr>
                <w:b/>
                <w:bCs/>
                <w:color w:val="auto"/>
                <w:highlight w:val="none"/>
              </w:rPr>
            </w:pPr>
            <w:r>
              <w:rPr>
                <w:rFonts w:hint="eastAsia"/>
                <w:b/>
                <w:bCs/>
                <w:color w:val="auto"/>
                <w:highlight w:val="none"/>
              </w:rPr>
              <w:t>表2-2  现有工程与扩建工程产品方案一览表</w:t>
            </w:r>
          </w:p>
          <w:tbl>
            <w:tblPr>
              <w:tblStyle w:val="34"/>
              <w:tblW w:w="8277"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484"/>
              <w:gridCol w:w="3780"/>
              <w:gridCol w:w="1590"/>
              <w:gridCol w:w="1423"/>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7" w:hRule="atLeast"/>
                <w:tblHeader/>
                <w:jc w:val="center"/>
              </w:trPr>
              <w:tc>
                <w:tcPr>
                  <w:tcW w:w="1484" w:type="dxa"/>
                  <w:tcBorders>
                    <w:tl2br w:val="nil"/>
                    <w:tr2bl w:val="nil"/>
                  </w:tcBorders>
                  <w:vAlign w:val="center"/>
                </w:tcPr>
                <w:p>
                  <w:pPr>
                    <w:snapToGrid w:val="0"/>
                    <w:jc w:val="center"/>
                    <w:rPr>
                      <w:color w:val="auto"/>
                      <w:szCs w:val="21"/>
                      <w:highlight w:val="none"/>
                    </w:rPr>
                  </w:pPr>
                  <w:r>
                    <w:rPr>
                      <w:rFonts w:hint="eastAsia"/>
                      <w:color w:val="auto"/>
                      <w:szCs w:val="21"/>
                      <w:highlight w:val="none"/>
                    </w:rPr>
                    <w:t>产品类型</w:t>
                  </w:r>
                </w:p>
              </w:tc>
              <w:tc>
                <w:tcPr>
                  <w:tcW w:w="3780" w:type="dxa"/>
                  <w:tcBorders>
                    <w:tl2br w:val="nil"/>
                    <w:tr2bl w:val="nil"/>
                  </w:tcBorders>
                  <w:vAlign w:val="center"/>
                </w:tcPr>
                <w:p>
                  <w:pPr>
                    <w:snapToGrid w:val="0"/>
                    <w:jc w:val="center"/>
                    <w:rPr>
                      <w:color w:val="auto"/>
                      <w:szCs w:val="21"/>
                      <w:highlight w:val="none"/>
                    </w:rPr>
                  </w:pPr>
                  <w:r>
                    <w:rPr>
                      <w:rFonts w:hint="eastAsia"/>
                      <w:color w:val="auto"/>
                      <w:szCs w:val="21"/>
                      <w:highlight w:val="none"/>
                    </w:rPr>
                    <w:t>规格</w:t>
                  </w:r>
                </w:p>
              </w:tc>
              <w:tc>
                <w:tcPr>
                  <w:tcW w:w="1590" w:type="dxa"/>
                  <w:tcBorders>
                    <w:tl2br w:val="nil"/>
                    <w:tr2bl w:val="nil"/>
                  </w:tcBorders>
                  <w:vAlign w:val="center"/>
                </w:tcPr>
                <w:p>
                  <w:pPr>
                    <w:snapToGrid w:val="0"/>
                    <w:jc w:val="center"/>
                    <w:rPr>
                      <w:color w:val="auto"/>
                      <w:szCs w:val="21"/>
                      <w:highlight w:val="none"/>
                    </w:rPr>
                  </w:pPr>
                  <w:r>
                    <w:rPr>
                      <w:rFonts w:hint="eastAsia"/>
                      <w:color w:val="auto"/>
                      <w:szCs w:val="21"/>
                      <w:highlight w:val="none"/>
                    </w:rPr>
                    <w:t>产量</w:t>
                  </w:r>
                </w:p>
              </w:tc>
              <w:tc>
                <w:tcPr>
                  <w:tcW w:w="1423" w:type="dxa"/>
                  <w:tcBorders>
                    <w:tl2br w:val="nil"/>
                    <w:tr2bl w:val="nil"/>
                  </w:tcBorders>
                  <w:vAlign w:val="center"/>
                </w:tcPr>
                <w:p>
                  <w:pPr>
                    <w:snapToGrid w:val="0"/>
                    <w:jc w:val="center"/>
                    <w:rPr>
                      <w:color w:val="auto"/>
                      <w:szCs w:val="21"/>
                      <w:highlight w:val="none"/>
                    </w:rPr>
                  </w:pPr>
                  <w:r>
                    <w:rPr>
                      <w:rFonts w:hint="eastAsia"/>
                      <w:color w:val="auto"/>
                      <w:szCs w:val="21"/>
                      <w:highlight w:val="none"/>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7" w:hRule="atLeast"/>
                <w:tblHeader/>
                <w:jc w:val="center"/>
              </w:trPr>
              <w:tc>
                <w:tcPr>
                  <w:tcW w:w="8277" w:type="dxa"/>
                  <w:gridSpan w:val="4"/>
                  <w:tcBorders>
                    <w:tl2br w:val="nil"/>
                    <w:tr2bl w:val="nil"/>
                  </w:tcBorders>
                  <w:vAlign w:val="center"/>
                </w:tcPr>
                <w:p>
                  <w:pPr>
                    <w:snapToGrid w:val="0"/>
                    <w:jc w:val="center"/>
                    <w:rPr>
                      <w:color w:val="auto"/>
                      <w:szCs w:val="21"/>
                      <w:highlight w:val="none"/>
                    </w:rPr>
                  </w:pPr>
                  <w:r>
                    <w:rPr>
                      <w:rFonts w:hint="eastAsia"/>
                      <w:color w:val="auto"/>
                      <w:szCs w:val="21"/>
                      <w:highlight w:val="none"/>
                    </w:rPr>
                    <w:t>现有工程产品方案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7" w:hRule="atLeast"/>
                <w:tblHeader/>
                <w:jc w:val="center"/>
              </w:trPr>
              <w:tc>
                <w:tcPr>
                  <w:tcW w:w="1484" w:type="dxa"/>
                  <w:tcBorders>
                    <w:tl2br w:val="nil"/>
                    <w:tr2bl w:val="nil"/>
                  </w:tcBorders>
                  <w:vAlign w:val="center"/>
                </w:tcPr>
                <w:p>
                  <w:pPr>
                    <w:pStyle w:val="139"/>
                    <w:snapToGrid w:val="0"/>
                    <w:spacing w:line="240" w:lineRule="auto"/>
                    <w:rPr>
                      <w:color w:val="auto"/>
                      <w:szCs w:val="21"/>
                      <w:highlight w:val="none"/>
                    </w:rPr>
                  </w:pPr>
                  <w:r>
                    <w:rPr>
                      <w:rFonts w:ascii="Times New Roman"/>
                      <w:color w:val="auto"/>
                      <w:sz w:val="21"/>
                      <w:szCs w:val="21"/>
                      <w:highlight w:val="none"/>
                    </w:rPr>
                    <w:t>空心砖</w:t>
                  </w:r>
                </w:p>
              </w:tc>
              <w:tc>
                <w:tcPr>
                  <w:tcW w:w="3780" w:type="dxa"/>
                  <w:tcBorders>
                    <w:tl2br w:val="nil"/>
                    <w:tr2bl w:val="nil"/>
                  </w:tcBorders>
                  <w:vAlign w:val="center"/>
                </w:tcPr>
                <w:p>
                  <w:pPr>
                    <w:pStyle w:val="139"/>
                    <w:snapToGrid w:val="0"/>
                    <w:spacing w:line="240" w:lineRule="auto"/>
                    <w:rPr>
                      <w:color w:val="auto"/>
                      <w:szCs w:val="21"/>
                      <w:highlight w:val="none"/>
                    </w:rPr>
                  </w:pPr>
                  <w:r>
                    <w:rPr>
                      <w:rFonts w:ascii="Times New Roman"/>
                      <w:color w:val="auto"/>
                      <w:sz w:val="21"/>
                      <w:szCs w:val="21"/>
                      <w:highlight w:val="none"/>
                    </w:rPr>
                    <w:t>240×240×115mm（孔洞率≥35%）</w:t>
                  </w:r>
                </w:p>
              </w:tc>
              <w:tc>
                <w:tcPr>
                  <w:tcW w:w="1590" w:type="dxa"/>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折合一亿块页岩标砖</w:t>
                  </w:r>
                </w:p>
              </w:tc>
              <w:tc>
                <w:tcPr>
                  <w:tcW w:w="1423" w:type="dxa"/>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7" w:hRule="atLeast"/>
                <w:tblHeader/>
                <w:jc w:val="center"/>
              </w:trPr>
              <w:tc>
                <w:tcPr>
                  <w:tcW w:w="1484" w:type="dxa"/>
                  <w:tcBorders>
                    <w:tl2br w:val="nil"/>
                    <w:tr2bl w:val="nil"/>
                  </w:tcBorders>
                  <w:vAlign w:val="center"/>
                </w:tcPr>
                <w:p>
                  <w:pPr>
                    <w:pStyle w:val="139"/>
                    <w:snapToGrid w:val="0"/>
                    <w:spacing w:line="240" w:lineRule="auto"/>
                    <w:rPr>
                      <w:color w:val="auto"/>
                      <w:szCs w:val="21"/>
                      <w:highlight w:val="none"/>
                    </w:rPr>
                  </w:pPr>
                  <w:r>
                    <w:rPr>
                      <w:rFonts w:ascii="Times New Roman"/>
                      <w:color w:val="auto"/>
                      <w:sz w:val="21"/>
                      <w:szCs w:val="21"/>
                      <w:highlight w:val="none"/>
                    </w:rPr>
                    <w:t>多孔砖</w:t>
                  </w:r>
                </w:p>
              </w:tc>
              <w:tc>
                <w:tcPr>
                  <w:tcW w:w="3780" w:type="dxa"/>
                  <w:tcBorders>
                    <w:tl2br w:val="nil"/>
                    <w:tr2bl w:val="nil"/>
                  </w:tcBorders>
                  <w:vAlign w:val="center"/>
                </w:tcPr>
                <w:p>
                  <w:pPr>
                    <w:pStyle w:val="139"/>
                    <w:snapToGrid w:val="0"/>
                    <w:spacing w:line="240" w:lineRule="auto"/>
                    <w:rPr>
                      <w:color w:val="auto"/>
                      <w:szCs w:val="21"/>
                      <w:highlight w:val="none"/>
                    </w:rPr>
                  </w:pPr>
                  <w:r>
                    <w:rPr>
                      <w:rFonts w:ascii="Times New Roman"/>
                      <w:color w:val="auto"/>
                      <w:sz w:val="21"/>
                      <w:szCs w:val="21"/>
                      <w:highlight w:val="none"/>
                    </w:rPr>
                    <w:t>240×115×90mm（KP</w:t>
                  </w:r>
                  <w:r>
                    <w:rPr>
                      <w:rFonts w:ascii="Times New Roman"/>
                      <w:color w:val="auto"/>
                      <w:sz w:val="21"/>
                      <w:szCs w:val="21"/>
                      <w:highlight w:val="none"/>
                      <w:vertAlign w:val="subscript"/>
                    </w:rPr>
                    <w:t>1</w:t>
                  </w:r>
                  <w:r>
                    <w:rPr>
                      <w:rFonts w:ascii="Times New Roman"/>
                      <w:color w:val="auto"/>
                      <w:sz w:val="21"/>
                      <w:szCs w:val="21"/>
                      <w:highlight w:val="none"/>
                    </w:rPr>
                    <w:t>型、孔洞率≥25%）</w:t>
                  </w:r>
                </w:p>
              </w:tc>
              <w:tc>
                <w:tcPr>
                  <w:tcW w:w="1590" w:type="dxa"/>
                  <w:vMerge w:val="continue"/>
                  <w:tcBorders>
                    <w:tl2br w:val="nil"/>
                    <w:tr2bl w:val="nil"/>
                  </w:tcBorders>
                  <w:vAlign w:val="center"/>
                </w:tcPr>
                <w:p>
                  <w:pPr>
                    <w:snapToGrid w:val="0"/>
                    <w:jc w:val="center"/>
                    <w:rPr>
                      <w:color w:val="auto"/>
                      <w:szCs w:val="21"/>
                      <w:highlight w:val="none"/>
                    </w:rPr>
                  </w:pPr>
                </w:p>
              </w:tc>
              <w:tc>
                <w:tcPr>
                  <w:tcW w:w="1423" w:type="dxa"/>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7" w:hRule="atLeast"/>
                <w:tblHeader/>
                <w:jc w:val="center"/>
              </w:trPr>
              <w:tc>
                <w:tcPr>
                  <w:tcW w:w="1484" w:type="dxa"/>
                  <w:tcBorders>
                    <w:tl2br w:val="nil"/>
                    <w:tr2bl w:val="nil"/>
                  </w:tcBorders>
                  <w:vAlign w:val="center"/>
                </w:tcPr>
                <w:p>
                  <w:pPr>
                    <w:pStyle w:val="139"/>
                    <w:snapToGrid w:val="0"/>
                    <w:spacing w:line="240" w:lineRule="auto"/>
                    <w:rPr>
                      <w:color w:val="auto"/>
                      <w:szCs w:val="21"/>
                      <w:highlight w:val="none"/>
                    </w:rPr>
                  </w:pPr>
                  <w:r>
                    <w:rPr>
                      <w:rFonts w:ascii="Times New Roman"/>
                      <w:color w:val="auto"/>
                      <w:sz w:val="21"/>
                      <w:szCs w:val="21"/>
                      <w:highlight w:val="none"/>
                    </w:rPr>
                    <w:t>标准砖</w:t>
                  </w:r>
                </w:p>
              </w:tc>
              <w:tc>
                <w:tcPr>
                  <w:tcW w:w="3780" w:type="dxa"/>
                  <w:tcBorders>
                    <w:tl2br w:val="nil"/>
                    <w:tr2bl w:val="nil"/>
                  </w:tcBorders>
                  <w:vAlign w:val="center"/>
                </w:tcPr>
                <w:p>
                  <w:pPr>
                    <w:pStyle w:val="139"/>
                    <w:snapToGrid w:val="0"/>
                    <w:spacing w:line="240" w:lineRule="auto"/>
                    <w:rPr>
                      <w:color w:val="auto"/>
                      <w:szCs w:val="21"/>
                      <w:highlight w:val="none"/>
                    </w:rPr>
                  </w:pPr>
                  <w:r>
                    <w:rPr>
                      <w:rFonts w:ascii="Times New Roman"/>
                      <w:color w:val="auto"/>
                      <w:sz w:val="21"/>
                      <w:szCs w:val="21"/>
                      <w:highlight w:val="none"/>
                    </w:rPr>
                    <w:t>240×115×53mm</w:t>
                  </w:r>
                </w:p>
              </w:tc>
              <w:tc>
                <w:tcPr>
                  <w:tcW w:w="1590" w:type="dxa"/>
                  <w:vMerge w:val="continue"/>
                  <w:tcBorders>
                    <w:tl2br w:val="nil"/>
                    <w:tr2bl w:val="nil"/>
                  </w:tcBorders>
                  <w:vAlign w:val="center"/>
                </w:tcPr>
                <w:p>
                  <w:pPr>
                    <w:snapToGrid w:val="0"/>
                    <w:jc w:val="center"/>
                    <w:rPr>
                      <w:color w:val="auto"/>
                      <w:szCs w:val="21"/>
                      <w:highlight w:val="none"/>
                    </w:rPr>
                  </w:pPr>
                </w:p>
              </w:tc>
              <w:tc>
                <w:tcPr>
                  <w:tcW w:w="1423" w:type="dxa"/>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7" w:hRule="atLeast"/>
                <w:tblHeader/>
                <w:jc w:val="center"/>
              </w:trPr>
              <w:tc>
                <w:tcPr>
                  <w:tcW w:w="8277" w:type="dxa"/>
                  <w:gridSpan w:val="4"/>
                  <w:tcBorders>
                    <w:tl2br w:val="nil"/>
                    <w:tr2bl w:val="nil"/>
                  </w:tcBorders>
                  <w:vAlign w:val="center"/>
                </w:tcPr>
                <w:p>
                  <w:pPr>
                    <w:snapToGrid w:val="0"/>
                    <w:jc w:val="center"/>
                    <w:rPr>
                      <w:color w:val="auto"/>
                      <w:szCs w:val="21"/>
                      <w:highlight w:val="none"/>
                    </w:rPr>
                  </w:pPr>
                  <w:r>
                    <w:rPr>
                      <w:rFonts w:hint="eastAsia"/>
                      <w:color w:val="auto"/>
                      <w:szCs w:val="21"/>
                      <w:highlight w:val="none"/>
                    </w:rPr>
                    <w:t>扩建工程产品方案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2" w:hRule="atLeast"/>
                <w:tblHeader/>
                <w:jc w:val="center"/>
              </w:trPr>
              <w:tc>
                <w:tcPr>
                  <w:tcW w:w="1484" w:type="dxa"/>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成品</w:t>
                  </w:r>
                  <w:r>
                    <w:rPr>
                      <w:rFonts w:hint="eastAsia"/>
                      <w:color w:val="auto"/>
                      <w:szCs w:val="21"/>
                      <w:highlight w:val="none"/>
                      <w:lang w:eastAsia="zh-CN"/>
                    </w:rPr>
                    <w:t>砂</w:t>
                  </w:r>
                </w:p>
              </w:tc>
              <w:tc>
                <w:tcPr>
                  <w:tcW w:w="3780" w:type="dxa"/>
                  <w:tcBorders>
                    <w:tl2br w:val="nil"/>
                    <w:tr2bl w:val="nil"/>
                  </w:tcBorders>
                  <w:vAlign w:val="center"/>
                </w:tcPr>
                <w:p>
                  <w:pPr>
                    <w:snapToGrid w:val="0"/>
                    <w:jc w:val="center"/>
                    <w:rPr>
                      <w:color w:val="auto"/>
                      <w:szCs w:val="21"/>
                      <w:highlight w:val="none"/>
                    </w:rPr>
                  </w:pPr>
                  <w:r>
                    <w:rPr>
                      <w:rFonts w:hint="eastAsia"/>
                      <w:color w:val="auto"/>
                      <w:szCs w:val="21"/>
                      <w:highlight w:val="none"/>
                    </w:rPr>
                    <w:t>0~0.3mm</w:t>
                  </w:r>
                </w:p>
              </w:tc>
              <w:tc>
                <w:tcPr>
                  <w:tcW w:w="1590" w:type="dxa"/>
                  <w:tcBorders>
                    <w:tl2br w:val="nil"/>
                    <w:tr2bl w:val="nil"/>
                  </w:tcBorders>
                  <w:vAlign w:val="center"/>
                </w:tcPr>
                <w:p>
                  <w:pPr>
                    <w:snapToGrid w:val="0"/>
                    <w:jc w:val="center"/>
                    <w:rPr>
                      <w:color w:val="auto"/>
                      <w:szCs w:val="21"/>
                      <w:highlight w:val="none"/>
                    </w:rPr>
                  </w:pPr>
                  <w:r>
                    <w:rPr>
                      <w:rFonts w:hint="eastAsia"/>
                      <w:color w:val="auto"/>
                      <w:szCs w:val="21"/>
                      <w:highlight w:val="none"/>
                    </w:rPr>
                    <w:t>18万t/a</w:t>
                  </w:r>
                </w:p>
              </w:tc>
              <w:tc>
                <w:tcPr>
                  <w:tcW w:w="1423" w:type="dxa"/>
                  <w:tcBorders>
                    <w:tl2br w:val="nil"/>
                    <w:tr2bl w:val="nil"/>
                  </w:tcBorders>
                  <w:vAlign w:val="center"/>
                </w:tcPr>
                <w:p>
                  <w:pPr>
                    <w:snapToGrid w:val="0"/>
                    <w:jc w:val="center"/>
                    <w:rPr>
                      <w:color w:val="auto"/>
                      <w:szCs w:val="21"/>
                      <w:highlight w:val="none"/>
                    </w:rPr>
                  </w:pPr>
                  <w:r>
                    <w:rPr>
                      <w:rFonts w:hint="eastAsia"/>
                      <w:color w:val="auto"/>
                      <w:szCs w:val="21"/>
                      <w:highlight w:val="none"/>
                    </w:rPr>
                    <w:t>细</w:t>
                  </w:r>
                  <w:r>
                    <w:rPr>
                      <w:rFonts w:hint="eastAsia"/>
                      <w:color w:val="auto"/>
                      <w:szCs w:val="21"/>
                      <w:highlight w:val="none"/>
                      <w:lang w:eastAsia="zh-CN"/>
                    </w:rPr>
                    <w:t>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1484" w:type="dxa"/>
                  <w:vMerge w:val="continue"/>
                  <w:tcBorders>
                    <w:tl2br w:val="nil"/>
                    <w:tr2bl w:val="nil"/>
                  </w:tcBorders>
                  <w:vAlign w:val="center"/>
                </w:tcPr>
                <w:p>
                  <w:pPr>
                    <w:snapToGrid w:val="0"/>
                    <w:jc w:val="center"/>
                    <w:rPr>
                      <w:color w:val="auto"/>
                      <w:szCs w:val="21"/>
                      <w:highlight w:val="none"/>
                    </w:rPr>
                  </w:pPr>
                </w:p>
              </w:tc>
              <w:tc>
                <w:tcPr>
                  <w:tcW w:w="3780" w:type="dxa"/>
                  <w:tcBorders>
                    <w:tl2br w:val="nil"/>
                    <w:tr2bl w:val="nil"/>
                  </w:tcBorders>
                  <w:vAlign w:val="center"/>
                </w:tcPr>
                <w:p>
                  <w:pPr>
                    <w:snapToGrid w:val="0"/>
                    <w:jc w:val="center"/>
                    <w:rPr>
                      <w:color w:val="auto"/>
                      <w:szCs w:val="21"/>
                      <w:highlight w:val="none"/>
                    </w:rPr>
                  </w:pPr>
                  <w:r>
                    <w:rPr>
                      <w:rFonts w:hint="eastAsia"/>
                      <w:color w:val="auto"/>
                      <w:szCs w:val="21"/>
                      <w:highlight w:val="none"/>
                    </w:rPr>
                    <w:t>0.3~15mm</w:t>
                  </w:r>
                </w:p>
              </w:tc>
              <w:tc>
                <w:tcPr>
                  <w:tcW w:w="1590" w:type="dxa"/>
                  <w:tcBorders>
                    <w:tl2br w:val="nil"/>
                    <w:tr2bl w:val="nil"/>
                  </w:tcBorders>
                  <w:vAlign w:val="center"/>
                </w:tcPr>
                <w:p>
                  <w:pPr>
                    <w:snapToGrid w:val="0"/>
                    <w:jc w:val="center"/>
                    <w:rPr>
                      <w:color w:val="auto"/>
                      <w:szCs w:val="21"/>
                      <w:highlight w:val="none"/>
                    </w:rPr>
                  </w:pPr>
                  <w:r>
                    <w:rPr>
                      <w:rFonts w:hint="eastAsia"/>
                      <w:color w:val="auto"/>
                      <w:szCs w:val="21"/>
                      <w:highlight w:val="none"/>
                    </w:rPr>
                    <w:t>2万t/a</w:t>
                  </w:r>
                </w:p>
              </w:tc>
              <w:tc>
                <w:tcPr>
                  <w:tcW w:w="1423" w:type="dxa"/>
                  <w:tcBorders>
                    <w:tl2br w:val="nil"/>
                    <w:tr2bl w:val="nil"/>
                  </w:tcBorders>
                  <w:vAlign w:val="center"/>
                </w:tcPr>
                <w:p>
                  <w:pPr>
                    <w:snapToGrid w:val="0"/>
                    <w:jc w:val="center"/>
                    <w:rPr>
                      <w:color w:val="auto"/>
                      <w:szCs w:val="21"/>
                      <w:highlight w:val="none"/>
                    </w:rPr>
                  </w:pPr>
                  <w:r>
                    <w:rPr>
                      <w:rFonts w:hint="eastAsia"/>
                      <w:color w:val="auto"/>
                      <w:szCs w:val="21"/>
                      <w:highlight w:val="none"/>
                    </w:rPr>
                    <w:t>粗</w:t>
                  </w:r>
                  <w:r>
                    <w:rPr>
                      <w:rFonts w:hint="eastAsia"/>
                      <w:color w:val="auto"/>
                      <w:szCs w:val="21"/>
                      <w:highlight w:val="none"/>
                      <w:lang w:eastAsia="zh-CN"/>
                    </w:rPr>
                    <w:t>砂</w:t>
                  </w:r>
                </w:p>
              </w:tc>
            </w:tr>
          </w:tbl>
          <w:p>
            <w:pPr>
              <w:adjustRightInd w:val="0"/>
              <w:snapToGrid w:val="0"/>
              <w:spacing w:line="360" w:lineRule="auto"/>
              <w:ind w:firstLine="480" w:firstLineChars="200"/>
              <w:rPr>
                <w:color w:val="auto"/>
                <w:sz w:val="24"/>
                <w:szCs w:val="32"/>
                <w:highlight w:val="none"/>
              </w:rPr>
            </w:pPr>
            <w:r>
              <w:rPr>
                <w:rFonts w:hint="eastAsia"/>
                <w:color w:val="auto"/>
                <w:sz w:val="24"/>
                <w:szCs w:val="32"/>
                <w:highlight w:val="none"/>
              </w:rPr>
              <w:t>4、</w:t>
            </w:r>
            <w:r>
              <w:rPr>
                <w:color w:val="auto"/>
                <w:sz w:val="24"/>
                <w:szCs w:val="32"/>
                <w:highlight w:val="none"/>
              </w:rPr>
              <w:t>主要设备</w:t>
            </w:r>
          </w:p>
          <w:p>
            <w:pPr>
              <w:spacing w:line="360" w:lineRule="auto"/>
              <w:ind w:firstLine="480" w:firstLineChars="200"/>
              <w:rPr>
                <w:color w:val="auto"/>
                <w:sz w:val="24"/>
                <w:szCs w:val="32"/>
                <w:highlight w:val="none"/>
              </w:rPr>
            </w:pPr>
            <w:r>
              <w:rPr>
                <w:rFonts w:hint="eastAsia"/>
                <w:color w:val="auto"/>
                <w:sz w:val="24"/>
                <w:szCs w:val="32"/>
                <w:highlight w:val="none"/>
              </w:rPr>
              <w:t>根据建设单位负责人介绍，本次扩建无依托或利旧设备，泥</w:t>
            </w:r>
            <w:r>
              <w:rPr>
                <w:rFonts w:hint="eastAsia"/>
                <w:color w:val="auto"/>
                <w:sz w:val="24"/>
                <w:szCs w:val="32"/>
                <w:highlight w:val="none"/>
                <w:lang w:eastAsia="zh-CN"/>
              </w:rPr>
              <w:t>砂</w:t>
            </w:r>
            <w:r>
              <w:rPr>
                <w:rFonts w:hint="eastAsia"/>
                <w:color w:val="auto"/>
                <w:sz w:val="24"/>
                <w:szCs w:val="32"/>
                <w:highlight w:val="none"/>
              </w:rPr>
              <w:t>分离生产线设备均新增，具体见下表</w:t>
            </w:r>
            <w:r>
              <w:rPr>
                <w:color w:val="auto"/>
                <w:sz w:val="24"/>
                <w:szCs w:val="32"/>
                <w:highlight w:val="none"/>
              </w:rPr>
              <w:t>：</w:t>
            </w:r>
          </w:p>
          <w:p>
            <w:pPr>
              <w:adjustRightInd w:val="0"/>
              <w:snapToGrid w:val="0"/>
              <w:jc w:val="center"/>
              <w:rPr>
                <w:b/>
                <w:bCs/>
                <w:color w:val="auto"/>
                <w:highlight w:val="none"/>
              </w:rPr>
            </w:pPr>
            <w:r>
              <w:rPr>
                <w:b/>
                <w:bCs/>
                <w:color w:val="auto"/>
                <w:highlight w:val="none"/>
              </w:rPr>
              <w:t>表2-</w:t>
            </w:r>
            <w:r>
              <w:rPr>
                <w:rFonts w:hint="eastAsia"/>
                <w:b/>
                <w:bCs/>
                <w:color w:val="auto"/>
                <w:highlight w:val="none"/>
              </w:rPr>
              <w:t>3</w:t>
            </w:r>
            <w:r>
              <w:rPr>
                <w:b/>
                <w:bCs/>
                <w:color w:val="auto"/>
                <w:highlight w:val="none"/>
              </w:rPr>
              <w:t xml:space="preserve">  </w:t>
            </w:r>
            <w:r>
              <w:rPr>
                <w:rFonts w:hint="eastAsia"/>
                <w:b/>
                <w:bCs/>
                <w:color w:val="auto"/>
                <w:highlight w:val="none"/>
              </w:rPr>
              <w:t>本次扩建新增设备（设施）</w:t>
            </w:r>
            <w:r>
              <w:rPr>
                <w:b/>
                <w:bCs/>
                <w:color w:val="auto"/>
                <w:highlight w:val="none"/>
              </w:rPr>
              <w:t>一览表</w:t>
            </w:r>
          </w:p>
          <w:tbl>
            <w:tblPr>
              <w:tblStyle w:val="34"/>
              <w:tblW w:w="8322"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639"/>
              <w:gridCol w:w="3700"/>
              <w:gridCol w:w="2983"/>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9" w:type="dxa"/>
                  <w:tcBorders>
                    <w:tl2br w:val="nil"/>
                    <w:tr2bl w:val="nil"/>
                  </w:tcBorders>
                  <w:vAlign w:val="center"/>
                </w:tcPr>
                <w:p>
                  <w:pPr>
                    <w:snapToGrid w:val="0"/>
                    <w:jc w:val="center"/>
                    <w:rPr>
                      <w:color w:val="auto"/>
                      <w:szCs w:val="21"/>
                      <w:highlight w:val="none"/>
                    </w:rPr>
                  </w:pPr>
                  <w:r>
                    <w:rPr>
                      <w:color w:val="auto"/>
                      <w:szCs w:val="21"/>
                      <w:highlight w:val="none"/>
                    </w:rPr>
                    <w:t>序号</w:t>
                  </w:r>
                </w:p>
              </w:tc>
              <w:tc>
                <w:tcPr>
                  <w:tcW w:w="3700" w:type="dxa"/>
                  <w:tcBorders>
                    <w:tl2br w:val="nil"/>
                    <w:tr2bl w:val="nil"/>
                  </w:tcBorders>
                  <w:vAlign w:val="center"/>
                </w:tcPr>
                <w:p>
                  <w:pPr>
                    <w:snapToGrid w:val="0"/>
                    <w:jc w:val="center"/>
                    <w:rPr>
                      <w:color w:val="auto"/>
                      <w:szCs w:val="21"/>
                      <w:highlight w:val="none"/>
                    </w:rPr>
                  </w:pPr>
                  <w:r>
                    <w:rPr>
                      <w:color w:val="auto"/>
                      <w:szCs w:val="21"/>
                      <w:highlight w:val="none"/>
                    </w:rPr>
                    <w:t>设备名称</w:t>
                  </w:r>
                </w:p>
              </w:tc>
              <w:tc>
                <w:tcPr>
                  <w:tcW w:w="2983" w:type="dxa"/>
                  <w:tcBorders>
                    <w:tl2br w:val="nil"/>
                    <w:tr2bl w:val="nil"/>
                  </w:tcBorders>
                  <w:vAlign w:val="center"/>
                </w:tcPr>
                <w:p>
                  <w:pPr>
                    <w:snapToGrid w:val="0"/>
                    <w:jc w:val="center"/>
                    <w:rPr>
                      <w:color w:val="auto"/>
                      <w:szCs w:val="21"/>
                      <w:highlight w:val="none"/>
                    </w:rPr>
                  </w:pPr>
                  <w:r>
                    <w:rPr>
                      <w:color w:val="auto"/>
                      <w:szCs w:val="21"/>
                      <w:highlight w:val="none"/>
                    </w:rPr>
                    <w:t>数量</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8322" w:type="dxa"/>
                  <w:gridSpan w:val="3"/>
                  <w:tcBorders>
                    <w:tl2br w:val="nil"/>
                    <w:tr2bl w:val="nil"/>
                  </w:tcBorders>
                  <w:vAlign w:val="center"/>
                </w:tcPr>
                <w:p>
                  <w:pPr>
                    <w:snapToGrid w:val="0"/>
                    <w:jc w:val="center"/>
                    <w:rPr>
                      <w:color w:val="auto"/>
                      <w:szCs w:val="21"/>
                      <w:highlight w:val="none"/>
                    </w:rPr>
                  </w:pPr>
                  <w:r>
                    <w:rPr>
                      <w:rFonts w:hint="eastAsia"/>
                      <w:color w:val="auto"/>
                      <w:szCs w:val="21"/>
                      <w:highlight w:val="none"/>
                    </w:rPr>
                    <w:t>加工区</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9" w:type="dxa"/>
                  <w:tcBorders>
                    <w:tl2br w:val="nil"/>
                    <w:tr2bl w:val="nil"/>
                  </w:tcBorders>
                  <w:vAlign w:val="center"/>
                </w:tcPr>
                <w:p>
                  <w:pPr>
                    <w:snapToGrid w:val="0"/>
                    <w:jc w:val="center"/>
                    <w:rPr>
                      <w:color w:val="auto"/>
                      <w:szCs w:val="21"/>
                      <w:highlight w:val="none"/>
                    </w:rPr>
                  </w:pPr>
                  <w:r>
                    <w:rPr>
                      <w:rFonts w:hint="eastAsia"/>
                      <w:color w:val="auto"/>
                      <w:szCs w:val="21"/>
                      <w:highlight w:val="none"/>
                    </w:rPr>
                    <w:t>1</w:t>
                  </w:r>
                </w:p>
              </w:tc>
              <w:tc>
                <w:tcPr>
                  <w:tcW w:w="3700"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分离筛</w:t>
                  </w:r>
                </w:p>
              </w:tc>
              <w:tc>
                <w:tcPr>
                  <w:tcW w:w="2983"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1个</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9" w:type="dxa"/>
                  <w:tcBorders>
                    <w:tl2br w:val="nil"/>
                    <w:tr2bl w:val="nil"/>
                  </w:tcBorders>
                  <w:vAlign w:val="center"/>
                </w:tcPr>
                <w:p>
                  <w:pPr>
                    <w:snapToGrid w:val="0"/>
                    <w:jc w:val="center"/>
                    <w:rPr>
                      <w:color w:val="auto"/>
                      <w:szCs w:val="21"/>
                      <w:highlight w:val="none"/>
                    </w:rPr>
                  </w:pPr>
                  <w:r>
                    <w:rPr>
                      <w:rFonts w:hint="eastAsia"/>
                      <w:color w:val="auto"/>
                      <w:szCs w:val="21"/>
                      <w:highlight w:val="none"/>
                    </w:rPr>
                    <w:t>2</w:t>
                  </w:r>
                </w:p>
              </w:tc>
              <w:tc>
                <w:tcPr>
                  <w:tcW w:w="3700"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水轮式洗</w:t>
                  </w:r>
                  <w:r>
                    <w:rPr>
                      <w:rFonts w:hint="eastAsia"/>
                      <w:color w:val="auto"/>
                      <w:szCs w:val="21"/>
                      <w:highlight w:val="none"/>
                      <w:lang w:eastAsia="zh-CN"/>
                    </w:rPr>
                    <w:t>砂</w:t>
                  </w:r>
                  <w:r>
                    <w:rPr>
                      <w:rFonts w:hint="eastAsia"/>
                      <w:color w:val="auto"/>
                      <w:szCs w:val="21"/>
                      <w:highlight w:val="none"/>
                    </w:rPr>
                    <w:t>机</w:t>
                  </w:r>
                </w:p>
              </w:tc>
              <w:tc>
                <w:tcPr>
                  <w:tcW w:w="2983"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1台</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9" w:type="dxa"/>
                  <w:tcBorders>
                    <w:tl2br w:val="nil"/>
                    <w:tr2bl w:val="nil"/>
                  </w:tcBorders>
                  <w:vAlign w:val="center"/>
                </w:tcPr>
                <w:p>
                  <w:pPr>
                    <w:snapToGrid w:val="0"/>
                    <w:jc w:val="center"/>
                    <w:rPr>
                      <w:color w:val="auto"/>
                      <w:szCs w:val="21"/>
                      <w:highlight w:val="none"/>
                    </w:rPr>
                  </w:pPr>
                  <w:r>
                    <w:rPr>
                      <w:rFonts w:hint="eastAsia"/>
                      <w:color w:val="auto"/>
                      <w:szCs w:val="21"/>
                      <w:highlight w:val="none"/>
                    </w:rPr>
                    <w:t>3</w:t>
                  </w:r>
                </w:p>
              </w:tc>
              <w:tc>
                <w:tcPr>
                  <w:tcW w:w="3700"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脱水筛（2040型）</w:t>
                  </w:r>
                </w:p>
              </w:tc>
              <w:tc>
                <w:tcPr>
                  <w:tcW w:w="2983"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1个</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8322" w:type="dxa"/>
                  <w:gridSpan w:val="3"/>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污水处理区</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9" w:type="dxa"/>
                  <w:tcBorders>
                    <w:tl2br w:val="nil"/>
                    <w:tr2bl w:val="nil"/>
                  </w:tcBorders>
                  <w:vAlign w:val="center"/>
                </w:tcPr>
                <w:p>
                  <w:pPr>
                    <w:snapToGrid w:val="0"/>
                    <w:jc w:val="center"/>
                    <w:rPr>
                      <w:color w:val="auto"/>
                      <w:szCs w:val="21"/>
                      <w:highlight w:val="none"/>
                    </w:rPr>
                  </w:pPr>
                  <w:r>
                    <w:rPr>
                      <w:rFonts w:hint="eastAsia"/>
                      <w:color w:val="auto"/>
                      <w:szCs w:val="21"/>
                      <w:highlight w:val="none"/>
                    </w:rPr>
                    <w:t>4</w:t>
                  </w:r>
                </w:p>
              </w:tc>
              <w:tc>
                <w:tcPr>
                  <w:tcW w:w="3700"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污水罐（100m</w:t>
                  </w:r>
                  <w:r>
                    <w:rPr>
                      <w:rFonts w:hint="eastAsia"/>
                      <w:color w:val="auto"/>
                      <w:szCs w:val="21"/>
                      <w:highlight w:val="none"/>
                      <w:vertAlign w:val="superscript"/>
                    </w:rPr>
                    <w:t>3</w:t>
                  </w:r>
                  <w:r>
                    <w:rPr>
                      <w:rFonts w:hint="eastAsia"/>
                      <w:color w:val="auto"/>
                      <w:szCs w:val="21"/>
                      <w:highlight w:val="none"/>
                    </w:rPr>
                    <w:t>）</w:t>
                  </w:r>
                </w:p>
              </w:tc>
              <w:tc>
                <w:tcPr>
                  <w:tcW w:w="2983" w:type="dxa"/>
                  <w:tcBorders>
                    <w:tl2br w:val="nil"/>
                    <w:tr2bl w:val="nil"/>
                  </w:tcBorders>
                </w:tcPr>
                <w:p>
                  <w:pPr>
                    <w:widowControl/>
                    <w:jc w:val="center"/>
                    <w:textAlignment w:val="center"/>
                    <w:rPr>
                      <w:color w:val="auto"/>
                      <w:szCs w:val="21"/>
                      <w:highlight w:val="none"/>
                    </w:rPr>
                  </w:pPr>
                  <w:r>
                    <w:rPr>
                      <w:rFonts w:hint="eastAsia"/>
                      <w:color w:val="auto"/>
                      <w:szCs w:val="21"/>
                      <w:highlight w:val="none"/>
                    </w:rPr>
                    <w:t>1个</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9" w:type="dxa"/>
                  <w:tcBorders>
                    <w:tl2br w:val="nil"/>
                    <w:tr2bl w:val="nil"/>
                  </w:tcBorders>
                  <w:vAlign w:val="center"/>
                </w:tcPr>
                <w:p>
                  <w:pPr>
                    <w:snapToGrid w:val="0"/>
                    <w:jc w:val="center"/>
                    <w:rPr>
                      <w:color w:val="auto"/>
                      <w:szCs w:val="21"/>
                      <w:highlight w:val="none"/>
                    </w:rPr>
                  </w:pPr>
                  <w:r>
                    <w:rPr>
                      <w:rFonts w:hint="eastAsia"/>
                      <w:color w:val="auto"/>
                      <w:szCs w:val="21"/>
                      <w:highlight w:val="none"/>
                    </w:rPr>
                    <w:t>5</w:t>
                  </w:r>
                </w:p>
              </w:tc>
              <w:tc>
                <w:tcPr>
                  <w:tcW w:w="3700"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带式压滤机</w:t>
                  </w:r>
                </w:p>
              </w:tc>
              <w:tc>
                <w:tcPr>
                  <w:tcW w:w="2983" w:type="dxa"/>
                  <w:tcBorders>
                    <w:tl2br w:val="nil"/>
                    <w:tr2bl w:val="nil"/>
                  </w:tcBorders>
                </w:tcPr>
                <w:p>
                  <w:pPr>
                    <w:widowControl/>
                    <w:jc w:val="center"/>
                    <w:textAlignment w:val="center"/>
                    <w:rPr>
                      <w:color w:val="auto"/>
                      <w:szCs w:val="21"/>
                      <w:highlight w:val="none"/>
                    </w:rPr>
                  </w:pPr>
                  <w:r>
                    <w:rPr>
                      <w:rFonts w:hint="eastAsia"/>
                      <w:color w:val="auto"/>
                      <w:szCs w:val="21"/>
                      <w:highlight w:val="none"/>
                    </w:rPr>
                    <w:t>1台</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9" w:type="dxa"/>
                  <w:tcBorders>
                    <w:tl2br w:val="nil"/>
                    <w:tr2bl w:val="nil"/>
                  </w:tcBorders>
                  <w:vAlign w:val="center"/>
                </w:tcPr>
                <w:p>
                  <w:pPr>
                    <w:snapToGrid w:val="0"/>
                    <w:jc w:val="center"/>
                    <w:rPr>
                      <w:color w:val="auto"/>
                      <w:szCs w:val="21"/>
                      <w:highlight w:val="none"/>
                    </w:rPr>
                  </w:pPr>
                  <w:r>
                    <w:rPr>
                      <w:rFonts w:hint="eastAsia"/>
                      <w:color w:val="auto"/>
                      <w:szCs w:val="21"/>
                      <w:highlight w:val="none"/>
                    </w:rPr>
                    <w:t>6</w:t>
                  </w:r>
                </w:p>
              </w:tc>
              <w:tc>
                <w:tcPr>
                  <w:tcW w:w="3700"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清水池（120m</w:t>
                  </w:r>
                  <w:r>
                    <w:rPr>
                      <w:rFonts w:hint="eastAsia"/>
                      <w:color w:val="auto"/>
                      <w:szCs w:val="21"/>
                      <w:highlight w:val="none"/>
                      <w:vertAlign w:val="superscript"/>
                    </w:rPr>
                    <w:t>3</w:t>
                  </w:r>
                  <w:r>
                    <w:rPr>
                      <w:rFonts w:hint="eastAsia"/>
                      <w:color w:val="auto"/>
                      <w:szCs w:val="21"/>
                      <w:highlight w:val="none"/>
                    </w:rPr>
                    <w:t>）</w:t>
                  </w:r>
                </w:p>
              </w:tc>
              <w:tc>
                <w:tcPr>
                  <w:tcW w:w="2983" w:type="dxa"/>
                  <w:tcBorders>
                    <w:tl2br w:val="nil"/>
                    <w:tr2bl w:val="nil"/>
                  </w:tcBorders>
                </w:tcPr>
                <w:p>
                  <w:pPr>
                    <w:widowControl/>
                    <w:jc w:val="center"/>
                    <w:textAlignment w:val="center"/>
                    <w:rPr>
                      <w:color w:val="auto"/>
                      <w:szCs w:val="21"/>
                      <w:highlight w:val="none"/>
                    </w:rPr>
                  </w:pPr>
                  <w:r>
                    <w:rPr>
                      <w:rFonts w:hint="eastAsia"/>
                      <w:color w:val="auto"/>
                      <w:szCs w:val="21"/>
                      <w:highlight w:val="none"/>
                    </w:rPr>
                    <w:t>1个</w:t>
                  </w:r>
                </w:p>
              </w:tc>
            </w:tr>
          </w:tbl>
          <w:p>
            <w:pPr>
              <w:spacing w:line="360" w:lineRule="auto"/>
              <w:ind w:firstLine="480" w:firstLineChars="200"/>
              <w:rPr>
                <w:color w:val="auto"/>
                <w:sz w:val="24"/>
                <w:szCs w:val="32"/>
                <w:highlight w:val="none"/>
              </w:rPr>
            </w:pPr>
            <w:r>
              <w:rPr>
                <w:rFonts w:hint="eastAsia"/>
                <w:color w:val="auto"/>
                <w:sz w:val="24"/>
                <w:szCs w:val="32"/>
                <w:highlight w:val="none"/>
              </w:rPr>
              <w:t>5</w:t>
            </w:r>
            <w:r>
              <w:rPr>
                <w:color w:val="auto"/>
                <w:sz w:val="24"/>
                <w:szCs w:val="32"/>
                <w:highlight w:val="none"/>
              </w:rPr>
              <w:t>、原辅材料消耗</w:t>
            </w:r>
          </w:p>
          <w:p>
            <w:pPr>
              <w:spacing w:line="360" w:lineRule="auto"/>
              <w:ind w:firstLine="480" w:firstLineChars="200"/>
              <w:rPr>
                <w:b/>
                <w:bCs/>
                <w:color w:val="auto"/>
                <w:highlight w:val="none"/>
              </w:rPr>
            </w:pPr>
            <w:r>
              <w:rPr>
                <w:rFonts w:hint="eastAsia" w:hAnsi="宋体"/>
                <w:color w:val="auto"/>
                <w:sz w:val="24"/>
                <w:highlight w:val="none"/>
              </w:rPr>
              <w:t>根据现场调查以及建设单位负责人介绍，现有工程主要原辅料种类与本次扩建项目原辅料种类不一致，共性的原辅材料</w:t>
            </w:r>
            <w:r>
              <w:rPr>
                <w:rFonts w:hint="eastAsia" w:hAnsi="宋体"/>
                <w:color w:val="auto"/>
                <w:sz w:val="24"/>
                <w:highlight w:val="none"/>
                <w:lang w:eastAsia="zh-CN"/>
              </w:rPr>
              <w:t>主要为水和润滑油，</w:t>
            </w:r>
            <w:r>
              <w:rPr>
                <w:rFonts w:hint="eastAsia" w:hAnsi="宋体"/>
                <w:color w:val="auto"/>
                <w:sz w:val="24"/>
                <w:highlight w:val="none"/>
              </w:rPr>
              <w:t>下表</w:t>
            </w:r>
            <w:r>
              <w:rPr>
                <w:rFonts w:hint="eastAsia" w:hAnsi="宋体"/>
                <w:color w:val="auto"/>
                <w:sz w:val="24"/>
                <w:highlight w:val="none"/>
                <w:lang w:eastAsia="zh-CN"/>
              </w:rPr>
              <w:t>为</w:t>
            </w:r>
            <w:r>
              <w:rPr>
                <w:rFonts w:hint="eastAsia" w:hAnsi="宋体"/>
                <w:color w:val="auto"/>
                <w:sz w:val="24"/>
                <w:highlight w:val="none"/>
              </w:rPr>
              <w:t>现有工程和扩建工程原辅料消耗情况</w:t>
            </w:r>
            <w:r>
              <w:rPr>
                <w:rFonts w:hint="eastAsia"/>
                <w:color w:val="auto"/>
                <w:sz w:val="24"/>
                <w:szCs w:val="32"/>
                <w:highlight w:val="none"/>
              </w:rPr>
              <w:t>：</w:t>
            </w:r>
          </w:p>
          <w:p>
            <w:pPr>
              <w:jc w:val="center"/>
              <w:rPr>
                <w:b/>
                <w:bCs/>
                <w:color w:val="auto"/>
                <w:highlight w:val="none"/>
              </w:rPr>
            </w:pPr>
          </w:p>
          <w:p>
            <w:pPr>
              <w:jc w:val="center"/>
              <w:rPr>
                <w:b/>
                <w:bCs/>
                <w:color w:val="auto"/>
                <w:highlight w:val="none"/>
              </w:rPr>
            </w:pPr>
          </w:p>
          <w:p>
            <w:pPr>
              <w:jc w:val="center"/>
              <w:rPr>
                <w:color w:val="auto"/>
                <w:highlight w:val="none"/>
              </w:rPr>
            </w:pPr>
            <w:r>
              <w:rPr>
                <w:b/>
                <w:bCs/>
                <w:color w:val="auto"/>
                <w:highlight w:val="none"/>
              </w:rPr>
              <w:t>表</w:t>
            </w:r>
            <w:r>
              <w:rPr>
                <w:rFonts w:hint="eastAsia"/>
                <w:b/>
                <w:bCs/>
                <w:color w:val="auto"/>
                <w:highlight w:val="none"/>
              </w:rPr>
              <w:t>2-4</w:t>
            </w:r>
            <w:r>
              <w:rPr>
                <w:b/>
                <w:bCs/>
                <w:color w:val="auto"/>
                <w:highlight w:val="none"/>
              </w:rPr>
              <w:t xml:space="preserve">  </w:t>
            </w:r>
            <w:r>
              <w:rPr>
                <w:rFonts w:hint="eastAsia"/>
                <w:b/>
                <w:bCs/>
                <w:color w:val="auto"/>
                <w:highlight w:val="none"/>
              </w:rPr>
              <w:t>现有工程与扩建工程</w:t>
            </w:r>
            <w:r>
              <w:rPr>
                <w:b/>
                <w:bCs/>
                <w:color w:val="auto"/>
                <w:highlight w:val="none"/>
              </w:rPr>
              <w:t>原辅材料消耗情况一览表</w:t>
            </w:r>
          </w:p>
          <w:tbl>
            <w:tblPr>
              <w:tblStyle w:val="35"/>
              <w:tblW w:w="8358" w:type="dxa"/>
              <w:tblInd w:w="3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35"/>
              <w:gridCol w:w="1085"/>
              <w:gridCol w:w="1598"/>
              <w:gridCol w:w="1095"/>
              <w:gridCol w:w="2190"/>
              <w:gridCol w:w="14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35" w:type="dxa"/>
                  <w:tcBorders>
                    <w:tl2br w:val="nil"/>
                    <w:tr2bl w:val="nil"/>
                  </w:tcBorders>
                </w:tcPr>
                <w:p>
                  <w:pPr>
                    <w:snapToGrid w:val="0"/>
                    <w:jc w:val="center"/>
                    <w:rPr>
                      <w:rFonts w:hint="eastAsia"/>
                      <w:color w:val="auto"/>
                      <w:szCs w:val="21"/>
                      <w:highlight w:val="none"/>
                    </w:rPr>
                  </w:pPr>
                </w:p>
              </w:tc>
              <w:tc>
                <w:tcPr>
                  <w:tcW w:w="2683" w:type="dxa"/>
                  <w:gridSpan w:val="2"/>
                  <w:tcBorders>
                    <w:tl2br w:val="nil"/>
                    <w:tr2bl w:val="nil"/>
                  </w:tcBorders>
                </w:tcPr>
                <w:p>
                  <w:pPr>
                    <w:snapToGrid w:val="0"/>
                    <w:jc w:val="center"/>
                    <w:rPr>
                      <w:rFonts w:hint="eastAsia"/>
                      <w:color w:val="auto"/>
                      <w:szCs w:val="21"/>
                      <w:highlight w:val="none"/>
                    </w:rPr>
                  </w:pPr>
                  <w:r>
                    <w:rPr>
                      <w:rFonts w:hint="eastAsia"/>
                      <w:color w:val="auto"/>
                      <w:szCs w:val="21"/>
                      <w:highlight w:val="none"/>
                      <w:lang w:eastAsia="zh-CN"/>
                    </w:rPr>
                    <w:t>现有工程</w:t>
                  </w:r>
                </w:p>
              </w:tc>
              <w:tc>
                <w:tcPr>
                  <w:tcW w:w="3285" w:type="dxa"/>
                  <w:gridSpan w:val="2"/>
                  <w:tcBorders>
                    <w:tl2br w:val="nil"/>
                    <w:tr2bl w:val="nil"/>
                  </w:tcBorders>
                </w:tcPr>
                <w:p>
                  <w:pPr>
                    <w:snapToGrid w:val="0"/>
                    <w:jc w:val="center"/>
                    <w:rPr>
                      <w:rFonts w:hint="eastAsia"/>
                      <w:color w:val="auto"/>
                      <w:szCs w:val="21"/>
                      <w:highlight w:val="none"/>
                      <w:lang w:eastAsia="zh-CN"/>
                    </w:rPr>
                  </w:pPr>
                  <w:r>
                    <w:rPr>
                      <w:rFonts w:hint="eastAsia"/>
                      <w:color w:val="auto"/>
                      <w:szCs w:val="21"/>
                      <w:highlight w:val="none"/>
                      <w:lang w:eastAsia="zh-CN"/>
                    </w:rPr>
                    <w:t>扩建工程</w:t>
                  </w:r>
                </w:p>
              </w:tc>
              <w:tc>
                <w:tcPr>
                  <w:tcW w:w="1455" w:type="dxa"/>
                  <w:vMerge w:val="restart"/>
                  <w:tcBorders>
                    <w:tl2br w:val="nil"/>
                    <w:tr2bl w:val="nil"/>
                  </w:tcBorders>
                  <w:vAlign w:val="center"/>
                </w:tcPr>
                <w:p>
                  <w:pPr>
                    <w:snapToGrid w:val="0"/>
                    <w:jc w:val="center"/>
                    <w:rPr>
                      <w:rFonts w:hint="eastAsia"/>
                      <w:color w:val="auto"/>
                      <w:szCs w:val="21"/>
                      <w:highlight w:val="none"/>
                      <w:lang w:val="en-US" w:eastAsia="zh-CN"/>
                    </w:rPr>
                  </w:pPr>
                  <w:r>
                    <w:rPr>
                      <w:rFonts w:hint="eastAsia"/>
                      <w:color w:val="auto"/>
                      <w:szCs w:val="21"/>
                      <w:highlight w:val="none"/>
                      <w:lang w:val="en-US" w:eastAsia="zh-CN"/>
                    </w:rPr>
                    <w:t>变化情况</w:t>
                  </w:r>
                </w:p>
                <w:p>
                  <w:pPr>
                    <w:pStyle w:val="42"/>
                    <w:jc w:val="center"/>
                    <w:rPr>
                      <w:rFonts w:hint="default"/>
                      <w:color w:val="auto"/>
                      <w:highlight w:val="none"/>
                      <w:lang w:val="en-US" w:eastAsia="zh-CN"/>
                    </w:rPr>
                  </w:pPr>
                  <w:r>
                    <w:rPr>
                      <w:rFonts w:hint="eastAsia"/>
                      <w:color w:val="auto"/>
                      <w:sz w:val="21"/>
                      <w:szCs w:val="21"/>
                      <w:highlight w:val="none"/>
                      <w:lang w:val="en-US" w:eastAsia="zh-CN"/>
                    </w:rPr>
                    <w:t>（相较于现有工程）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35" w:type="dxa"/>
                  <w:tcBorders>
                    <w:tl2br w:val="nil"/>
                    <w:tr2bl w:val="nil"/>
                  </w:tcBorders>
                  <w:vAlign w:val="center"/>
                </w:tcPr>
                <w:p>
                  <w:pPr>
                    <w:snapToGrid w:val="0"/>
                    <w:jc w:val="center"/>
                    <w:rPr>
                      <w:color w:val="auto"/>
                      <w:szCs w:val="21"/>
                      <w:highlight w:val="none"/>
                    </w:rPr>
                  </w:pPr>
                  <w:r>
                    <w:rPr>
                      <w:rFonts w:hint="eastAsia"/>
                      <w:color w:val="auto"/>
                      <w:szCs w:val="21"/>
                      <w:highlight w:val="none"/>
                    </w:rPr>
                    <w:t>名称</w:t>
                  </w:r>
                </w:p>
              </w:tc>
              <w:tc>
                <w:tcPr>
                  <w:tcW w:w="1085" w:type="dxa"/>
                  <w:tcBorders>
                    <w:tl2br w:val="nil"/>
                    <w:tr2bl w:val="nil"/>
                  </w:tcBorders>
                  <w:vAlign w:val="center"/>
                </w:tcPr>
                <w:p>
                  <w:pPr>
                    <w:snapToGrid w:val="0"/>
                    <w:jc w:val="center"/>
                    <w:rPr>
                      <w:color w:val="auto"/>
                      <w:szCs w:val="21"/>
                      <w:highlight w:val="none"/>
                    </w:rPr>
                  </w:pPr>
                  <w:r>
                    <w:rPr>
                      <w:rFonts w:hint="eastAsia"/>
                      <w:color w:val="auto"/>
                      <w:szCs w:val="21"/>
                      <w:highlight w:val="none"/>
                    </w:rPr>
                    <w:t>消耗量</w:t>
                  </w:r>
                </w:p>
              </w:tc>
              <w:tc>
                <w:tcPr>
                  <w:tcW w:w="1598" w:type="dxa"/>
                  <w:tcBorders>
                    <w:tl2br w:val="nil"/>
                    <w:tr2bl w:val="nil"/>
                  </w:tcBorders>
                  <w:vAlign w:val="center"/>
                </w:tcPr>
                <w:p>
                  <w:pPr>
                    <w:snapToGrid w:val="0"/>
                    <w:jc w:val="center"/>
                    <w:rPr>
                      <w:color w:val="auto"/>
                      <w:szCs w:val="21"/>
                      <w:highlight w:val="none"/>
                    </w:rPr>
                  </w:pPr>
                  <w:r>
                    <w:rPr>
                      <w:rFonts w:hint="eastAsia"/>
                      <w:color w:val="auto"/>
                      <w:szCs w:val="21"/>
                      <w:highlight w:val="none"/>
                    </w:rPr>
                    <w:t>备注</w:t>
                  </w:r>
                </w:p>
              </w:tc>
              <w:tc>
                <w:tcPr>
                  <w:tcW w:w="1095"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rPr>
                    <w:t>消耗量</w:t>
                  </w:r>
                </w:p>
              </w:tc>
              <w:tc>
                <w:tcPr>
                  <w:tcW w:w="2190"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rPr>
                    <w:t>备注</w:t>
                  </w:r>
                </w:p>
              </w:tc>
              <w:tc>
                <w:tcPr>
                  <w:tcW w:w="1455" w:type="dxa"/>
                  <w:vMerge w:val="continue"/>
                  <w:tcBorders>
                    <w:tl2br w:val="nil"/>
                    <w:tr2bl w:val="nil"/>
                  </w:tcBorders>
                </w:tcPr>
                <w:p>
                  <w:pPr>
                    <w:snapToGrid w:val="0"/>
                    <w:jc w:val="center"/>
                    <w:rPr>
                      <w:rFonts w:hint="eastAsia"/>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35" w:type="dxa"/>
                  <w:tcBorders>
                    <w:tl2br w:val="nil"/>
                    <w:tr2bl w:val="nil"/>
                  </w:tcBorders>
                  <w:vAlign w:val="center"/>
                </w:tcPr>
                <w:p>
                  <w:pPr>
                    <w:tabs>
                      <w:tab w:val="left" w:pos="540"/>
                      <w:tab w:val="left" w:pos="900"/>
                    </w:tabs>
                    <w:snapToGrid w:val="0"/>
                    <w:jc w:val="center"/>
                    <w:rPr>
                      <w:color w:val="auto"/>
                      <w:szCs w:val="21"/>
                      <w:highlight w:val="none"/>
                    </w:rPr>
                  </w:pPr>
                  <w:r>
                    <w:rPr>
                      <w:rFonts w:hint="eastAsia"/>
                      <w:color w:val="auto"/>
                      <w:szCs w:val="21"/>
                      <w:highlight w:val="none"/>
                    </w:rPr>
                    <w:t>煤渣</w:t>
                  </w:r>
                </w:p>
              </w:tc>
              <w:tc>
                <w:tcPr>
                  <w:tcW w:w="1085" w:type="dxa"/>
                  <w:tcBorders>
                    <w:tl2br w:val="nil"/>
                    <w:tr2bl w:val="nil"/>
                  </w:tcBorders>
                  <w:vAlign w:val="center"/>
                </w:tcPr>
                <w:p>
                  <w:pPr>
                    <w:widowControl/>
                    <w:jc w:val="center"/>
                    <w:textAlignment w:val="center"/>
                    <w:rPr>
                      <w:color w:val="auto"/>
                      <w:szCs w:val="21"/>
                      <w:highlight w:val="none"/>
                    </w:rPr>
                  </w:pPr>
                  <w:r>
                    <w:rPr>
                      <w:color w:val="auto"/>
                      <w:kern w:val="0"/>
                      <w:sz w:val="22"/>
                      <w:szCs w:val="22"/>
                      <w:highlight w:val="none"/>
                    </w:rPr>
                    <w:t>44000</w:t>
                  </w:r>
                  <w:r>
                    <w:rPr>
                      <w:rFonts w:hint="eastAsia"/>
                      <w:color w:val="auto"/>
                      <w:kern w:val="0"/>
                      <w:sz w:val="22"/>
                      <w:szCs w:val="22"/>
                      <w:highlight w:val="none"/>
                    </w:rPr>
                    <w:t>t/a</w:t>
                  </w:r>
                </w:p>
              </w:tc>
              <w:tc>
                <w:tcPr>
                  <w:tcW w:w="1598" w:type="dxa"/>
                  <w:tcBorders>
                    <w:tl2br w:val="nil"/>
                    <w:tr2bl w:val="nil"/>
                  </w:tcBorders>
                </w:tcPr>
                <w:p>
                  <w:pPr>
                    <w:snapToGrid w:val="0"/>
                    <w:jc w:val="center"/>
                    <w:rPr>
                      <w:color w:val="auto"/>
                      <w:szCs w:val="21"/>
                      <w:highlight w:val="none"/>
                    </w:rPr>
                  </w:pPr>
                  <w:r>
                    <w:rPr>
                      <w:color w:val="auto"/>
                      <w:szCs w:val="21"/>
                      <w:highlight w:val="none"/>
                    </w:rPr>
                    <w:t>外购</w:t>
                  </w:r>
                </w:p>
              </w:tc>
              <w:tc>
                <w:tcPr>
                  <w:tcW w:w="1095" w:type="dxa"/>
                  <w:tcBorders>
                    <w:tl2br w:val="nil"/>
                    <w:tr2bl w:val="nil"/>
                  </w:tcBorders>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2190"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145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35" w:type="dxa"/>
                  <w:tcBorders>
                    <w:tl2br w:val="nil"/>
                    <w:tr2bl w:val="nil"/>
                  </w:tcBorders>
                  <w:vAlign w:val="center"/>
                </w:tcPr>
                <w:p>
                  <w:pPr>
                    <w:tabs>
                      <w:tab w:val="left" w:pos="540"/>
                      <w:tab w:val="left" w:pos="900"/>
                    </w:tabs>
                    <w:snapToGrid w:val="0"/>
                    <w:jc w:val="center"/>
                    <w:rPr>
                      <w:color w:val="auto"/>
                      <w:szCs w:val="21"/>
                      <w:highlight w:val="none"/>
                    </w:rPr>
                  </w:pPr>
                  <w:r>
                    <w:rPr>
                      <w:rFonts w:hint="eastAsia"/>
                      <w:color w:val="auto"/>
                      <w:szCs w:val="21"/>
                      <w:highlight w:val="none"/>
                    </w:rPr>
                    <w:t>粉煤灰</w:t>
                  </w:r>
                </w:p>
              </w:tc>
              <w:tc>
                <w:tcPr>
                  <w:tcW w:w="1085" w:type="dxa"/>
                  <w:tcBorders>
                    <w:tl2br w:val="nil"/>
                    <w:tr2bl w:val="nil"/>
                  </w:tcBorders>
                  <w:vAlign w:val="center"/>
                </w:tcPr>
                <w:p>
                  <w:pPr>
                    <w:widowControl/>
                    <w:jc w:val="center"/>
                    <w:textAlignment w:val="center"/>
                    <w:rPr>
                      <w:color w:val="auto"/>
                      <w:szCs w:val="21"/>
                      <w:highlight w:val="none"/>
                    </w:rPr>
                  </w:pPr>
                  <w:r>
                    <w:rPr>
                      <w:color w:val="auto"/>
                      <w:kern w:val="0"/>
                      <w:sz w:val="22"/>
                      <w:szCs w:val="22"/>
                      <w:highlight w:val="none"/>
                    </w:rPr>
                    <w:t>33000</w:t>
                  </w:r>
                  <w:r>
                    <w:rPr>
                      <w:rFonts w:hint="eastAsia"/>
                      <w:color w:val="auto"/>
                      <w:kern w:val="0"/>
                      <w:sz w:val="22"/>
                      <w:szCs w:val="22"/>
                      <w:highlight w:val="none"/>
                    </w:rPr>
                    <w:t>t/a</w:t>
                  </w:r>
                </w:p>
              </w:tc>
              <w:tc>
                <w:tcPr>
                  <w:tcW w:w="1598" w:type="dxa"/>
                  <w:tcBorders>
                    <w:tl2br w:val="nil"/>
                    <w:tr2bl w:val="nil"/>
                  </w:tcBorders>
                </w:tcPr>
                <w:p>
                  <w:pPr>
                    <w:snapToGrid w:val="0"/>
                    <w:jc w:val="center"/>
                    <w:rPr>
                      <w:color w:val="auto"/>
                      <w:szCs w:val="21"/>
                      <w:highlight w:val="none"/>
                    </w:rPr>
                  </w:pPr>
                  <w:r>
                    <w:rPr>
                      <w:color w:val="auto"/>
                      <w:szCs w:val="21"/>
                      <w:highlight w:val="none"/>
                    </w:rPr>
                    <w:t>外购</w:t>
                  </w:r>
                </w:p>
              </w:tc>
              <w:tc>
                <w:tcPr>
                  <w:tcW w:w="109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2190"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145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35" w:type="dxa"/>
                  <w:tcBorders>
                    <w:tl2br w:val="nil"/>
                    <w:tr2bl w:val="nil"/>
                  </w:tcBorders>
                  <w:vAlign w:val="center"/>
                </w:tcPr>
                <w:p>
                  <w:pPr>
                    <w:snapToGrid w:val="0"/>
                    <w:jc w:val="center"/>
                    <w:rPr>
                      <w:color w:val="auto"/>
                      <w:szCs w:val="21"/>
                      <w:highlight w:val="none"/>
                    </w:rPr>
                  </w:pPr>
                  <w:r>
                    <w:rPr>
                      <w:color w:val="auto"/>
                      <w:szCs w:val="21"/>
                      <w:highlight w:val="none"/>
                    </w:rPr>
                    <w:t>煤矸石</w:t>
                  </w:r>
                </w:p>
              </w:tc>
              <w:tc>
                <w:tcPr>
                  <w:tcW w:w="1085" w:type="dxa"/>
                  <w:tcBorders>
                    <w:tl2br w:val="nil"/>
                    <w:tr2bl w:val="nil"/>
                  </w:tcBorders>
                  <w:vAlign w:val="center"/>
                </w:tcPr>
                <w:p>
                  <w:pPr>
                    <w:widowControl/>
                    <w:jc w:val="center"/>
                    <w:textAlignment w:val="center"/>
                    <w:rPr>
                      <w:color w:val="auto"/>
                      <w:szCs w:val="21"/>
                      <w:highlight w:val="none"/>
                    </w:rPr>
                  </w:pPr>
                  <w:r>
                    <w:rPr>
                      <w:color w:val="auto"/>
                      <w:kern w:val="0"/>
                      <w:sz w:val="22"/>
                      <w:szCs w:val="22"/>
                      <w:highlight w:val="none"/>
                    </w:rPr>
                    <w:t>60000</w:t>
                  </w:r>
                  <w:r>
                    <w:rPr>
                      <w:rFonts w:hint="eastAsia"/>
                      <w:color w:val="auto"/>
                      <w:kern w:val="0"/>
                      <w:sz w:val="22"/>
                      <w:szCs w:val="22"/>
                      <w:highlight w:val="none"/>
                    </w:rPr>
                    <w:t>t/a</w:t>
                  </w:r>
                </w:p>
              </w:tc>
              <w:tc>
                <w:tcPr>
                  <w:tcW w:w="1598" w:type="dxa"/>
                  <w:tcBorders>
                    <w:tl2br w:val="nil"/>
                    <w:tr2bl w:val="nil"/>
                  </w:tcBorders>
                </w:tcPr>
                <w:p>
                  <w:pPr>
                    <w:snapToGrid w:val="0"/>
                    <w:jc w:val="center"/>
                    <w:rPr>
                      <w:color w:val="auto"/>
                      <w:szCs w:val="21"/>
                      <w:highlight w:val="none"/>
                    </w:rPr>
                  </w:pPr>
                  <w:r>
                    <w:rPr>
                      <w:color w:val="auto"/>
                      <w:szCs w:val="21"/>
                      <w:highlight w:val="none"/>
                    </w:rPr>
                    <w:t>外购</w:t>
                  </w:r>
                </w:p>
              </w:tc>
              <w:tc>
                <w:tcPr>
                  <w:tcW w:w="109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2190"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145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35" w:type="dxa"/>
                  <w:tcBorders>
                    <w:tl2br w:val="nil"/>
                    <w:tr2bl w:val="nil"/>
                  </w:tcBorders>
                  <w:vAlign w:val="center"/>
                </w:tcPr>
                <w:p>
                  <w:pPr>
                    <w:snapToGrid w:val="0"/>
                    <w:jc w:val="center"/>
                    <w:rPr>
                      <w:color w:val="auto"/>
                      <w:szCs w:val="21"/>
                      <w:highlight w:val="none"/>
                    </w:rPr>
                  </w:pPr>
                  <w:r>
                    <w:rPr>
                      <w:rFonts w:hint="eastAsia"/>
                      <w:color w:val="auto"/>
                      <w:szCs w:val="21"/>
                      <w:highlight w:val="none"/>
                    </w:rPr>
                    <w:t>页岩</w:t>
                  </w:r>
                </w:p>
              </w:tc>
              <w:tc>
                <w:tcPr>
                  <w:tcW w:w="1085" w:type="dxa"/>
                  <w:tcBorders>
                    <w:tl2br w:val="nil"/>
                    <w:tr2bl w:val="nil"/>
                  </w:tcBorders>
                  <w:vAlign w:val="center"/>
                </w:tcPr>
                <w:p>
                  <w:pPr>
                    <w:widowControl/>
                    <w:jc w:val="center"/>
                    <w:textAlignment w:val="center"/>
                    <w:rPr>
                      <w:color w:val="auto"/>
                      <w:szCs w:val="21"/>
                      <w:highlight w:val="none"/>
                    </w:rPr>
                  </w:pPr>
                  <w:r>
                    <w:rPr>
                      <w:rFonts w:hint="eastAsia"/>
                      <w:color w:val="auto"/>
                      <w:kern w:val="0"/>
                      <w:sz w:val="22"/>
                      <w:szCs w:val="22"/>
                      <w:highlight w:val="none"/>
                    </w:rPr>
                    <w:t>8</w:t>
                  </w:r>
                  <w:r>
                    <w:rPr>
                      <w:color w:val="auto"/>
                      <w:kern w:val="0"/>
                      <w:sz w:val="22"/>
                      <w:szCs w:val="22"/>
                      <w:highlight w:val="none"/>
                    </w:rPr>
                    <w:t>0000</w:t>
                  </w:r>
                  <w:r>
                    <w:rPr>
                      <w:rFonts w:hint="eastAsia"/>
                      <w:color w:val="auto"/>
                      <w:kern w:val="0"/>
                      <w:sz w:val="22"/>
                      <w:szCs w:val="22"/>
                      <w:highlight w:val="none"/>
                    </w:rPr>
                    <w:t>t/a</w:t>
                  </w:r>
                </w:p>
              </w:tc>
              <w:tc>
                <w:tcPr>
                  <w:tcW w:w="1598" w:type="dxa"/>
                  <w:tcBorders>
                    <w:tl2br w:val="nil"/>
                    <w:tr2bl w:val="nil"/>
                  </w:tcBorders>
                </w:tcPr>
                <w:p>
                  <w:pPr>
                    <w:snapToGrid w:val="0"/>
                    <w:jc w:val="center"/>
                    <w:rPr>
                      <w:color w:val="auto"/>
                      <w:szCs w:val="21"/>
                      <w:highlight w:val="none"/>
                    </w:rPr>
                  </w:pPr>
                  <w:r>
                    <w:rPr>
                      <w:color w:val="auto"/>
                      <w:szCs w:val="21"/>
                      <w:highlight w:val="none"/>
                    </w:rPr>
                    <w:t>外购</w:t>
                  </w:r>
                </w:p>
              </w:tc>
              <w:tc>
                <w:tcPr>
                  <w:tcW w:w="109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2190"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145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35" w:type="dxa"/>
                  <w:tcBorders>
                    <w:tl2br w:val="nil"/>
                    <w:tr2bl w:val="nil"/>
                  </w:tcBorders>
                  <w:vAlign w:val="center"/>
                </w:tcPr>
                <w:p>
                  <w:pPr>
                    <w:snapToGrid w:val="0"/>
                    <w:jc w:val="center"/>
                    <w:rPr>
                      <w:color w:val="auto"/>
                      <w:szCs w:val="21"/>
                      <w:highlight w:val="none"/>
                    </w:rPr>
                  </w:pPr>
                  <w:r>
                    <w:rPr>
                      <w:rFonts w:hint="eastAsia"/>
                      <w:color w:val="auto"/>
                      <w:szCs w:val="21"/>
                      <w:highlight w:val="none"/>
                    </w:rPr>
                    <w:t>粘土</w:t>
                  </w:r>
                </w:p>
              </w:tc>
              <w:tc>
                <w:tcPr>
                  <w:tcW w:w="1085" w:type="dxa"/>
                  <w:tcBorders>
                    <w:tl2br w:val="nil"/>
                    <w:tr2bl w:val="nil"/>
                  </w:tcBorders>
                  <w:vAlign w:val="center"/>
                </w:tcPr>
                <w:p>
                  <w:pPr>
                    <w:widowControl/>
                    <w:jc w:val="center"/>
                    <w:textAlignment w:val="center"/>
                    <w:rPr>
                      <w:color w:val="auto"/>
                      <w:szCs w:val="21"/>
                      <w:highlight w:val="none"/>
                    </w:rPr>
                  </w:pPr>
                  <w:r>
                    <w:rPr>
                      <w:rFonts w:hint="eastAsia"/>
                      <w:color w:val="auto"/>
                      <w:kern w:val="0"/>
                      <w:sz w:val="22"/>
                      <w:szCs w:val="22"/>
                      <w:highlight w:val="none"/>
                      <w:lang w:val="en-US" w:eastAsia="zh-CN"/>
                    </w:rPr>
                    <w:t>28000</w:t>
                  </w:r>
                  <w:r>
                    <w:rPr>
                      <w:rFonts w:hint="eastAsia"/>
                      <w:color w:val="auto"/>
                      <w:kern w:val="0"/>
                      <w:sz w:val="22"/>
                      <w:szCs w:val="22"/>
                      <w:highlight w:val="none"/>
                    </w:rPr>
                    <w:t>t/a</w:t>
                  </w:r>
                </w:p>
              </w:tc>
              <w:tc>
                <w:tcPr>
                  <w:tcW w:w="1598" w:type="dxa"/>
                  <w:tcBorders>
                    <w:tl2br w:val="nil"/>
                    <w:tr2bl w:val="nil"/>
                  </w:tcBorders>
                </w:tcPr>
                <w:p>
                  <w:pPr>
                    <w:snapToGrid w:val="0"/>
                    <w:jc w:val="center"/>
                    <w:rPr>
                      <w:color w:val="auto"/>
                      <w:szCs w:val="21"/>
                      <w:highlight w:val="none"/>
                    </w:rPr>
                  </w:pPr>
                  <w:r>
                    <w:rPr>
                      <w:color w:val="auto"/>
                      <w:szCs w:val="21"/>
                      <w:highlight w:val="none"/>
                    </w:rPr>
                    <w:t>外购</w:t>
                  </w:r>
                </w:p>
              </w:tc>
              <w:tc>
                <w:tcPr>
                  <w:tcW w:w="109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2190"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c>
                <w:tcPr>
                  <w:tcW w:w="145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935" w:type="dxa"/>
                  <w:tcBorders>
                    <w:tl2br w:val="nil"/>
                    <w:tr2bl w:val="nil"/>
                  </w:tcBorders>
                  <w:vAlign w:val="center"/>
                </w:tcPr>
                <w:p>
                  <w:pPr>
                    <w:snapToGrid w:val="0"/>
                    <w:jc w:val="center"/>
                    <w:rPr>
                      <w:color w:val="auto"/>
                      <w:szCs w:val="21"/>
                      <w:highlight w:val="none"/>
                    </w:rPr>
                  </w:pPr>
                  <w:r>
                    <w:rPr>
                      <w:rFonts w:hint="eastAsia"/>
                      <w:color w:val="auto"/>
                      <w:szCs w:val="21"/>
                      <w:highlight w:val="none"/>
                    </w:rPr>
                    <w:t>燃煤</w:t>
                  </w:r>
                </w:p>
              </w:tc>
              <w:tc>
                <w:tcPr>
                  <w:tcW w:w="1085" w:type="dxa"/>
                  <w:tcBorders>
                    <w:tl2br w:val="nil"/>
                    <w:tr2bl w:val="nil"/>
                  </w:tcBorders>
                  <w:vAlign w:val="center"/>
                </w:tcPr>
                <w:p>
                  <w:pPr>
                    <w:widowControl/>
                    <w:jc w:val="center"/>
                    <w:textAlignment w:val="center"/>
                    <w:rPr>
                      <w:color w:val="auto"/>
                      <w:szCs w:val="21"/>
                      <w:highlight w:val="none"/>
                    </w:rPr>
                  </w:pPr>
                  <w:r>
                    <w:rPr>
                      <w:rFonts w:hint="eastAsia"/>
                      <w:color w:val="auto"/>
                      <w:kern w:val="0"/>
                      <w:sz w:val="22"/>
                      <w:szCs w:val="22"/>
                      <w:highlight w:val="none"/>
                    </w:rPr>
                    <w:t>10ta</w:t>
                  </w:r>
                </w:p>
              </w:tc>
              <w:tc>
                <w:tcPr>
                  <w:tcW w:w="1598" w:type="dxa"/>
                  <w:tcBorders>
                    <w:tl2br w:val="nil"/>
                    <w:tr2bl w:val="nil"/>
                  </w:tcBorders>
                  <w:vAlign w:val="center"/>
                </w:tcPr>
                <w:p>
                  <w:pPr>
                    <w:snapToGrid w:val="0"/>
                    <w:jc w:val="center"/>
                    <w:rPr>
                      <w:color w:val="auto"/>
                      <w:szCs w:val="21"/>
                      <w:highlight w:val="none"/>
                    </w:rPr>
                  </w:pPr>
                  <w:r>
                    <w:rPr>
                      <w:rFonts w:hint="eastAsia"/>
                      <w:color w:val="auto"/>
                      <w:szCs w:val="21"/>
                      <w:highlight w:val="none"/>
                    </w:rPr>
                    <w:t>作为点火燃料，每年点火一次</w:t>
                  </w:r>
                </w:p>
              </w:tc>
              <w:tc>
                <w:tcPr>
                  <w:tcW w:w="1095"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lang w:val="en-US" w:eastAsia="zh-CN"/>
                    </w:rPr>
                    <w:t>/</w:t>
                  </w:r>
                </w:p>
              </w:tc>
              <w:tc>
                <w:tcPr>
                  <w:tcW w:w="2190"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lang w:val="en-US" w:eastAsia="zh-CN"/>
                    </w:rPr>
                    <w:t>/</w:t>
                  </w:r>
                </w:p>
              </w:tc>
              <w:tc>
                <w:tcPr>
                  <w:tcW w:w="1455"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35" w:type="dxa"/>
                  <w:tcBorders>
                    <w:tl2br w:val="nil"/>
                    <w:tr2bl w:val="nil"/>
                  </w:tcBorders>
                  <w:vAlign w:val="center"/>
                </w:tcPr>
                <w:p>
                  <w:pPr>
                    <w:snapToGrid w:val="0"/>
                    <w:jc w:val="center"/>
                    <w:rPr>
                      <w:color w:val="auto"/>
                      <w:szCs w:val="21"/>
                      <w:highlight w:val="none"/>
                    </w:rPr>
                  </w:pPr>
                  <w:r>
                    <w:rPr>
                      <w:rFonts w:hint="eastAsia"/>
                      <w:color w:val="auto"/>
                      <w:szCs w:val="21"/>
                      <w:highlight w:val="none"/>
                    </w:rPr>
                    <w:t>水</w:t>
                  </w:r>
                </w:p>
              </w:tc>
              <w:tc>
                <w:tcPr>
                  <w:tcW w:w="1085" w:type="dxa"/>
                  <w:tcBorders>
                    <w:tl2br w:val="nil"/>
                    <w:tr2bl w:val="nil"/>
                  </w:tcBorders>
                  <w:vAlign w:val="center"/>
                </w:tcPr>
                <w:p>
                  <w:pPr>
                    <w:widowControl/>
                    <w:jc w:val="center"/>
                    <w:textAlignment w:val="center"/>
                    <w:rPr>
                      <w:color w:val="auto"/>
                      <w:kern w:val="0"/>
                      <w:sz w:val="22"/>
                      <w:szCs w:val="22"/>
                      <w:highlight w:val="none"/>
                    </w:rPr>
                  </w:pPr>
                  <w:r>
                    <w:rPr>
                      <w:rFonts w:hint="eastAsia"/>
                      <w:color w:val="auto"/>
                      <w:kern w:val="0"/>
                      <w:sz w:val="22"/>
                      <w:szCs w:val="22"/>
                      <w:highlight w:val="none"/>
                    </w:rPr>
                    <w:t>6384</w:t>
                  </w:r>
                  <w:r>
                    <w:rPr>
                      <w:rFonts w:hint="eastAsia"/>
                      <w:color w:val="auto"/>
                      <w:kern w:val="0"/>
                      <w:sz w:val="22"/>
                      <w:szCs w:val="22"/>
                      <w:highlight w:val="none"/>
                      <w:lang w:val="en-US" w:eastAsia="zh-CN"/>
                    </w:rPr>
                    <w:t>m</w:t>
                  </w:r>
                  <w:r>
                    <w:rPr>
                      <w:rFonts w:hint="eastAsia"/>
                      <w:color w:val="auto"/>
                      <w:kern w:val="0"/>
                      <w:sz w:val="22"/>
                      <w:szCs w:val="22"/>
                      <w:highlight w:val="none"/>
                      <w:vertAlign w:val="superscript"/>
                      <w:lang w:val="en-US" w:eastAsia="zh-CN"/>
                    </w:rPr>
                    <w:t>3</w:t>
                  </w:r>
                  <w:r>
                    <w:rPr>
                      <w:rFonts w:hint="eastAsia"/>
                      <w:color w:val="auto"/>
                      <w:kern w:val="0"/>
                      <w:sz w:val="22"/>
                      <w:szCs w:val="22"/>
                      <w:highlight w:val="none"/>
                    </w:rPr>
                    <w:t>/a</w:t>
                  </w:r>
                </w:p>
              </w:tc>
              <w:tc>
                <w:tcPr>
                  <w:tcW w:w="1598" w:type="dxa"/>
                  <w:tcBorders>
                    <w:tl2br w:val="nil"/>
                    <w:tr2bl w:val="nil"/>
                  </w:tcBorders>
                </w:tcPr>
                <w:p>
                  <w:pPr>
                    <w:snapToGrid w:val="0"/>
                    <w:jc w:val="center"/>
                    <w:rPr>
                      <w:color w:val="auto"/>
                      <w:szCs w:val="21"/>
                      <w:highlight w:val="none"/>
                    </w:rPr>
                  </w:pPr>
                  <w:r>
                    <w:rPr>
                      <w:rFonts w:hint="eastAsia"/>
                      <w:color w:val="auto"/>
                      <w:szCs w:val="21"/>
                      <w:highlight w:val="none"/>
                    </w:rPr>
                    <w:t>厂内水井提供</w:t>
                  </w:r>
                </w:p>
              </w:tc>
              <w:tc>
                <w:tcPr>
                  <w:tcW w:w="1095" w:type="dxa"/>
                  <w:tcBorders>
                    <w:tl2br w:val="nil"/>
                    <w:tr2bl w:val="nil"/>
                  </w:tcBorders>
                  <w:vAlign w:val="center"/>
                </w:tcPr>
                <w:p>
                  <w:pPr>
                    <w:snapToGrid w:val="0"/>
                    <w:jc w:val="center"/>
                    <w:rPr>
                      <w:rFonts w:hint="default" w:eastAsia="宋体"/>
                      <w:color w:val="auto"/>
                      <w:szCs w:val="21"/>
                      <w:highlight w:val="none"/>
                      <w:vertAlign w:val="baseline"/>
                      <w:lang w:val="en-US" w:eastAsia="zh-CN"/>
                    </w:rPr>
                  </w:pPr>
                  <w:r>
                    <w:rPr>
                      <w:rFonts w:hint="eastAsia"/>
                      <w:color w:val="auto"/>
                      <w:szCs w:val="21"/>
                      <w:highlight w:val="none"/>
                      <w:lang w:val="en-US" w:eastAsia="zh-CN"/>
                    </w:rPr>
                    <w:t>99783</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vertAlign w:val="baseline"/>
                      <w:lang w:val="en-US" w:eastAsia="zh-CN"/>
                    </w:rPr>
                    <w:t>/a</w:t>
                  </w:r>
                </w:p>
              </w:tc>
              <w:tc>
                <w:tcPr>
                  <w:tcW w:w="2190"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rPr>
                    <w:t>厂内水井提供</w:t>
                  </w:r>
                </w:p>
              </w:tc>
              <w:tc>
                <w:tcPr>
                  <w:tcW w:w="1455" w:type="dxa"/>
                  <w:tcBorders>
                    <w:tl2br w:val="nil"/>
                    <w:tr2bl w:val="nil"/>
                  </w:tcBorders>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+99783m</w:t>
                  </w:r>
                  <w:r>
                    <w:rPr>
                      <w:rFonts w:hint="eastAsia"/>
                      <w:color w:val="auto"/>
                      <w:szCs w:val="21"/>
                      <w:highlight w:val="none"/>
                      <w:vertAlign w:val="superscript"/>
                      <w:lang w:val="en-US" w:eastAsia="zh-CN"/>
                    </w:rPr>
                    <w:t>3</w:t>
                  </w:r>
                  <w:r>
                    <w:rPr>
                      <w:rFonts w:hint="eastAsia"/>
                      <w:color w:val="auto"/>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35" w:type="dxa"/>
                  <w:tcBorders>
                    <w:tl2br w:val="nil"/>
                    <w:tr2bl w:val="nil"/>
                  </w:tcBorders>
                  <w:vAlign w:val="center"/>
                </w:tcPr>
                <w:p>
                  <w:pPr>
                    <w:snapToGrid w:val="0"/>
                    <w:jc w:val="center"/>
                    <w:rPr>
                      <w:color w:val="auto"/>
                      <w:szCs w:val="21"/>
                      <w:highlight w:val="none"/>
                    </w:rPr>
                  </w:pPr>
                  <w:r>
                    <w:rPr>
                      <w:rFonts w:hint="eastAsia"/>
                      <w:color w:val="auto"/>
                      <w:szCs w:val="21"/>
                      <w:highlight w:val="none"/>
                    </w:rPr>
                    <w:t>润滑油</w:t>
                  </w:r>
                </w:p>
              </w:tc>
              <w:tc>
                <w:tcPr>
                  <w:tcW w:w="1085" w:type="dxa"/>
                  <w:tcBorders>
                    <w:tl2br w:val="nil"/>
                    <w:tr2bl w:val="nil"/>
                  </w:tcBorders>
                  <w:vAlign w:val="center"/>
                </w:tcPr>
                <w:p>
                  <w:pPr>
                    <w:widowControl/>
                    <w:jc w:val="center"/>
                    <w:textAlignment w:val="center"/>
                    <w:rPr>
                      <w:color w:val="auto"/>
                      <w:kern w:val="0"/>
                      <w:sz w:val="22"/>
                      <w:szCs w:val="22"/>
                      <w:highlight w:val="none"/>
                    </w:rPr>
                  </w:pPr>
                  <w:r>
                    <w:rPr>
                      <w:rFonts w:hint="eastAsia"/>
                      <w:color w:val="auto"/>
                      <w:kern w:val="0"/>
                      <w:sz w:val="22"/>
                      <w:szCs w:val="22"/>
                      <w:highlight w:val="none"/>
                    </w:rPr>
                    <w:t>800kg/a</w:t>
                  </w:r>
                </w:p>
              </w:tc>
              <w:tc>
                <w:tcPr>
                  <w:tcW w:w="1598" w:type="dxa"/>
                  <w:tcBorders>
                    <w:tl2br w:val="nil"/>
                    <w:tr2bl w:val="nil"/>
                  </w:tcBorders>
                </w:tcPr>
                <w:p>
                  <w:pPr>
                    <w:snapToGrid w:val="0"/>
                    <w:jc w:val="center"/>
                    <w:rPr>
                      <w:color w:val="auto"/>
                      <w:szCs w:val="21"/>
                      <w:highlight w:val="none"/>
                    </w:rPr>
                  </w:pPr>
                  <w:r>
                    <w:rPr>
                      <w:color w:val="auto"/>
                      <w:szCs w:val="21"/>
                      <w:highlight w:val="none"/>
                    </w:rPr>
                    <w:t>外购</w:t>
                  </w:r>
                </w:p>
              </w:tc>
              <w:tc>
                <w:tcPr>
                  <w:tcW w:w="1095" w:type="dxa"/>
                  <w:tcBorders>
                    <w:tl2br w:val="nil"/>
                    <w:tr2bl w:val="nil"/>
                  </w:tcBorders>
                  <w:vAlign w:val="center"/>
                </w:tcPr>
                <w:p>
                  <w:pPr>
                    <w:snapToGrid w:val="0"/>
                    <w:jc w:val="center"/>
                    <w:rPr>
                      <w:color w:val="auto"/>
                      <w:szCs w:val="21"/>
                      <w:highlight w:val="none"/>
                    </w:rPr>
                  </w:pPr>
                  <w:r>
                    <w:rPr>
                      <w:rFonts w:hint="eastAsia"/>
                      <w:color w:val="auto"/>
                      <w:szCs w:val="21"/>
                      <w:highlight w:val="none"/>
                    </w:rPr>
                    <w:t>200kg/a</w:t>
                  </w:r>
                </w:p>
              </w:tc>
              <w:tc>
                <w:tcPr>
                  <w:tcW w:w="2190" w:type="dxa"/>
                  <w:tcBorders>
                    <w:tl2br w:val="nil"/>
                    <w:tr2bl w:val="nil"/>
                  </w:tcBorders>
                  <w:vAlign w:val="center"/>
                </w:tcPr>
                <w:p>
                  <w:pPr>
                    <w:snapToGrid w:val="0"/>
                    <w:jc w:val="center"/>
                    <w:rPr>
                      <w:color w:val="auto"/>
                      <w:szCs w:val="21"/>
                      <w:highlight w:val="none"/>
                    </w:rPr>
                  </w:pPr>
                  <w:r>
                    <w:rPr>
                      <w:rFonts w:hint="eastAsia"/>
                      <w:color w:val="auto"/>
                      <w:szCs w:val="21"/>
                      <w:highlight w:val="none"/>
                    </w:rPr>
                    <w:t>外购</w:t>
                  </w:r>
                </w:p>
              </w:tc>
              <w:tc>
                <w:tcPr>
                  <w:tcW w:w="1455" w:type="dxa"/>
                  <w:tcBorders>
                    <w:tl2br w:val="nil"/>
                    <w:tr2bl w:val="nil"/>
                  </w:tcBorders>
                </w:tcPr>
                <w:p>
                  <w:pPr>
                    <w:snapToGrid w:val="0"/>
                    <w:jc w:val="center"/>
                    <w:rPr>
                      <w:color w:val="auto"/>
                      <w:szCs w:val="21"/>
                      <w:highlight w:val="none"/>
                    </w:rPr>
                  </w:pPr>
                  <w:r>
                    <w:rPr>
                      <w:rFonts w:hint="eastAsia"/>
                      <w:color w:val="auto"/>
                      <w:szCs w:val="21"/>
                      <w:highlight w:val="none"/>
                      <w:lang w:val="en-US" w:eastAsia="zh-CN"/>
                    </w:rPr>
                    <w:t>+</w:t>
                  </w:r>
                  <w:r>
                    <w:rPr>
                      <w:rFonts w:hint="eastAsia"/>
                      <w:color w:val="auto"/>
                      <w:szCs w:val="21"/>
                      <w:highlight w:val="none"/>
                    </w:rPr>
                    <w:t>200kg/a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935" w:type="dxa"/>
                  <w:tcBorders>
                    <w:tl2br w:val="nil"/>
                    <w:tr2bl w:val="nil"/>
                  </w:tcBorders>
                  <w:vAlign w:val="center"/>
                </w:tcPr>
                <w:p>
                  <w:pPr>
                    <w:snapToGrid w:val="0"/>
                    <w:jc w:val="center"/>
                    <w:rPr>
                      <w:color w:val="auto"/>
                      <w:szCs w:val="21"/>
                      <w:highlight w:val="none"/>
                    </w:rPr>
                  </w:pPr>
                  <w:r>
                    <w:rPr>
                      <w:rFonts w:hint="eastAsia"/>
                      <w:color w:val="auto"/>
                      <w:szCs w:val="21"/>
                      <w:highlight w:val="none"/>
                      <w:lang w:eastAsia="zh-CN"/>
                    </w:rPr>
                    <w:t>砂</w:t>
                  </w:r>
                  <w:r>
                    <w:rPr>
                      <w:rFonts w:hint="eastAsia"/>
                      <w:color w:val="auto"/>
                      <w:szCs w:val="21"/>
                      <w:highlight w:val="none"/>
                    </w:rPr>
                    <w:t>料</w:t>
                  </w:r>
                </w:p>
              </w:tc>
              <w:tc>
                <w:tcPr>
                  <w:tcW w:w="1085" w:type="dxa"/>
                  <w:tcBorders>
                    <w:tl2br w:val="nil"/>
                    <w:tr2bl w:val="nil"/>
                  </w:tcBorders>
                  <w:vAlign w:val="center"/>
                </w:tcPr>
                <w:p>
                  <w:pPr>
                    <w:snapToGrid w:val="0"/>
                    <w:jc w:val="center"/>
                    <w:rPr>
                      <w:rFonts w:hint="eastAsia" w:eastAsia="宋体"/>
                      <w:color w:val="auto"/>
                      <w:szCs w:val="21"/>
                      <w:highlight w:val="none"/>
                      <w:lang w:eastAsia="zh-CN"/>
                    </w:rPr>
                  </w:pPr>
                  <w:r>
                    <w:rPr>
                      <w:rFonts w:hint="eastAsia"/>
                      <w:color w:val="auto"/>
                      <w:szCs w:val="21"/>
                      <w:highlight w:val="none"/>
                      <w:lang w:val="en-US" w:eastAsia="zh-CN"/>
                    </w:rPr>
                    <w:t>/</w:t>
                  </w:r>
                </w:p>
              </w:tc>
              <w:tc>
                <w:tcPr>
                  <w:tcW w:w="1598" w:type="dxa"/>
                  <w:tcBorders>
                    <w:tl2br w:val="nil"/>
                    <w:tr2bl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1095" w:type="dxa"/>
                  <w:tcBorders>
                    <w:tl2br w:val="nil"/>
                    <w:tr2bl w:val="nil"/>
                  </w:tcBorders>
                  <w:vAlign w:val="center"/>
                </w:tcPr>
                <w:p>
                  <w:pPr>
                    <w:snapToGrid w:val="0"/>
                    <w:jc w:val="center"/>
                    <w:rPr>
                      <w:rFonts w:hint="default" w:eastAsia="宋体"/>
                      <w:color w:val="auto"/>
                      <w:szCs w:val="21"/>
                      <w:highlight w:val="none"/>
                      <w:lang w:val="en-US" w:eastAsia="zh-CN"/>
                    </w:rPr>
                  </w:pPr>
                  <w:r>
                    <w:rPr>
                      <w:rFonts w:hint="eastAsia"/>
                      <w:color w:val="auto"/>
                      <w:szCs w:val="21"/>
                      <w:highlight w:val="none"/>
                    </w:rPr>
                    <w:t>215000t</w:t>
                  </w:r>
                  <w:r>
                    <w:rPr>
                      <w:rFonts w:hint="eastAsia"/>
                      <w:color w:val="auto"/>
                      <w:szCs w:val="21"/>
                      <w:highlight w:val="none"/>
                      <w:lang w:val="en-US" w:eastAsia="zh-CN"/>
                    </w:rPr>
                    <w:t>/a</w:t>
                  </w:r>
                </w:p>
              </w:tc>
              <w:tc>
                <w:tcPr>
                  <w:tcW w:w="2190"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rPr>
                    <w:t>外购自汉中市昌申矿业有限责任公司，尾矿砂料（含泥量约10%），主要规格为0~15mm</w:t>
                  </w:r>
                </w:p>
              </w:tc>
              <w:tc>
                <w:tcPr>
                  <w:tcW w:w="1455"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lang w:val="en-US" w:eastAsia="zh-CN"/>
                    </w:rPr>
                    <w:t>+</w:t>
                  </w:r>
                  <w:r>
                    <w:rPr>
                      <w:rFonts w:hint="eastAsia"/>
                      <w:color w:val="auto"/>
                      <w:szCs w:val="21"/>
                      <w:highlight w:val="none"/>
                    </w:rPr>
                    <w:t>215000t</w:t>
                  </w:r>
                  <w:r>
                    <w:rPr>
                      <w:rFonts w:hint="eastAsia"/>
                      <w:color w:val="auto"/>
                      <w:szCs w:val="21"/>
                      <w:highlight w:val="no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935" w:type="dxa"/>
                  <w:tcBorders>
                    <w:tl2br w:val="nil"/>
                    <w:tr2bl w:val="nil"/>
                  </w:tcBorders>
                  <w:vAlign w:val="center"/>
                </w:tcPr>
                <w:p>
                  <w:pPr>
                    <w:snapToGrid w:val="0"/>
                    <w:jc w:val="center"/>
                    <w:rPr>
                      <w:color w:val="auto"/>
                      <w:szCs w:val="21"/>
                      <w:highlight w:val="none"/>
                    </w:rPr>
                  </w:pPr>
                  <w:r>
                    <w:rPr>
                      <w:rFonts w:hint="eastAsia"/>
                      <w:color w:val="auto"/>
                      <w:szCs w:val="21"/>
                      <w:highlight w:val="none"/>
                    </w:rPr>
                    <w:t>絮凝剂</w:t>
                  </w:r>
                </w:p>
              </w:tc>
              <w:tc>
                <w:tcPr>
                  <w:tcW w:w="1085" w:type="dxa"/>
                  <w:tcBorders>
                    <w:tl2br w:val="nil"/>
                    <w:tr2bl w:val="nil"/>
                  </w:tcBorders>
                  <w:vAlign w:val="center"/>
                </w:tcPr>
                <w:p>
                  <w:pPr>
                    <w:snapToGrid w:val="0"/>
                    <w:jc w:val="center"/>
                    <w:rPr>
                      <w:rFonts w:hint="eastAsia" w:eastAsia="宋体"/>
                      <w:color w:val="auto"/>
                      <w:szCs w:val="21"/>
                      <w:highlight w:val="none"/>
                      <w:lang w:eastAsia="zh-CN"/>
                    </w:rPr>
                  </w:pPr>
                  <w:r>
                    <w:rPr>
                      <w:rFonts w:hint="eastAsia"/>
                      <w:color w:val="auto"/>
                      <w:szCs w:val="21"/>
                      <w:highlight w:val="none"/>
                      <w:lang w:val="en-US" w:eastAsia="zh-CN"/>
                    </w:rPr>
                    <w:t>/</w:t>
                  </w:r>
                </w:p>
              </w:tc>
              <w:tc>
                <w:tcPr>
                  <w:tcW w:w="1598" w:type="dxa"/>
                  <w:tcBorders>
                    <w:tl2br w:val="nil"/>
                    <w:tr2bl w:val="nil"/>
                  </w:tcBorders>
                  <w:vAlign w:val="center"/>
                </w:tcPr>
                <w:p>
                  <w:pPr>
                    <w:snapToGrid w:val="0"/>
                    <w:jc w:val="center"/>
                    <w:rPr>
                      <w:rFonts w:hint="eastAsia" w:eastAsia="宋体"/>
                      <w:color w:val="auto"/>
                      <w:szCs w:val="21"/>
                      <w:highlight w:val="none"/>
                      <w:lang w:eastAsia="zh-CN"/>
                    </w:rPr>
                  </w:pPr>
                  <w:r>
                    <w:rPr>
                      <w:rFonts w:hint="eastAsia"/>
                      <w:color w:val="auto"/>
                      <w:szCs w:val="21"/>
                      <w:highlight w:val="none"/>
                      <w:lang w:val="en-US" w:eastAsia="zh-CN"/>
                    </w:rPr>
                    <w:t>/</w:t>
                  </w:r>
                </w:p>
              </w:tc>
              <w:tc>
                <w:tcPr>
                  <w:tcW w:w="1095"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rPr>
                    <w:t>1.68t/a</w:t>
                  </w:r>
                </w:p>
              </w:tc>
              <w:tc>
                <w:tcPr>
                  <w:tcW w:w="2190"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rPr>
                    <w:t>外购</w:t>
                  </w:r>
                </w:p>
              </w:tc>
              <w:tc>
                <w:tcPr>
                  <w:tcW w:w="1455" w:type="dxa"/>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lang w:val="en-US" w:eastAsia="zh-CN"/>
                    </w:rPr>
                    <w:t>+</w:t>
                  </w:r>
                  <w:r>
                    <w:rPr>
                      <w:rFonts w:hint="eastAsia"/>
                      <w:color w:val="auto"/>
                      <w:szCs w:val="21"/>
                      <w:highlight w:val="none"/>
                    </w:rPr>
                    <w:t>1.68t/a</w:t>
                  </w:r>
                </w:p>
              </w:tc>
            </w:tr>
          </w:tbl>
          <w:p>
            <w:pPr>
              <w:snapToGrid w:val="0"/>
              <w:spacing w:line="360" w:lineRule="auto"/>
              <w:ind w:firstLine="480" w:firstLineChars="200"/>
              <w:rPr>
                <w:color w:val="auto"/>
                <w:sz w:val="24"/>
                <w:highlight w:val="none"/>
              </w:rPr>
            </w:pPr>
            <w:r>
              <w:rPr>
                <w:rFonts w:hint="eastAsia"/>
                <w:color w:val="auto"/>
                <w:sz w:val="24"/>
                <w:highlight w:val="none"/>
              </w:rPr>
              <w:t>6</w:t>
            </w:r>
            <w:r>
              <w:rPr>
                <w:color w:val="auto"/>
                <w:sz w:val="24"/>
                <w:highlight w:val="none"/>
              </w:rPr>
              <w:t>、劳动定员及工作制度</w:t>
            </w:r>
          </w:p>
          <w:p>
            <w:pPr>
              <w:adjustRightInd w:val="0"/>
              <w:snapToGrid w:val="0"/>
              <w:spacing w:line="360" w:lineRule="auto"/>
              <w:ind w:firstLine="480" w:firstLineChars="200"/>
              <w:rPr>
                <w:rFonts w:hAnsi="宋体"/>
                <w:color w:val="auto"/>
                <w:sz w:val="24"/>
                <w:highlight w:val="none"/>
              </w:rPr>
            </w:pPr>
            <w:r>
              <w:rPr>
                <w:rFonts w:hint="eastAsia" w:hAnsi="宋体"/>
                <w:color w:val="auto"/>
                <w:sz w:val="24"/>
                <w:highlight w:val="none"/>
              </w:rPr>
              <w:t>根据建设单位介绍，现有工程员工人数为30人，</w:t>
            </w:r>
            <w:r>
              <w:rPr>
                <w:rFonts w:hint="eastAsia"/>
                <w:color w:val="auto"/>
                <w:sz w:val="24"/>
                <w:highlight w:val="none"/>
              </w:rPr>
              <w:t>破</w:t>
            </w:r>
            <w:r>
              <w:rPr>
                <w:color w:val="auto"/>
                <w:sz w:val="24"/>
                <w:highlight w:val="none"/>
              </w:rPr>
              <w:t>碎车间和制坯车间8小时工作制，每天一班（夜间不生产）；焙烧</w:t>
            </w:r>
            <w:r>
              <w:rPr>
                <w:rFonts w:hint="eastAsia"/>
                <w:color w:val="auto"/>
                <w:sz w:val="24"/>
                <w:highlight w:val="none"/>
              </w:rPr>
              <w:t>窑24</w:t>
            </w:r>
            <w:r>
              <w:rPr>
                <w:color w:val="auto"/>
                <w:sz w:val="24"/>
                <w:highlight w:val="none"/>
              </w:rPr>
              <w:t>小时工作制，每天三班，年工作时间3</w:t>
            </w:r>
            <w:r>
              <w:rPr>
                <w:rFonts w:hint="eastAsia"/>
                <w:color w:val="auto"/>
                <w:sz w:val="24"/>
                <w:highlight w:val="none"/>
              </w:rPr>
              <w:t>2</w:t>
            </w:r>
            <w:r>
              <w:rPr>
                <w:color w:val="auto"/>
                <w:sz w:val="24"/>
                <w:highlight w:val="none"/>
              </w:rPr>
              <w:t>0天</w:t>
            </w:r>
            <w:r>
              <w:rPr>
                <w:rFonts w:hint="eastAsia"/>
                <w:color w:val="auto"/>
                <w:sz w:val="24"/>
                <w:highlight w:val="none"/>
              </w:rPr>
              <w:t>；</w:t>
            </w:r>
            <w:r>
              <w:rPr>
                <w:color w:val="auto"/>
                <w:sz w:val="24"/>
                <w:highlight w:val="none"/>
              </w:rPr>
              <w:t>厂区内</w:t>
            </w:r>
            <w:r>
              <w:rPr>
                <w:rFonts w:hint="eastAsia"/>
                <w:color w:val="auto"/>
                <w:sz w:val="24"/>
                <w:highlight w:val="none"/>
              </w:rPr>
              <w:t>不</w:t>
            </w:r>
            <w:r>
              <w:rPr>
                <w:color w:val="auto"/>
                <w:sz w:val="24"/>
                <w:highlight w:val="none"/>
              </w:rPr>
              <w:t>设</w:t>
            </w:r>
            <w:r>
              <w:rPr>
                <w:rFonts w:hint="eastAsia"/>
                <w:color w:val="auto"/>
                <w:sz w:val="24"/>
                <w:highlight w:val="none"/>
              </w:rPr>
              <w:t>食堂</w:t>
            </w:r>
            <w:r>
              <w:rPr>
                <w:color w:val="auto"/>
                <w:sz w:val="24"/>
                <w:highlight w:val="none"/>
              </w:rPr>
              <w:t>及住宿</w:t>
            </w:r>
            <w:r>
              <w:rPr>
                <w:rFonts w:hint="eastAsia"/>
                <w:color w:val="auto"/>
                <w:sz w:val="24"/>
                <w:highlight w:val="none"/>
              </w:rPr>
              <w:t>。</w:t>
            </w:r>
          </w:p>
          <w:p>
            <w:pPr>
              <w:snapToGrid w:val="0"/>
              <w:spacing w:line="360" w:lineRule="auto"/>
              <w:ind w:firstLine="480" w:firstLineChars="200"/>
              <w:rPr>
                <w:rFonts w:hAnsi="宋体"/>
                <w:color w:val="auto"/>
                <w:sz w:val="24"/>
                <w:highlight w:val="none"/>
              </w:rPr>
            </w:pPr>
            <w:r>
              <w:rPr>
                <w:rFonts w:hint="eastAsia" w:hAnsi="宋体"/>
                <w:color w:val="auto"/>
                <w:sz w:val="24"/>
                <w:highlight w:val="none"/>
              </w:rPr>
              <w:t>本次扩建新增员工6人，员工皆为周边居民。工作制度为每天1班，</w:t>
            </w:r>
            <w:r>
              <w:rPr>
                <w:rFonts w:hint="eastAsia"/>
                <w:color w:val="auto"/>
                <w:sz w:val="24"/>
                <w:highlight w:val="none"/>
              </w:rPr>
              <w:t>每班8小时工作制，年工作300d。</w:t>
            </w:r>
          </w:p>
          <w:p>
            <w:pPr>
              <w:adjustRightInd w:val="0"/>
              <w:snapToGrid w:val="0"/>
              <w:spacing w:line="360" w:lineRule="auto"/>
              <w:ind w:firstLine="482"/>
              <w:jc w:val="left"/>
              <w:rPr>
                <w:color w:val="auto"/>
                <w:sz w:val="24"/>
                <w:highlight w:val="none"/>
              </w:rPr>
            </w:pPr>
            <w:r>
              <w:rPr>
                <w:rFonts w:hint="eastAsia"/>
                <w:color w:val="auto"/>
                <w:sz w:val="24"/>
                <w:highlight w:val="none"/>
              </w:rPr>
              <w:t>7</w:t>
            </w:r>
            <w:r>
              <w:rPr>
                <w:color w:val="auto"/>
                <w:sz w:val="24"/>
                <w:highlight w:val="none"/>
              </w:rPr>
              <w:t>、公用工程</w:t>
            </w:r>
          </w:p>
          <w:p>
            <w:pPr>
              <w:snapToGrid w:val="0"/>
              <w:spacing w:line="360" w:lineRule="auto"/>
              <w:ind w:firstLine="480" w:firstLineChars="200"/>
              <w:rPr>
                <w:rFonts w:hAnsi="宋体"/>
                <w:color w:val="auto"/>
                <w:sz w:val="24"/>
                <w:highlight w:val="none"/>
              </w:rPr>
            </w:pPr>
            <w:r>
              <w:rPr>
                <w:rFonts w:hint="eastAsia" w:hAnsi="宋体"/>
                <w:color w:val="auto"/>
                <w:sz w:val="24"/>
                <w:highlight w:val="none"/>
              </w:rPr>
              <w:t>（1）给水系统</w:t>
            </w:r>
          </w:p>
          <w:p>
            <w:pPr>
              <w:snapToGrid w:val="0"/>
              <w:spacing w:line="360" w:lineRule="auto"/>
              <w:ind w:firstLine="480" w:firstLineChars="200"/>
              <w:rPr>
                <w:color w:val="auto"/>
                <w:sz w:val="24"/>
                <w:highlight w:val="none"/>
              </w:rPr>
            </w:pPr>
            <w:r>
              <w:rPr>
                <w:rFonts w:hint="eastAsia" w:hAnsi="宋体"/>
                <w:color w:val="auto"/>
                <w:sz w:val="24"/>
                <w:highlight w:val="none"/>
              </w:rPr>
              <w:t>项目生产及生活用水均由厂区内水井提供。</w:t>
            </w:r>
          </w:p>
          <w:p>
            <w:pPr>
              <w:snapToGrid w:val="0"/>
              <w:spacing w:line="360" w:lineRule="auto"/>
              <w:ind w:firstLine="480" w:firstLineChars="200"/>
              <w:rPr>
                <w:rFonts w:hAnsi="宋体"/>
                <w:color w:val="auto"/>
                <w:sz w:val="24"/>
                <w:highlight w:val="none"/>
              </w:rPr>
            </w:pPr>
            <w:r>
              <w:rPr>
                <w:rFonts w:hint="eastAsia" w:hAnsi="宋体"/>
                <w:color w:val="auto"/>
                <w:sz w:val="24"/>
                <w:highlight w:val="none"/>
              </w:rPr>
              <w:t>（2）排水系统</w:t>
            </w:r>
          </w:p>
          <w:p>
            <w:pPr>
              <w:snapToGrid w:val="0"/>
              <w:spacing w:line="360" w:lineRule="auto"/>
              <w:ind w:firstLine="480" w:firstLineChars="200"/>
              <w:rPr>
                <w:rFonts w:hAnsi="宋体"/>
                <w:color w:val="auto"/>
                <w:sz w:val="24"/>
                <w:highlight w:val="none"/>
              </w:rPr>
            </w:pPr>
            <w:r>
              <w:rPr>
                <w:rFonts w:hint="eastAsia" w:hAnsi="宋体"/>
                <w:color w:val="auto"/>
                <w:sz w:val="24"/>
                <w:highlight w:val="none"/>
              </w:rPr>
              <w:t>实行雨污分流，雨水经雨水渠外排；生活污水依托现有化粪池处理后全部综合利用，生产废水絮凝沉淀处理后全部回用，不外排；车辆冲洗废水依托现有冲洗平台+配套沉淀池处理后回用。</w:t>
            </w:r>
          </w:p>
          <w:p>
            <w:pPr>
              <w:snapToGrid w:val="0"/>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供电</w:t>
            </w:r>
            <w:r>
              <w:rPr>
                <w:rFonts w:hint="eastAsia"/>
                <w:color w:val="auto"/>
                <w:sz w:val="24"/>
                <w:highlight w:val="none"/>
              </w:rPr>
              <w:t>系统</w:t>
            </w:r>
          </w:p>
          <w:p>
            <w:pPr>
              <w:snapToGrid w:val="0"/>
              <w:spacing w:line="360" w:lineRule="auto"/>
              <w:ind w:firstLine="480" w:firstLineChars="200"/>
              <w:rPr>
                <w:color w:val="auto"/>
                <w:sz w:val="24"/>
                <w:highlight w:val="none"/>
              </w:rPr>
            </w:pPr>
            <w:r>
              <w:rPr>
                <w:color w:val="auto"/>
                <w:sz w:val="24"/>
                <w:highlight w:val="none"/>
              </w:rPr>
              <w:t>项目用电由</w:t>
            </w:r>
            <w:r>
              <w:rPr>
                <w:rFonts w:hint="eastAsia"/>
                <w:color w:val="auto"/>
                <w:sz w:val="24"/>
                <w:highlight w:val="none"/>
              </w:rPr>
              <w:t>当地电网供给。</w:t>
            </w:r>
          </w:p>
          <w:p>
            <w:pPr>
              <w:numPr>
                <w:ilvl w:val="255"/>
                <w:numId w:val="0"/>
              </w:numPr>
              <w:snapToGrid w:val="0"/>
              <w:spacing w:line="360" w:lineRule="auto"/>
              <w:ind w:firstLine="480" w:firstLineChars="200"/>
              <w:rPr>
                <w:color w:val="auto"/>
                <w:sz w:val="24"/>
                <w:highlight w:val="none"/>
              </w:rPr>
            </w:pPr>
            <w:r>
              <w:rPr>
                <w:rFonts w:hint="eastAsia"/>
                <w:color w:val="auto"/>
                <w:sz w:val="24"/>
                <w:highlight w:val="none"/>
              </w:rPr>
              <w:t>8、</w:t>
            </w:r>
            <w:r>
              <w:rPr>
                <w:color w:val="auto"/>
                <w:sz w:val="24"/>
                <w:highlight w:val="none"/>
              </w:rPr>
              <w:t>项目水平衡</w:t>
            </w:r>
          </w:p>
          <w:p>
            <w:pPr>
              <w:pStyle w:val="44"/>
              <w:spacing w:line="360" w:lineRule="auto"/>
              <w:ind w:firstLine="480"/>
              <w:rPr>
                <w:color w:val="auto"/>
                <w:highlight w:val="none"/>
              </w:rPr>
            </w:pPr>
            <w:r>
              <w:rPr>
                <w:rFonts w:hint="eastAsia"/>
                <w:color w:val="auto"/>
                <w:highlight w:val="none"/>
              </w:rPr>
              <w:t>项目用水工序主要为筛分及洗</w:t>
            </w:r>
            <w:r>
              <w:rPr>
                <w:rFonts w:hint="eastAsia" w:hAnsi="宋体"/>
                <w:color w:val="auto"/>
                <w:sz w:val="24"/>
                <w:highlight w:val="none"/>
                <w:lang w:eastAsia="zh-CN"/>
              </w:rPr>
              <w:t>砂</w:t>
            </w:r>
            <w:r>
              <w:rPr>
                <w:rFonts w:hint="eastAsia"/>
                <w:color w:val="auto"/>
                <w:highlight w:val="none"/>
              </w:rPr>
              <w:t>用水、车辆冲洗用水、员工生活用水及道路抑尘用水，本次扩建用水情况详细分析如下：</w:t>
            </w:r>
          </w:p>
          <w:p>
            <w:pPr>
              <w:pStyle w:val="42"/>
              <w:spacing w:line="360" w:lineRule="auto"/>
              <w:ind w:firstLine="480" w:firstLineChars="200"/>
              <w:rPr>
                <w:rFonts w:ascii="Times New Roman" w:cs="Times New Roman"/>
                <w:color w:val="auto"/>
                <w:highlight w:val="none"/>
              </w:rPr>
            </w:pPr>
            <w:r>
              <w:rPr>
                <w:rFonts w:hint="eastAsia" w:hAnsi="宋体"/>
                <w:color w:val="auto"/>
                <w:highlight w:val="none"/>
              </w:rPr>
              <w:t>①筛分用水：</w:t>
            </w:r>
            <w:r>
              <w:rPr>
                <w:rFonts w:hint="eastAsia" w:ascii="Times New Roman" w:cs="Times New Roman"/>
                <w:color w:val="auto"/>
                <w:highlight w:val="none"/>
              </w:rPr>
              <w:t>本项目在分离筛分工序安装自动喷淋装置，用以降低加工过程中粉尘量。类比同类项目</w:t>
            </w:r>
            <w:r>
              <w:rPr>
                <w:rFonts w:hint="eastAsia" w:ascii="Times New Roman" w:cs="Times New Roman"/>
                <w:color w:val="auto"/>
                <w:highlight w:val="none"/>
                <w:lang w:eastAsia="zh-CN"/>
              </w:rPr>
              <w:t>（水泥制品生产和石材废料综合利用建设项目，其砂料筛分量为</w:t>
            </w:r>
            <w:r>
              <w:rPr>
                <w:rFonts w:hint="eastAsia" w:ascii="Times New Roman" w:cs="Times New Roman"/>
                <w:color w:val="auto"/>
                <w:highlight w:val="none"/>
                <w:lang w:val="en-US" w:eastAsia="zh-CN"/>
              </w:rPr>
              <w:t>20万t/a、筛分过程同样采用喷淋装置，因此可类比</w:t>
            </w:r>
            <w:r>
              <w:rPr>
                <w:rFonts w:hint="eastAsia" w:ascii="Times New Roman" w:cs="Times New Roman"/>
                <w:color w:val="auto"/>
                <w:highlight w:val="none"/>
                <w:lang w:eastAsia="zh-CN"/>
              </w:rPr>
              <w:t>），本项目筛分</w:t>
            </w:r>
            <w:r>
              <w:rPr>
                <w:rFonts w:hint="eastAsia" w:ascii="Times New Roman" w:cs="Times New Roman"/>
                <w:color w:val="auto"/>
                <w:highlight w:val="none"/>
              </w:rPr>
              <w:t>过程中用水量约5m</w:t>
            </w:r>
            <w:r>
              <w:rPr>
                <w:rFonts w:hint="eastAsia" w:ascii="Times New Roman" w:cs="Times New Roman"/>
                <w:color w:val="auto"/>
                <w:highlight w:val="none"/>
                <w:vertAlign w:val="superscript"/>
              </w:rPr>
              <w:t>3</w:t>
            </w:r>
            <w:r>
              <w:rPr>
                <w:rFonts w:hint="eastAsia" w:ascii="Times New Roman" w:cs="Times New Roman"/>
                <w:color w:val="auto"/>
                <w:highlight w:val="none"/>
              </w:rPr>
              <w:t>/d，蒸发损耗量约为20%（1m</w:t>
            </w:r>
            <w:r>
              <w:rPr>
                <w:rFonts w:hint="eastAsia" w:ascii="Times New Roman" w:cs="Times New Roman"/>
                <w:color w:val="auto"/>
                <w:highlight w:val="none"/>
                <w:vertAlign w:val="superscript"/>
              </w:rPr>
              <w:t>3</w:t>
            </w:r>
            <w:r>
              <w:rPr>
                <w:rFonts w:hint="eastAsia" w:ascii="Times New Roman" w:cs="Times New Roman"/>
                <w:color w:val="auto"/>
                <w:highlight w:val="none"/>
              </w:rPr>
              <w:t>/d），剩余部分随物料带走（4m</w:t>
            </w:r>
            <w:r>
              <w:rPr>
                <w:rFonts w:hint="eastAsia" w:ascii="Times New Roman" w:cs="Times New Roman"/>
                <w:color w:val="auto"/>
                <w:highlight w:val="none"/>
                <w:vertAlign w:val="superscript"/>
              </w:rPr>
              <w:t>3</w:t>
            </w:r>
            <w:r>
              <w:rPr>
                <w:rFonts w:hint="eastAsia" w:ascii="Times New Roman" w:cs="Times New Roman"/>
                <w:color w:val="auto"/>
                <w:highlight w:val="none"/>
              </w:rPr>
              <w:t>/d），正常情况下不会形成径流。</w:t>
            </w:r>
          </w:p>
          <w:p>
            <w:pPr>
              <w:spacing w:line="360" w:lineRule="auto"/>
              <w:ind w:firstLine="482"/>
              <w:rPr>
                <w:color w:val="auto"/>
                <w:sz w:val="24"/>
                <w:highlight w:val="none"/>
              </w:rPr>
            </w:pPr>
            <w:r>
              <w:rPr>
                <w:rFonts w:hint="eastAsia" w:ascii="宋体" w:hAnsi="宋体" w:cs="宋体"/>
                <w:color w:val="auto"/>
                <w:sz w:val="24"/>
                <w:highlight w:val="none"/>
              </w:rPr>
              <w:t>②洗</w:t>
            </w:r>
            <w:r>
              <w:rPr>
                <w:rFonts w:hint="eastAsia" w:hAnsi="宋体"/>
                <w:color w:val="auto"/>
                <w:sz w:val="24"/>
                <w:highlight w:val="none"/>
                <w:lang w:eastAsia="zh-CN"/>
              </w:rPr>
              <w:t>砂</w:t>
            </w:r>
            <w:r>
              <w:rPr>
                <w:rFonts w:hint="eastAsia" w:ascii="宋体" w:hAnsi="宋体" w:cs="宋体"/>
                <w:color w:val="auto"/>
                <w:sz w:val="24"/>
                <w:highlight w:val="none"/>
              </w:rPr>
              <w:t>用水：</w:t>
            </w:r>
            <w:r>
              <w:rPr>
                <w:rFonts w:hint="eastAsia"/>
                <w:color w:val="auto"/>
                <w:sz w:val="24"/>
                <w:highlight w:val="none"/>
              </w:rPr>
              <w:t>根据建设单位提供资料，洗</w:t>
            </w:r>
            <w:r>
              <w:rPr>
                <w:rFonts w:hint="eastAsia" w:hAnsi="宋体"/>
                <w:color w:val="auto"/>
                <w:sz w:val="24"/>
                <w:highlight w:val="none"/>
                <w:lang w:eastAsia="zh-CN"/>
              </w:rPr>
              <w:t>砂</w:t>
            </w:r>
            <w:r>
              <w:rPr>
                <w:rFonts w:hint="eastAsia"/>
                <w:color w:val="auto"/>
                <w:sz w:val="24"/>
                <w:highlight w:val="none"/>
              </w:rPr>
              <w:t>用水量按1</w:t>
            </w:r>
            <w:r>
              <w:rPr>
                <w:color w:val="auto"/>
                <w:sz w:val="24"/>
                <w:highlight w:val="none"/>
              </w:rPr>
              <w:t>.5 m</w:t>
            </w:r>
            <w:r>
              <w:rPr>
                <w:color w:val="auto"/>
                <w:sz w:val="24"/>
                <w:highlight w:val="none"/>
                <w:vertAlign w:val="superscript"/>
              </w:rPr>
              <w:t>3</w:t>
            </w:r>
            <w:r>
              <w:rPr>
                <w:color w:val="auto"/>
                <w:sz w:val="24"/>
                <w:highlight w:val="none"/>
              </w:rPr>
              <w:t>/t</w:t>
            </w:r>
            <w:r>
              <w:rPr>
                <w:rFonts w:hint="eastAsia"/>
                <w:color w:val="auto"/>
                <w:sz w:val="24"/>
                <w:highlight w:val="none"/>
              </w:rPr>
              <w:t>-</w:t>
            </w:r>
            <w:r>
              <w:rPr>
                <w:color w:val="auto"/>
                <w:sz w:val="24"/>
                <w:highlight w:val="none"/>
              </w:rPr>
              <w:t>清洗料</w:t>
            </w:r>
            <w:r>
              <w:rPr>
                <w:rFonts w:hint="eastAsia"/>
                <w:color w:val="auto"/>
                <w:sz w:val="24"/>
                <w:highlight w:val="none"/>
              </w:rPr>
              <w:t>计算</w:t>
            </w:r>
            <w:r>
              <w:rPr>
                <w:color w:val="auto"/>
                <w:sz w:val="24"/>
                <w:highlight w:val="none"/>
              </w:rPr>
              <w:t>，项目</w:t>
            </w:r>
            <w:r>
              <w:rPr>
                <w:rFonts w:hint="eastAsia"/>
                <w:color w:val="auto"/>
                <w:sz w:val="24"/>
                <w:highlight w:val="none"/>
              </w:rPr>
              <w:t>总洗</w:t>
            </w:r>
            <w:r>
              <w:rPr>
                <w:rFonts w:hint="eastAsia" w:hAnsi="宋体"/>
                <w:color w:val="auto"/>
                <w:sz w:val="24"/>
                <w:highlight w:val="none"/>
                <w:lang w:eastAsia="zh-CN"/>
              </w:rPr>
              <w:t>砂</w:t>
            </w:r>
            <w:r>
              <w:rPr>
                <w:rFonts w:hint="eastAsia"/>
                <w:color w:val="auto"/>
                <w:sz w:val="24"/>
                <w:highlight w:val="none"/>
              </w:rPr>
              <w:t>量约18万</w:t>
            </w:r>
            <w:r>
              <w:rPr>
                <w:color w:val="auto"/>
                <w:sz w:val="24"/>
                <w:highlight w:val="none"/>
              </w:rPr>
              <w:t>t/</w:t>
            </w:r>
            <w:r>
              <w:rPr>
                <w:rFonts w:hint="eastAsia"/>
                <w:color w:val="auto"/>
                <w:sz w:val="24"/>
                <w:highlight w:val="none"/>
              </w:rPr>
              <w:t>a，日</w:t>
            </w:r>
            <w:r>
              <w:rPr>
                <w:color w:val="auto"/>
                <w:sz w:val="24"/>
                <w:highlight w:val="none"/>
              </w:rPr>
              <w:t>清洗</w:t>
            </w:r>
            <w:r>
              <w:rPr>
                <w:rFonts w:hint="eastAsia" w:hAnsi="宋体"/>
                <w:color w:val="auto"/>
                <w:sz w:val="24"/>
                <w:highlight w:val="none"/>
                <w:lang w:eastAsia="zh-CN"/>
              </w:rPr>
              <w:t>砂</w:t>
            </w:r>
            <w:r>
              <w:rPr>
                <w:rFonts w:hint="eastAsia"/>
                <w:color w:val="auto"/>
                <w:sz w:val="24"/>
                <w:highlight w:val="none"/>
              </w:rPr>
              <w:t>料</w:t>
            </w:r>
            <w:r>
              <w:rPr>
                <w:color w:val="auto"/>
                <w:sz w:val="24"/>
                <w:highlight w:val="none"/>
              </w:rPr>
              <w:t>量约为</w:t>
            </w:r>
            <w:r>
              <w:rPr>
                <w:rFonts w:hint="eastAsia"/>
                <w:color w:val="auto"/>
                <w:sz w:val="24"/>
                <w:highlight w:val="none"/>
              </w:rPr>
              <w:t>600</w:t>
            </w:r>
            <w:r>
              <w:rPr>
                <w:color w:val="auto"/>
                <w:sz w:val="24"/>
                <w:highlight w:val="none"/>
              </w:rPr>
              <w:t>t/d，则洗</w:t>
            </w:r>
            <w:r>
              <w:rPr>
                <w:rFonts w:hint="eastAsia" w:hAnsi="宋体"/>
                <w:color w:val="auto"/>
                <w:sz w:val="24"/>
                <w:highlight w:val="none"/>
                <w:lang w:eastAsia="zh-CN"/>
              </w:rPr>
              <w:t>砂</w:t>
            </w:r>
            <w:r>
              <w:rPr>
                <w:color w:val="auto"/>
                <w:sz w:val="24"/>
                <w:highlight w:val="none"/>
              </w:rPr>
              <w:t>工序用水量约为</w:t>
            </w:r>
            <w:r>
              <w:rPr>
                <w:rFonts w:hint="eastAsia"/>
                <w:color w:val="auto"/>
                <w:sz w:val="24"/>
                <w:highlight w:val="none"/>
              </w:rPr>
              <w:t>900</w:t>
            </w:r>
            <w:r>
              <w:rPr>
                <w:color w:val="auto"/>
                <w:sz w:val="24"/>
                <w:highlight w:val="none"/>
              </w:rPr>
              <w:t>m</w:t>
            </w:r>
            <w:r>
              <w:rPr>
                <w:color w:val="auto"/>
                <w:sz w:val="24"/>
                <w:highlight w:val="none"/>
                <w:vertAlign w:val="superscript"/>
              </w:rPr>
              <w:t>3</w:t>
            </w:r>
            <w:r>
              <w:rPr>
                <w:color w:val="auto"/>
                <w:sz w:val="24"/>
                <w:highlight w:val="none"/>
              </w:rPr>
              <w:t>/d，损耗量5%（</w:t>
            </w:r>
            <w:r>
              <w:rPr>
                <w:rFonts w:hint="eastAsia"/>
                <w:color w:val="auto"/>
                <w:sz w:val="24"/>
                <w:highlight w:val="none"/>
              </w:rPr>
              <w:t>45</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产品经脱水后物料含水约10%（90</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），则洗</w:t>
            </w:r>
            <w:r>
              <w:rPr>
                <w:rFonts w:hint="eastAsia" w:hAnsi="宋体"/>
                <w:color w:val="auto"/>
                <w:sz w:val="24"/>
                <w:highlight w:val="none"/>
                <w:lang w:eastAsia="zh-CN"/>
              </w:rPr>
              <w:t>砂</w:t>
            </w:r>
            <w:r>
              <w:rPr>
                <w:rFonts w:hint="eastAsia"/>
                <w:color w:val="auto"/>
                <w:sz w:val="24"/>
                <w:highlight w:val="none"/>
              </w:rPr>
              <w:t>和脱水工序废水为765</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w:t>
            </w:r>
          </w:p>
          <w:p>
            <w:pPr>
              <w:spacing w:line="360" w:lineRule="auto"/>
              <w:ind w:firstLine="482"/>
              <w:rPr>
                <w:color w:val="auto"/>
                <w:sz w:val="24"/>
                <w:highlight w:val="none"/>
              </w:rPr>
            </w:pPr>
            <w:r>
              <w:rPr>
                <w:rFonts w:hint="eastAsia" w:ascii="宋体" w:hAnsi="宋体" w:cs="宋体"/>
                <w:color w:val="auto"/>
                <w:sz w:val="24"/>
                <w:highlight w:val="none"/>
              </w:rPr>
              <w:t>③车辆冲洗用水：</w:t>
            </w:r>
            <w:r>
              <w:rPr>
                <w:color w:val="auto"/>
                <w:sz w:val="24"/>
                <w:highlight w:val="none"/>
              </w:rPr>
              <w:t>根据《建筑给水排水设计手册》</w:t>
            </w:r>
            <w:r>
              <w:rPr>
                <w:rFonts w:hint="eastAsia"/>
                <w:color w:val="auto"/>
                <w:sz w:val="24"/>
                <w:highlight w:val="none"/>
              </w:rPr>
              <w:t>（2019年第三版）</w:t>
            </w:r>
            <w:r>
              <w:rPr>
                <w:color w:val="auto"/>
                <w:sz w:val="24"/>
                <w:highlight w:val="none"/>
              </w:rPr>
              <w:t>用水定额中汽车冲洗用水定额，冲洗载重车用水定额为80 L/辆·次。</w:t>
            </w:r>
            <w:r>
              <w:rPr>
                <w:rFonts w:hint="eastAsia"/>
                <w:color w:val="auto"/>
                <w:sz w:val="24"/>
                <w:highlight w:val="none"/>
              </w:rPr>
              <w:t>根据项目工程分析可知</w:t>
            </w:r>
            <w:r>
              <w:rPr>
                <w:color w:val="auto"/>
                <w:sz w:val="24"/>
                <w:highlight w:val="none"/>
              </w:rPr>
              <w:t>，本项目运营期原料</w:t>
            </w:r>
            <w:r>
              <w:rPr>
                <w:rFonts w:hint="eastAsia"/>
                <w:color w:val="auto"/>
                <w:sz w:val="24"/>
                <w:highlight w:val="none"/>
              </w:rPr>
              <w:t>及</w:t>
            </w:r>
            <w:r>
              <w:rPr>
                <w:color w:val="auto"/>
                <w:sz w:val="24"/>
                <w:highlight w:val="none"/>
              </w:rPr>
              <w:t>成品量</w:t>
            </w:r>
            <w:r>
              <w:rPr>
                <w:rFonts w:hint="eastAsia"/>
                <w:color w:val="auto"/>
                <w:sz w:val="24"/>
                <w:highlight w:val="none"/>
              </w:rPr>
              <w:t>等</w:t>
            </w:r>
            <w:r>
              <w:rPr>
                <w:color w:val="auto"/>
                <w:sz w:val="24"/>
                <w:highlight w:val="none"/>
              </w:rPr>
              <w:t>共约</w:t>
            </w:r>
            <w:r>
              <w:rPr>
                <w:rFonts w:hint="eastAsia"/>
                <w:color w:val="auto"/>
                <w:sz w:val="24"/>
                <w:highlight w:val="none"/>
              </w:rPr>
              <w:t>4</w:t>
            </w:r>
            <w:r>
              <w:rPr>
                <w:rFonts w:hint="eastAsia"/>
                <w:color w:val="auto"/>
                <w:sz w:val="24"/>
                <w:highlight w:val="none"/>
                <w:lang w:val="en-US" w:eastAsia="zh-CN"/>
              </w:rPr>
              <w:t>1.5</w:t>
            </w:r>
            <w:r>
              <w:rPr>
                <w:color w:val="auto"/>
                <w:sz w:val="24"/>
                <w:highlight w:val="none"/>
              </w:rPr>
              <w:t>万t</w:t>
            </w:r>
            <w:r>
              <w:rPr>
                <w:rFonts w:hint="eastAsia"/>
                <w:color w:val="auto"/>
                <w:sz w:val="24"/>
                <w:highlight w:val="none"/>
              </w:rPr>
              <w:t>/a</w:t>
            </w:r>
            <w:r>
              <w:rPr>
                <w:color w:val="auto"/>
                <w:sz w:val="24"/>
                <w:highlight w:val="none"/>
              </w:rPr>
              <w:t>，运输车辆按</w:t>
            </w:r>
            <w:r>
              <w:rPr>
                <w:rFonts w:hint="eastAsia"/>
                <w:color w:val="auto"/>
                <w:sz w:val="24"/>
                <w:highlight w:val="none"/>
              </w:rPr>
              <w:t>3</w:t>
            </w:r>
            <w:r>
              <w:rPr>
                <w:color w:val="auto"/>
                <w:sz w:val="24"/>
                <w:highlight w:val="none"/>
              </w:rPr>
              <w:t>0 t/辆计，则项目</w:t>
            </w:r>
            <w:r>
              <w:rPr>
                <w:color w:val="auto"/>
                <w:kern w:val="0"/>
                <w:sz w:val="24"/>
                <w:highlight w:val="none"/>
              </w:rPr>
              <w:t>运营期间日进出车辆数约</w:t>
            </w:r>
            <w:r>
              <w:rPr>
                <w:rFonts w:hint="eastAsia"/>
                <w:color w:val="auto"/>
                <w:kern w:val="0"/>
                <w:sz w:val="24"/>
                <w:highlight w:val="none"/>
              </w:rPr>
              <w:t>4</w:t>
            </w:r>
            <w:r>
              <w:rPr>
                <w:rFonts w:hint="eastAsia"/>
                <w:color w:val="auto"/>
                <w:kern w:val="0"/>
                <w:sz w:val="24"/>
                <w:highlight w:val="none"/>
                <w:lang w:val="en-US" w:eastAsia="zh-CN"/>
              </w:rPr>
              <w:t>7</w:t>
            </w:r>
            <w:r>
              <w:rPr>
                <w:color w:val="auto"/>
                <w:kern w:val="0"/>
                <w:sz w:val="24"/>
                <w:highlight w:val="none"/>
              </w:rPr>
              <w:t>辆，</w:t>
            </w:r>
            <w:r>
              <w:rPr>
                <w:color w:val="auto"/>
                <w:sz w:val="24"/>
                <w:highlight w:val="none"/>
              </w:rPr>
              <w:t>则日冲洗车辆用水约</w:t>
            </w:r>
            <w:r>
              <w:rPr>
                <w:rFonts w:hint="eastAsia"/>
                <w:color w:val="auto"/>
                <w:sz w:val="24"/>
                <w:highlight w:val="none"/>
              </w:rPr>
              <w:t>3.</w:t>
            </w:r>
            <w:r>
              <w:rPr>
                <w:rFonts w:hint="eastAsia"/>
                <w:color w:val="auto"/>
                <w:sz w:val="24"/>
                <w:highlight w:val="none"/>
                <w:lang w:val="en-US" w:eastAsia="zh-CN"/>
              </w:rPr>
              <w:t>76</w:t>
            </w:r>
            <w:r>
              <w:rPr>
                <w:color w:val="auto"/>
                <w:sz w:val="24"/>
                <w:highlight w:val="none"/>
              </w:rPr>
              <w:t xml:space="preserve"> m</w:t>
            </w:r>
            <w:r>
              <w:rPr>
                <w:color w:val="auto"/>
                <w:sz w:val="24"/>
                <w:highlight w:val="none"/>
                <w:vertAlign w:val="superscript"/>
              </w:rPr>
              <w:t>3</w:t>
            </w:r>
            <w:r>
              <w:rPr>
                <w:color w:val="auto"/>
                <w:sz w:val="24"/>
                <w:highlight w:val="none"/>
              </w:rPr>
              <w:t>/d，污水产生系数按0</w:t>
            </w:r>
            <w:r>
              <w:rPr>
                <w:rFonts w:hint="eastAsia"/>
                <w:color w:val="auto"/>
                <w:sz w:val="24"/>
                <w:highlight w:val="none"/>
              </w:rPr>
              <w:t>.9</w:t>
            </w:r>
            <w:r>
              <w:rPr>
                <w:color w:val="auto"/>
                <w:sz w:val="24"/>
                <w:highlight w:val="none"/>
              </w:rPr>
              <w:t>计，则车辆冲洗废水产生量为</w:t>
            </w:r>
            <w:r>
              <w:rPr>
                <w:rFonts w:hint="eastAsia"/>
                <w:color w:val="auto"/>
                <w:sz w:val="24"/>
                <w:highlight w:val="none"/>
              </w:rPr>
              <w:t>3.</w:t>
            </w:r>
            <w:r>
              <w:rPr>
                <w:rFonts w:hint="eastAsia"/>
                <w:color w:val="auto"/>
                <w:sz w:val="24"/>
                <w:highlight w:val="none"/>
                <w:lang w:val="en-US" w:eastAsia="zh-CN"/>
              </w:rPr>
              <w:t>38</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w:t>
            </w:r>
          </w:p>
          <w:p>
            <w:pPr>
              <w:widowControl/>
              <w:adjustRightInd w:val="0"/>
              <w:snapToGrid w:val="0"/>
              <w:spacing w:line="360" w:lineRule="auto"/>
              <w:ind w:firstLine="480" w:firstLineChars="200"/>
              <w:rPr>
                <w:color w:val="auto"/>
                <w:sz w:val="24"/>
                <w:highlight w:val="none"/>
              </w:rPr>
            </w:pPr>
            <w:r>
              <w:rPr>
                <w:rFonts w:hint="eastAsia" w:ascii="宋体" w:hAnsi="宋体" w:cs="宋体"/>
                <w:color w:val="auto"/>
                <w:sz w:val="24"/>
                <w:highlight w:val="none"/>
              </w:rPr>
              <w:t>④道路抑尘用水：经现场踏勘，目前厂区主干道已完成硬化，本次扩建工程区域的运输道路也进行硬化处置</w:t>
            </w:r>
            <w:r>
              <w:rPr>
                <w:rFonts w:hint="eastAsia" w:ascii="宋体" w:hAnsi="宋体" w:cs="宋体"/>
                <w:color w:val="auto"/>
                <w:sz w:val="24"/>
                <w:highlight w:val="none"/>
                <w:lang w:eastAsia="zh-CN"/>
              </w:rPr>
              <w:t>，</w:t>
            </w:r>
            <w:r>
              <w:rPr>
                <w:rFonts w:hint="eastAsia" w:ascii="宋体" w:hAnsi="宋体" w:cs="宋体"/>
                <w:color w:val="auto"/>
                <w:sz w:val="24"/>
                <w:highlight w:val="none"/>
              </w:rPr>
              <w:t>故项目运营期内道路扬尘产生量较小。</w:t>
            </w:r>
            <w:r>
              <w:rPr>
                <w:rFonts w:hint="eastAsia" w:ascii="宋体" w:hAnsi="宋体" w:cs="宋体"/>
                <w:color w:val="auto"/>
                <w:sz w:val="24"/>
                <w:highlight w:val="none"/>
                <w:lang w:eastAsia="zh-CN"/>
              </w:rPr>
              <w:t>结合扩建场地占地面积以及平面布置情况，预计场地内道路约为</w:t>
            </w:r>
            <w:r>
              <w:rPr>
                <w:rFonts w:hint="default" w:ascii="Times New Roman" w:hAnsi="Times New Roman" w:cs="Times New Roman"/>
                <w:color w:val="auto"/>
                <w:sz w:val="24"/>
                <w:highlight w:val="none"/>
                <w:lang w:val="en-US" w:eastAsia="zh-CN"/>
              </w:rPr>
              <w:t>400m</w:t>
            </w:r>
            <w:r>
              <w:rPr>
                <w:rFonts w:hint="default" w:ascii="Times New Roman" w:hAnsi="Times New Roman" w:cs="Times New Roman"/>
                <w:color w:val="auto"/>
                <w:sz w:val="24"/>
                <w:highlight w:val="none"/>
                <w:vertAlign w:val="superscript"/>
                <w:lang w:val="en-US" w:eastAsia="zh-CN"/>
              </w:rPr>
              <w:t>2</w:t>
            </w:r>
            <w:r>
              <w:rPr>
                <w:rFonts w:hint="eastAsia" w:cs="Times New Roman"/>
                <w:color w:val="auto"/>
                <w:sz w:val="24"/>
                <w:highlight w:val="none"/>
                <w:vertAlign w:val="baseline"/>
                <w:lang w:val="en-US" w:eastAsia="zh-CN"/>
              </w:rPr>
              <w:t>（80m</w:t>
            </w:r>
            <w:r>
              <w:rPr>
                <w:rFonts w:hint="default" w:ascii="Times New Roman" w:hAnsi="Times New Roman" w:cs="Times New Roman"/>
                <w:color w:val="auto"/>
                <w:sz w:val="24"/>
                <w:highlight w:val="none"/>
                <w:vertAlign w:val="baseline"/>
                <w:lang w:val="en-US" w:eastAsia="zh-CN"/>
              </w:rPr>
              <w:t>×</w:t>
            </w:r>
            <w:r>
              <w:rPr>
                <w:rFonts w:hint="eastAsia" w:cs="Times New Roman"/>
                <w:color w:val="auto"/>
                <w:sz w:val="24"/>
                <w:highlight w:val="none"/>
                <w:vertAlign w:val="baseline"/>
                <w:lang w:val="en-US" w:eastAsia="zh-CN"/>
              </w:rPr>
              <w:t>5m）；</w:t>
            </w:r>
            <w:r>
              <w:rPr>
                <w:rFonts w:hint="eastAsia"/>
                <w:color w:val="auto"/>
                <w:sz w:val="24"/>
                <w:highlight w:val="none"/>
                <w:lang w:eastAsia="zh-CN"/>
              </w:rPr>
              <w:t>参照</w:t>
            </w:r>
            <w:r>
              <w:rPr>
                <w:color w:val="auto"/>
                <w:sz w:val="24"/>
                <w:highlight w:val="none"/>
              </w:rPr>
              <w:t>《陕西省行业用水定额》</w:t>
            </w:r>
            <w:r>
              <w:rPr>
                <w:rFonts w:hint="eastAsia"/>
                <w:color w:val="auto"/>
                <w:sz w:val="24"/>
                <w:highlight w:val="none"/>
                <w:lang w:eastAsia="zh-CN"/>
              </w:rPr>
              <w:t>（</w:t>
            </w:r>
            <w:r>
              <w:rPr>
                <w:rFonts w:hint="eastAsia"/>
                <w:color w:val="auto"/>
                <w:sz w:val="24"/>
                <w:highlight w:val="none"/>
              </w:rPr>
              <w:t>DB 61/T 943</w:t>
            </w:r>
            <w:r>
              <w:rPr>
                <w:rFonts w:hint="eastAsia"/>
                <w:color w:val="auto"/>
                <w:sz w:val="24"/>
                <w:highlight w:val="none"/>
                <w:lang w:val="en-US" w:eastAsia="zh-CN"/>
              </w:rPr>
              <w:t>-</w:t>
            </w:r>
            <w:r>
              <w:rPr>
                <w:rFonts w:hint="eastAsia"/>
                <w:color w:val="auto"/>
                <w:sz w:val="24"/>
                <w:highlight w:val="none"/>
              </w:rPr>
              <w:t>2020</w:t>
            </w:r>
            <w:r>
              <w:rPr>
                <w:rFonts w:hint="eastAsia"/>
                <w:color w:val="auto"/>
                <w:sz w:val="24"/>
                <w:highlight w:val="none"/>
                <w:lang w:eastAsia="zh-CN"/>
              </w:rPr>
              <w:t>）</w:t>
            </w:r>
            <w:r>
              <w:rPr>
                <w:color w:val="auto"/>
                <w:sz w:val="24"/>
                <w:highlight w:val="none"/>
              </w:rPr>
              <w:t>中的</w:t>
            </w:r>
            <w:r>
              <w:rPr>
                <w:rFonts w:hint="eastAsia"/>
                <w:color w:val="auto"/>
                <w:sz w:val="24"/>
                <w:highlight w:val="none"/>
                <w:lang w:eastAsia="zh-CN"/>
              </w:rPr>
              <w:t>相关参数可知</w:t>
            </w:r>
            <w:r>
              <w:rPr>
                <w:color w:val="auto"/>
                <w:sz w:val="24"/>
                <w:highlight w:val="none"/>
              </w:rPr>
              <w:t>，道路浇洒按2.0L/m</w:t>
            </w:r>
            <w:r>
              <w:rPr>
                <w:color w:val="auto"/>
                <w:sz w:val="24"/>
                <w:highlight w:val="none"/>
                <w:vertAlign w:val="superscript"/>
              </w:rPr>
              <w:t>2</w:t>
            </w:r>
            <w:r>
              <w:rPr>
                <w:rFonts w:hint="default" w:ascii="Times New Roman" w:hAnsi="Times New Roman" w:cs="Times New Roman"/>
                <w:color w:val="auto"/>
                <w:sz w:val="24"/>
                <w:highlight w:val="none"/>
              </w:rPr>
              <w:t>·</w:t>
            </w:r>
            <w:r>
              <w:rPr>
                <w:color w:val="auto"/>
                <w:sz w:val="24"/>
                <w:highlight w:val="none"/>
              </w:rPr>
              <w:t>d计，</w:t>
            </w:r>
            <w:r>
              <w:rPr>
                <w:rFonts w:hint="eastAsia"/>
                <w:color w:val="auto"/>
                <w:sz w:val="24"/>
                <w:highlight w:val="none"/>
                <w:lang w:eastAsia="zh-CN"/>
              </w:rPr>
              <w:t>则场地日常道路抑尘用水量为</w:t>
            </w:r>
            <w:r>
              <w:rPr>
                <w:rFonts w:hint="eastAsia"/>
                <w:color w:val="auto"/>
                <w:sz w:val="24"/>
                <w:highlight w:val="none"/>
                <w:lang w:val="en-US" w:eastAsia="zh-CN"/>
              </w:rPr>
              <w:t>0.8</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由于</w:t>
            </w:r>
            <w:r>
              <w:rPr>
                <w:color w:val="auto"/>
                <w:sz w:val="24"/>
                <w:highlight w:val="none"/>
              </w:rPr>
              <w:t>浇</w:t>
            </w:r>
            <w:r>
              <w:rPr>
                <w:rFonts w:hint="eastAsia"/>
                <w:color w:val="auto"/>
                <w:sz w:val="24"/>
                <w:highlight w:val="none"/>
              </w:rPr>
              <w:t>洒</w:t>
            </w:r>
            <w:r>
              <w:rPr>
                <w:color w:val="auto"/>
                <w:sz w:val="24"/>
                <w:highlight w:val="none"/>
              </w:rPr>
              <w:t>面积较大，此类水完全蒸发，不会形成径流。</w:t>
            </w:r>
          </w:p>
          <w:p>
            <w:pPr>
              <w:snapToGrid w:val="0"/>
              <w:spacing w:line="360" w:lineRule="auto"/>
              <w:ind w:firstLine="480" w:firstLineChars="200"/>
              <w:rPr>
                <w:color w:val="auto"/>
                <w:sz w:val="24"/>
                <w:highlight w:val="none"/>
              </w:rPr>
            </w:pPr>
            <w:r>
              <w:rPr>
                <w:rFonts w:hint="eastAsia" w:ascii="宋体" w:hAnsi="宋体" w:cs="宋体"/>
                <w:color w:val="auto"/>
                <w:sz w:val="24"/>
                <w:highlight w:val="none"/>
              </w:rPr>
              <w:t>⑤生活用水：本次扩建计划新增员工</w:t>
            </w:r>
            <w:r>
              <w:rPr>
                <w:rFonts w:hint="eastAsia"/>
                <w:color w:val="auto"/>
                <w:sz w:val="24"/>
                <w:highlight w:val="none"/>
              </w:rPr>
              <w:t>6</w:t>
            </w:r>
            <w:r>
              <w:rPr>
                <w:color w:val="auto"/>
                <w:sz w:val="24"/>
                <w:highlight w:val="none"/>
              </w:rPr>
              <w:t>人，</w:t>
            </w:r>
            <w:r>
              <w:rPr>
                <w:rFonts w:hint="eastAsia"/>
                <w:color w:val="auto"/>
                <w:sz w:val="24"/>
                <w:highlight w:val="none"/>
                <w:lang w:eastAsia="zh-CN"/>
              </w:rPr>
              <w:t>厂区内不设食堂和宿舍，</w:t>
            </w:r>
            <w:r>
              <w:rPr>
                <w:rFonts w:hint="eastAsia"/>
                <w:color w:val="auto"/>
                <w:sz w:val="24"/>
                <w:highlight w:val="none"/>
              </w:rPr>
              <w:t>生活用水量按《建筑给水排水设计标准》（GB 50015-2019）中车间工人用水定额3</w:t>
            </w:r>
            <w:r>
              <w:rPr>
                <w:color w:val="auto"/>
                <w:sz w:val="24"/>
                <w:highlight w:val="none"/>
              </w:rPr>
              <w:t>0L/d</w:t>
            </w:r>
            <w:r>
              <w:rPr>
                <w:rFonts w:hint="eastAsia"/>
                <w:color w:val="auto"/>
                <w:sz w:val="24"/>
                <w:highlight w:val="none"/>
              </w:rPr>
              <w:t>·班计，由于本项目实行每天一班制，则需水量为54m</w:t>
            </w:r>
            <w:r>
              <w:rPr>
                <w:rFonts w:hint="eastAsia"/>
                <w:color w:val="auto"/>
                <w:sz w:val="24"/>
                <w:highlight w:val="none"/>
                <w:vertAlign w:val="superscript"/>
              </w:rPr>
              <w:t>3</w:t>
            </w:r>
            <w:r>
              <w:rPr>
                <w:color w:val="auto"/>
                <w:sz w:val="24"/>
                <w:highlight w:val="none"/>
              </w:rPr>
              <w:t>/a</w:t>
            </w:r>
            <w:r>
              <w:rPr>
                <w:rFonts w:hint="eastAsia"/>
                <w:color w:val="auto"/>
                <w:sz w:val="24"/>
                <w:highlight w:val="none"/>
              </w:rPr>
              <w:t>（0.18m</w:t>
            </w:r>
            <w:r>
              <w:rPr>
                <w:rFonts w:hint="eastAsia"/>
                <w:color w:val="auto"/>
                <w:sz w:val="24"/>
                <w:highlight w:val="none"/>
                <w:vertAlign w:val="superscript"/>
              </w:rPr>
              <w:t>3</w:t>
            </w:r>
            <w:r>
              <w:rPr>
                <w:color w:val="auto"/>
                <w:sz w:val="24"/>
                <w:highlight w:val="none"/>
              </w:rPr>
              <w:t>/d</w:t>
            </w:r>
            <w:r>
              <w:rPr>
                <w:rFonts w:hint="eastAsia"/>
                <w:color w:val="auto"/>
                <w:sz w:val="24"/>
                <w:highlight w:val="none"/>
              </w:rPr>
              <w:t>），排放系数取</w:t>
            </w:r>
            <w:r>
              <w:rPr>
                <w:color w:val="auto"/>
                <w:sz w:val="24"/>
                <w:highlight w:val="none"/>
              </w:rPr>
              <w:t>0.8</w:t>
            </w:r>
            <w:r>
              <w:rPr>
                <w:rFonts w:hint="eastAsia"/>
                <w:color w:val="auto"/>
                <w:sz w:val="24"/>
                <w:highlight w:val="none"/>
              </w:rPr>
              <w:t>，则生活污水排放量43.2m</w:t>
            </w:r>
            <w:r>
              <w:rPr>
                <w:rFonts w:hint="eastAsia"/>
                <w:color w:val="auto"/>
                <w:sz w:val="24"/>
                <w:highlight w:val="none"/>
                <w:vertAlign w:val="superscript"/>
              </w:rPr>
              <w:t>3</w:t>
            </w:r>
            <w:r>
              <w:rPr>
                <w:color w:val="auto"/>
                <w:sz w:val="24"/>
                <w:highlight w:val="none"/>
              </w:rPr>
              <w:t>/a</w:t>
            </w:r>
            <w:r>
              <w:rPr>
                <w:rFonts w:hint="eastAsia"/>
                <w:color w:val="auto"/>
                <w:sz w:val="24"/>
                <w:highlight w:val="none"/>
              </w:rPr>
              <w:t>（0.144m</w:t>
            </w:r>
            <w:r>
              <w:rPr>
                <w:rFonts w:hint="eastAsia"/>
                <w:color w:val="auto"/>
                <w:sz w:val="24"/>
                <w:highlight w:val="none"/>
                <w:vertAlign w:val="superscript"/>
              </w:rPr>
              <w:t>3</w:t>
            </w:r>
            <w:r>
              <w:rPr>
                <w:color w:val="auto"/>
                <w:sz w:val="24"/>
                <w:highlight w:val="none"/>
              </w:rPr>
              <w:t>/d</w:t>
            </w:r>
            <w:r>
              <w:rPr>
                <w:rFonts w:hint="eastAsia"/>
                <w:color w:val="auto"/>
                <w:sz w:val="24"/>
                <w:highlight w:val="none"/>
              </w:rPr>
              <w:t>）。</w:t>
            </w:r>
          </w:p>
          <w:p>
            <w:pPr>
              <w:spacing w:line="360" w:lineRule="auto"/>
              <w:ind w:firstLine="482"/>
              <w:rPr>
                <w:color w:val="auto"/>
                <w:sz w:val="24"/>
                <w:highlight w:val="none"/>
              </w:rPr>
            </w:pPr>
            <w:r>
              <w:rPr>
                <w:rFonts w:hint="eastAsia"/>
                <w:color w:val="auto"/>
                <w:sz w:val="24"/>
                <w:highlight w:val="none"/>
              </w:rPr>
              <w:t>综上，具体水平衡见下图：</w:t>
            </w:r>
          </w:p>
          <w:p>
            <w:pPr>
              <w:pStyle w:val="43"/>
              <w:ind w:firstLine="0" w:firstLineChars="0"/>
              <w:rPr>
                <w:color w:val="auto"/>
                <w:highlight w:val="none"/>
              </w:rPr>
            </w:pPr>
            <w:r>
              <w:rPr>
                <w:color w:val="auto"/>
                <w:highlight w:val="none"/>
              </w:rPr>
              <w:object>
                <v:shape id="_x0000_i1025" o:spt="75" type="#_x0000_t75" style="height:436.7pt;width:419.05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pPr>
              <w:spacing w:line="360" w:lineRule="auto"/>
              <w:jc w:val="center"/>
              <w:rPr>
                <w:color w:val="auto"/>
                <w:sz w:val="24"/>
                <w:highlight w:val="none"/>
              </w:rPr>
            </w:pPr>
            <w:r>
              <w:rPr>
                <w:b/>
                <w:bCs/>
                <w:color w:val="auto"/>
                <w:highlight w:val="none"/>
              </w:rPr>
              <w:t>图</w:t>
            </w:r>
            <w:r>
              <w:rPr>
                <w:rFonts w:hint="eastAsia"/>
                <w:b/>
                <w:bCs/>
                <w:color w:val="auto"/>
                <w:highlight w:val="none"/>
              </w:rPr>
              <w:t>2-1</w:t>
            </w:r>
            <w:r>
              <w:rPr>
                <w:b/>
                <w:bCs/>
                <w:color w:val="auto"/>
                <w:highlight w:val="none"/>
              </w:rPr>
              <w:t xml:space="preserve">  运营期水平衡图    单位m</w:t>
            </w:r>
            <w:r>
              <w:rPr>
                <w:b/>
                <w:bCs/>
                <w:color w:val="auto"/>
                <w:highlight w:val="none"/>
                <w:vertAlign w:val="superscript"/>
              </w:rPr>
              <w:t>3</w:t>
            </w:r>
            <w:r>
              <w:rPr>
                <w:b/>
                <w:bCs/>
                <w:color w:val="auto"/>
                <w:highlight w:val="none"/>
              </w:rPr>
              <w:t>/d</w:t>
            </w:r>
          </w:p>
          <w:p>
            <w:pPr>
              <w:adjustRightInd w:val="0"/>
              <w:snapToGrid w:val="0"/>
              <w:spacing w:line="360" w:lineRule="auto"/>
              <w:ind w:firstLine="480" w:firstLineChars="200"/>
              <w:rPr>
                <w:color w:val="auto"/>
                <w:sz w:val="24"/>
                <w:highlight w:val="none"/>
              </w:rPr>
            </w:pPr>
            <w:r>
              <w:rPr>
                <w:rFonts w:hint="eastAsia"/>
                <w:color w:val="auto"/>
                <w:sz w:val="24"/>
                <w:highlight w:val="none"/>
              </w:rPr>
              <w:t>9、项目物料平衡</w:t>
            </w:r>
          </w:p>
          <w:p>
            <w:pPr>
              <w:adjustRightInd w:val="0"/>
              <w:snapToGrid w:val="0"/>
              <w:spacing w:line="360" w:lineRule="auto"/>
              <w:ind w:firstLine="480" w:firstLineChars="200"/>
              <w:jc w:val="left"/>
              <w:rPr>
                <w:b/>
                <w:color w:val="auto"/>
                <w:szCs w:val="21"/>
                <w:highlight w:val="none"/>
              </w:rPr>
            </w:pPr>
            <w:r>
              <w:rPr>
                <w:rFonts w:hint="eastAsia"/>
                <w:bCs/>
                <w:color w:val="auto"/>
                <w:sz w:val="24"/>
                <w:highlight w:val="none"/>
              </w:rPr>
              <w:t>本项目</w:t>
            </w:r>
            <w:r>
              <w:rPr>
                <w:bCs/>
                <w:color w:val="auto"/>
                <w:sz w:val="24"/>
                <w:highlight w:val="none"/>
              </w:rPr>
              <w:t>物料平衡图</w:t>
            </w:r>
            <w:r>
              <w:rPr>
                <w:rFonts w:hint="eastAsia"/>
                <w:bCs/>
                <w:color w:val="auto"/>
                <w:sz w:val="24"/>
                <w:highlight w:val="none"/>
              </w:rPr>
              <w:t>见下表</w:t>
            </w:r>
            <w:r>
              <w:rPr>
                <w:bCs/>
                <w:color w:val="auto"/>
                <w:sz w:val="24"/>
                <w:highlight w:val="none"/>
              </w:rPr>
              <w:t>所示</w:t>
            </w:r>
            <w:r>
              <w:rPr>
                <w:rFonts w:hint="eastAsia"/>
                <w:bCs/>
                <w:color w:val="auto"/>
                <w:sz w:val="24"/>
                <w:highlight w:val="none"/>
              </w:rPr>
              <w:t>：</w:t>
            </w:r>
          </w:p>
          <w:p>
            <w:pPr>
              <w:adjustRightInd w:val="0"/>
              <w:snapToGrid w:val="0"/>
              <w:jc w:val="center"/>
              <w:rPr>
                <w:b/>
                <w:color w:val="auto"/>
                <w:szCs w:val="21"/>
                <w:highlight w:val="none"/>
              </w:rPr>
            </w:pPr>
            <w:r>
              <w:rPr>
                <w:b/>
                <w:color w:val="auto"/>
                <w:szCs w:val="21"/>
                <w:highlight w:val="none"/>
              </w:rPr>
              <w:t>表</w:t>
            </w:r>
            <w:r>
              <w:rPr>
                <w:rFonts w:hint="eastAsia"/>
                <w:b/>
                <w:color w:val="auto"/>
                <w:szCs w:val="21"/>
                <w:highlight w:val="none"/>
              </w:rPr>
              <w:t xml:space="preserve">2-5  </w:t>
            </w:r>
            <w:r>
              <w:rPr>
                <w:b/>
                <w:color w:val="auto"/>
                <w:szCs w:val="21"/>
                <w:highlight w:val="none"/>
              </w:rPr>
              <w:t xml:space="preserve"> 项目</w:t>
            </w:r>
            <w:r>
              <w:rPr>
                <w:b/>
                <w:color w:val="auto"/>
                <w:szCs w:val="18"/>
                <w:highlight w:val="none"/>
              </w:rPr>
              <w:t>物料平衡</w:t>
            </w:r>
            <w:r>
              <w:rPr>
                <w:b/>
                <w:color w:val="auto"/>
                <w:szCs w:val="21"/>
                <w:highlight w:val="none"/>
              </w:rPr>
              <w:t>表    单位</w:t>
            </w:r>
            <w:r>
              <w:rPr>
                <w:rFonts w:hint="eastAsia"/>
                <w:b/>
                <w:color w:val="auto"/>
                <w:szCs w:val="21"/>
                <w:highlight w:val="none"/>
              </w:rPr>
              <w:t xml:space="preserve"> </w:t>
            </w:r>
            <w:r>
              <w:rPr>
                <w:b/>
                <w:color w:val="auto"/>
                <w:szCs w:val="21"/>
                <w:highlight w:val="none"/>
              </w:rPr>
              <w:t>t/a</w:t>
            </w:r>
          </w:p>
          <w:tbl>
            <w:tblPr>
              <w:tblStyle w:val="34"/>
              <w:tblW w:w="838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7"/>
              <w:gridCol w:w="1650"/>
              <w:gridCol w:w="2324"/>
              <w:gridCol w:w="16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427" w:type="dxa"/>
                  <w:gridSpan w:val="2"/>
                  <w:tcBorders>
                    <w:tl2br w:val="nil"/>
                    <w:tr2bl w:val="nil"/>
                  </w:tcBorders>
                  <w:vAlign w:val="center"/>
                </w:tcPr>
                <w:p>
                  <w:pPr>
                    <w:tabs>
                      <w:tab w:val="left" w:pos="2418"/>
                      <w:tab w:val="left" w:pos="4203"/>
                      <w:tab w:val="left" w:pos="5708"/>
                      <w:tab w:val="left" w:pos="7213"/>
                      <w:tab w:val="left" w:pos="8718"/>
                    </w:tabs>
                    <w:snapToGrid w:val="0"/>
                    <w:jc w:val="center"/>
                    <w:rPr>
                      <w:bCs/>
                      <w:color w:val="auto"/>
                      <w:szCs w:val="21"/>
                      <w:highlight w:val="none"/>
                    </w:rPr>
                  </w:pPr>
                  <w:r>
                    <w:rPr>
                      <w:bCs/>
                      <w:color w:val="auto"/>
                      <w:szCs w:val="21"/>
                      <w:highlight w:val="none"/>
                    </w:rPr>
                    <w:t>输入</w:t>
                  </w:r>
                </w:p>
              </w:tc>
              <w:tc>
                <w:tcPr>
                  <w:tcW w:w="3958" w:type="dxa"/>
                  <w:gridSpan w:val="2"/>
                  <w:tcBorders>
                    <w:tl2br w:val="nil"/>
                    <w:tr2bl w:val="nil"/>
                  </w:tcBorders>
                  <w:vAlign w:val="center"/>
                </w:tcPr>
                <w:p>
                  <w:pPr>
                    <w:tabs>
                      <w:tab w:val="left" w:pos="2418"/>
                      <w:tab w:val="left" w:pos="4203"/>
                      <w:tab w:val="left" w:pos="5708"/>
                      <w:tab w:val="left" w:pos="7213"/>
                      <w:tab w:val="left" w:pos="8718"/>
                    </w:tabs>
                    <w:snapToGrid w:val="0"/>
                    <w:jc w:val="center"/>
                    <w:rPr>
                      <w:bCs/>
                      <w:color w:val="auto"/>
                      <w:szCs w:val="21"/>
                      <w:highlight w:val="none"/>
                    </w:rPr>
                  </w:pPr>
                  <w:r>
                    <w:rPr>
                      <w:bCs/>
                      <w:color w:val="auto"/>
                      <w:szCs w:val="21"/>
                      <w:highlight w:val="none"/>
                    </w:rPr>
                    <w:t>输出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2777" w:type="dxa"/>
                  <w:tcBorders>
                    <w:tl2br w:val="nil"/>
                    <w:tr2bl w:val="nil"/>
                  </w:tcBorders>
                  <w:vAlign w:val="center"/>
                </w:tcPr>
                <w:p>
                  <w:pPr>
                    <w:tabs>
                      <w:tab w:val="left" w:pos="2418"/>
                      <w:tab w:val="left" w:pos="4203"/>
                      <w:tab w:val="left" w:pos="5708"/>
                      <w:tab w:val="left" w:pos="7213"/>
                      <w:tab w:val="left" w:pos="8718"/>
                    </w:tabs>
                    <w:snapToGrid w:val="0"/>
                    <w:spacing w:beforeLines="30" w:afterLines="30"/>
                    <w:jc w:val="center"/>
                    <w:rPr>
                      <w:bCs/>
                      <w:color w:val="auto"/>
                      <w:szCs w:val="21"/>
                      <w:highlight w:val="none"/>
                    </w:rPr>
                  </w:pPr>
                  <w:r>
                    <w:rPr>
                      <w:rFonts w:hint="eastAsia" w:hAnsi="宋体"/>
                      <w:color w:val="auto"/>
                      <w:sz w:val="21"/>
                      <w:szCs w:val="21"/>
                      <w:highlight w:val="none"/>
                      <w:lang w:eastAsia="zh-CN"/>
                    </w:rPr>
                    <w:t>砂</w:t>
                  </w:r>
                  <w:r>
                    <w:rPr>
                      <w:rFonts w:hint="eastAsia"/>
                      <w:bCs/>
                      <w:color w:val="auto"/>
                      <w:szCs w:val="21"/>
                      <w:highlight w:val="none"/>
                    </w:rPr>
                    <w:t>料</w:t>
                  </w:r>
                </w:p>
              </w:tc>
              <w:tc>
                <w:tcPr>
                  <w:tcW w:w="1650" w:type="dxa"/>
                  <w:tcBorders>
                    <w:tl2br w:val="nil"/>
                    <w:tr2bl w:val="nil"/>
                  </w:tcBorders>
                </w:tcPr>
                <w:p>
                  <w:pPr>
                    <w:spacing w:beforeLines="30" w:afterLines="30"/>
                    <w:jc w:val="center"/>
                    <w:rPr>
                      <w:color w:val="auto"/>
                      <w:szCs w:val="21"/>
                      <w:highlight w:val="none"/>
                    </w:rPr>
                  </w:pPr>
                  <w:r>
                    <w:rPr>
                      <w:rFonts w:hint="eastAsia"/>
                      <w:color w:val="auto"/>
                      <w:szCs w:val="21"/>
                      <w:highlight w:val="none"/>
                    </w:rPr>
                    <w:t>215000</w:t>
                  </w:r>
                </w:p>
              </w:tc>
              <w:tc>
                <w:tcPr>
                  <w:tcW w:w="2324" w:type="dxa"/>
                  <w:tcBorders>
                    <w:tl2br w:val="nil"/>
                    <w:tr2bl w:val="nil"/>
                  </w:tcBorders>
                  <w:vAlign w:val="center"/>
                </w:tcPr>
                <w:p>
                  <w:pPr>
                    <w:snapToGrid w:val="0"/>
                    <w:jc w:val="center"/>
                    <w:rPr>
                      <w:bCs/>
                      <w:color w:val="auto"/>
                      <w:szCs w:val="21"/>
                      <w:highlight w:val="none"/>
                    </w:rPr>
                  </w:pPr>
                  <w:r>
                    <w:rPr>
                      <w:rFonts w:hint="eastAsia"/>
                      <w:bCs/>
                      <w:color w:val="auto"/>
                      <w:szCs w:val="21"/>
                      <w:highlight w:val="none"/>
                    </w:rPr>
                    <w:t>成品</w:t>
                  </w:r>
                  <w:r>
                    <w:rPr>
                      <w:rFonts w:hint="eastAsia"/>
                      <w:bCs/>
                      <w:color w:val="auto"/>
                      <w:szCs w:val="21"/>
                      <w:highlight w:val="none"/>
                      <w:lang w:eastAsia="zh-CN"/>
                    </w:rPr>
                    <w:t>砂（</w:t>
                  </w:r>
                  <w:r>
                    <w:rPr>
                      <w:rFonts w:hint="eastAsia"/>
                      <w:bCs/>
                      <w:color w:val="auto"/>
                      <w:szCs w:val="21"/>
                      <w:highlight w:val="none"/>
                    </w:rPr>
                    <w:t>细</w:t>
                  </w:r>
                  <w:r>
                    <w:rPr>
                      <w:rFonts w:hint="eastAsia"/>
                      <w:bCs/>
                      <w:color w:val="auto"/>
                      <w:szCs w:val="21"/>
                      <w:highlight w:val="none"/>
                      <w:lang w:eastAsia="zh-CN"/>
                    </w:rPr>
                    <w:t>砂</w:t>
                  </w:r>
                  <w:r>
                    <w:rPr>
                      <w:rFonts w:hint="eastAsia"/>
                      <w:bCs/>
                      <w:color w:val="auto"/>
                      <w:szCs w:val="21"/>
                      <w:highlight w:val="none"/>
                    </w:rPr>
                    <w:t>+粗</w:t>
                  </w:r>
                  <w:r>
                    <w:rPr>
                      <w:rFonts w:hint="eastAsia"/>
                      <w:bCs/>
                      <w:color w:val="auto"/>
                      <w:szCs w:val="21"/>
                      <w:highlight w:val="none"/>
                      <w:lang w:eastAsia="zh-CN"/>
                    </w:rPr>
                    <w:t>砂</w:t>
                  </w:r>
                  <w:r>
                    <w:rPr>
                      <w:rFonts w:hint="eastAsia"/>
                      <w:bCs/>
                      <w:color w:val="auto"/>
                      <w:szCs w:val="21"/>
                      <w:highlight w:val="none"/>
                    </w:rPr>
                    <w:t>）</w:t>
                  </w:r>
                </w:p>
              </w:tc>
              <w:tc>
                <w:tcPr>
                  <w:tcW w:w="1634" w:type="dxa"/>
                  <w:tcBorders>
                    <w:tl2br w:val="nil"/>
                    <w:tr2bl w:val="nil"/>
                  </w:tcBorders>
                  <w:vAlign w:val="center"/>
                </w:tcPr>
                <w:p>
                  <w:pPr>
                    <w:snapToGrid w:val="0"/>
                    <w:jc w:val="center"/>
                    <w:rPr>
                      <w:bCs/>
                      <w:color w:val="auto"/>
                      <w:szCs w:val="21"/>
                      <w:highlight w:val="none"/>
                    </w:rPr>
                  </w:pPr>
                  <w:r>
                    <w:rPr>
                      <w:rFonts w:hint="eastAsia"/>
                      <w:color w:val="auto"/>
                      <w:szCs w:val="21"/>
                      <w:highlight w:val="none"/>
                    </w:rPr>
                    <w:t>200000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77" w:type="dxa"/>
                  <w:tcBorders>
                    <w:tl2br w:val="nil"/>
                    <w:tr2bl w:val="nil"/>
                  </w:tcBorders>
                  <w:vAlign w:val="center"/>
                </w:tcPr>
                <w:p>
                  <w:pPr>
                    <w:tabs>
                      <w:tab w:val="left" w:pos="2418"/>
                      <w:tab w:val="left" w:pos="4203"/>
                      <w:tab w:val="left" w:pos="5708"/>
                      <w:tab w:val="left" w:pos="7213"/>
                      <w:tab w:val="left" w:pos="8718"/>
                    </w:tabs>
                    <w:snapToGrid w:val="0"/>
                    <w:spacing w:beforeLines="30" w:afterLines="30"/>
                    <w:jc w:val="center"/>
                    <w:rPr>
                      <w:color w:val="auto"/>
                      <w:szCs w:val="21"/>
                      <w:highlight w:val="none"/>
                    </w:rPr>
                  </w:pPr>
                  <w:r>
                    <w:rPr>
                      <w:rFonts w:hint="eastAsia"/>
                      <w:bCs/>
                      <w:color w:val="auto"/>
                      <w:szCs w:val="21"/>
                      <w:highlight w:val="none"/>
                    </w:rPr>
                    <w:t>絮凝剂</w:t>
                  </w:r>
                </w:p>
              </w:tc>
              <w:tc>
                <w:tcPr>
                  <w:tcW w:w="1650" w:type="dxa"/>
                  <w:tcBorders>
                    <w:tl2br w:val="nil"/>
                    <w:tr2bl w:val="nil"/>
                  </w:tcBorders>
                  <w:vAlign w:val="center"/>
                </w:tcPr>
                <w:p>
                  <w:pPr>
                    <w:tabs>
                      <w:tab w:val="left" w:pos="2418"/>
                      <w:tab w:val="left" w:pos="4203"/>
                      <w:tab w:val="left" w:pos="5708"/>
                      <w:tab w:val="left" w:pos="7213"/>
                      <w:tab w:val="left" w:pos="8718"/>
                    </w:tabs>
                    <w:snapToGrid w:val="0"/>
                    <w:spacing w:beforeLines="30" w:afterLines="30"/>
                    <w:jc w:val="center"/>
                    <w:rPr>
                      <w:color w:val="auto"/>
                      <w:szCs w:val="21"/>
                      <w:highlight w:val="none"/>
                    </w:rPr>
                  </w:pPr>
                  <w:r>
                    <w:rPr>
                      <w:rFonts w:hint="eastAsia"/>
                      <w:bCs/>
                      <w:color w:val="auto"/>
                      <w:szCs w:val="21"/>
                      <w:highlight w:val="none"/>
                    </w:rPr>
                    <w:t>1.68</w:t>
                  </w:r>
                </w:p>
              </w:tc>
              <w:tc>
                <w:tcPr>
                  <w:tcW w:w="2324" w:type="dxa"/>
                  <w:tcBorders>
                    <w:tl2br w:val="nil"/>
                    <w:tr2bl w:val="nil"/>
                  </w:tcBorders>
                  <w:vAlign w:val="center"/>
                </w:tcPr>
                <w:p>
                  <w:pPr>
                    <w:spacing w:beforeLines="20" w:afterLines="20"/>
                    <w:jc w:val="center"/>
                    <w:rPr>
                      <w:color w:val="auto"/>
                      <w:szCs w:val="21"/>
                      <w:highlight w:val="none"/>
                    </w:rPr>
                  </w:pPr>
                  <w:r>
                    <w:rPr>
                      <w:rFonts w:hint="eastAsia"/>
                      <w:bCs/>
                      <w:color w:val="auto"/>
                      <w:szCs w:val="21"/>
                      <w:highlight w:val="none"/>
                    </w:rPr>
                    <w:t>绝干泥饼</w:t>
                  </w:r>
                </w:p>
              </w:tc>
              <w:tc>
                <w:tcPr>
                  <w:tcW w:w="1634" w:type="dxa"/>
                  <w:tcBorders>
                    <w:tl2br w:val="nil"/>
                    <w:tr2bl w:val="nil"/>
                  </w:tcBorders>
                  <w:vAlign w:val="center"/>
                </w:tcPr>
                <w:p>
                  <w:pPr>
                    <w:spacing w:beforeLines="20" w:afterLines="20"/>
                    <w:jc w:val="center"/>
                    <w:rPr>
                      <w:bCs/>
                      <w:color w:val="auto"/>
                      <w:szCs w:val="21"/>
                      <w:highlight w:val="none"/>
                    </w:rPr>
                  </w:pPr>
                  <w:r>
                    <w:rPr>
                      <w:rFonts w:hint="eastAsia"/>
                      <w:bCs/>
                      <w:color w:val="auto"/>
                      <w:szCs w:val="21"/>
                      <w:highlight w:val="none"/>
                    </w:rPr>
                    <w:t>15000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77" w:type="dxa"/>
                  <w:tcBorders>
                    <w:tl2br w:val="nil"/>
                    <w:tr2bl w:val="nil"/>
                  </w:tcBorders>
                  <w:vAlign w:val="center"/>
                </w:tcPr>
                <w:p>
                  <w:pPr>
                    <w:tabs>
                      <w:tab w:val="left" w:pos="2418"/>
                      <w:tab w:val="left" w:pos="4203"/>
                      <w:tab w:val="left" w:pos="5708"/>
                      <w:tab w:val="left" w:pos="7213"/>
                      <w:tab w:val="left" w:pos="8718"/>
                    </w:tabs>
                    <w:snapToGrid w:val="0"/>
                    <w:spacing w:beforeLines="30" w:afterLines="30"/>
                    <w:jc w:val="center"/>
                    <w:rPr>
                      <w:bCs/>
                      <w:color w:val="auto"/>
                      <w:szCs w:val="21"/>
                      <w:highlight w:val="none"/>
                    </w:rPr>
                  </w:pPr>
                </w:p>
              </w:tc>
              <w:tc>
                <w:tcPr>
                  <w:tcW w:w="1650" w:type="dxa"/>
                  <w:tcBorders>
                    <w:tl2br w:val="nil"/>
                    <w:tr2bl w:val="nil"/>
                  </w:tcBorders>
                  <w:vAlign w:val="center"/>
                </w:tcPr>
                <w:p>
                  <w:pPr>
                    <w:tabs>
                      <w:tab w:val="left" w:pos="2418"/>
                      <w:tab w:val="left" w:pos="4203"/>
                      <w:tab w:val="left" w:pos="5708"/>
                      <w:tab w:val="left" w:pos="7213"/>
                      <w:tab w:val="left" w:pos="8718"/>
                    </w:tabs>
                    <w:snapToGrid w:val="0"/>
                    <w:spacing w:beforeLines="30" w:afterLines="30"/>
                    <w:jc w:val="center"/>
                    <w:rPr>
                      <w:bCs/>
                      <w:color w:val="auto"/>
                      <w:szCs w:val="21"/>
                      <w:highlight w:val="none"/>
                    </w:rPr>
                  </w:pPr>
                </w:p>
              </w:tc>
              <w:tc>
                <w:tcPr>
                  <w:tcW w:w="2324" w:type="dxa"/>
                  <w:tcBorders>
                    <w:tl2br w:val="nil"/>
                    <w:tr2bl w:val="nil"/>
                  </w:tcBorders>
                  <w:vAlign w:val="center"/>
                </w:tcPr>
                <w:p>
                  <w:pPr>
                    <w:spacing w:beforeLines="20" w:afterLines="20"/>
                    <w:jc w:val="center"/>
                    <w:rPr>
                      <w:color w:val="auto"/>
                      <w:highlight w:val="none"/>
                    </w:rPr>
                  </w:pPr>
                  <w:r>
                    <w:rPr>
                      <w:rFonts w:hint="eastAsia"/>
                      <w:color w:val="auto"/>
                      <w:highlight w:val="none"/>
                    </w:rPr>
                    <w:t>颗粒物</w:t>
                  </w:r>
                </w:p>
              </w:tc>
              <w:tc>
                <w:tcPr>
                  <w:tcW w:w="1634" w:type="dxa"/>
                  <w:tcBorders>
                    <w:tl2br w:val="nil"/>
                    <w:tr2bl w:val="nil"/>
                  </w:tcBorders>
                  <w:vAlign w:val="center"/>
                </w:tcPr>
                <w:p>
                  <w:pPr>
                    <w:spacing w:beforeLines="20" w:afterLines="20"/>
                    <w:jc w:val="center"/>
                    <w:rPr>
                      <w:color w:val="auto"/>
                      <w:highlight w:val="none"/>
                    </w:rPr>
                  </w:pPr>
                  <w:r>
                    <w:rPr>
                      <w:rFonts w:hint="eastAsia"/>
                      <w:color w:val="auto"/>
                      <w:highlight w:val="none"/>
                    </w:rPr>
                    <w:t>1.68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77" w:type="dxa"/>
                  <w:tcBorders>
                    <w:tl2br w:val="nil"/>
                    <w:tr2bl w:val="nil"/>
                  </w:tcBorders>
                  <w:vAlign w:val="center"/>
                </w:tcPr>
                <w:p>
                  <w:pPr>
                    <w:tabs>
                      <w:tab w:val="left" w:pos="2418"/>
                      <w:tab w:val="left" w:pos="4203"/>
                      <w:tab w:val="left" w:pos="5708"/>
                      <w:tab w:val="left" w:pos="7213"/>
                      <w:tab w:val="left" w:pos="8718"/>
                    </w:tabs>
                    <w:snapToGrid w:val="0"/>
                    <w:spacing w:beforeLines="30" w:afterLines="30"/>
                    <w:jc w:val="center"/>
                    <w:rPr>
                      <w:bCs/>
                      <w:color w:val="auto"/>
                      <w:szCs w:val="21"/>
                      <w:highlight w:val="none"/>
                    </w:rPr>
                  </w:pPr>
                  <w:r>
                    <w:rPr>
                      <w:bCs/>
                      <w:color w:val="auto"/>
                      <w:szCs w:val="21"/>
                      <w:highlight w:val="none"/>
                    </w:rPr>
                    <w:t>总计</w:t>
                  </w:r>
                </w:p>
              </w:tc>
              <w:tc>
                <w:tcPr>
                  <w:tcW w:w="1650" w:type="dxa"/>
                  <w:tcBorders>
                    <w:tl2br w:val="nil"/>
                    <w:tr2bl w:val="nil"/>
                  </w:tcBorders>
                  <w:vAlign w:val="center"/>
                </w:tcPr>
                <w:p>
                  <w:pPr>
                    <w:spacing w:beforeLines="30" w:afterLines="30"/>
                    <w:jc w:val="center"/>
                    <w:rPr>
                      <w:color w:val="auto"/>
                      <w:szCs w:val="21"/>
                      <w:highlight w:val="none"/>
                    </w:rPr>
                  </w:pPr>
                  <w:r>
                    <w:rPr>
                      <w:rFonts w:hint="eastAsia"/>
                      <w:color w:val="auto"/>
                      <w:szCs w:val="21"/>
                      <w:highlight w:val="none"/>
                    </w:rPr>
                    <w:t>215001.68</w:t>
                  </w:r>
                </w:p>
              </w:tc>
              <w:tc>
                <w:tcPr>
                  <w:tcW w:w="2324" w:type="dxa"/>
                  <w:tcBorders>
                    <w:tl2br w:val="nil"/>
                    <w:tr2bl w:val="nil"/>
                  </w:tcBorders>
                  <w:vAlign w:val="center"/>
                </w:tcPr>
                <w:p>
                  <w:pPr>
                    <w:tabs>
                      <w:tab w:val="left" w:pos="2418"/>
                      <w:tab w:val="left" w:pos="4203"/>
                      <w:tab w:val="left" w:pos="5708"/>
                      <w:tab w:val="left" w:pos="7213"/>
                      <w:tab w:val="left" w:pos="8718"/>
                    </w:tabs>
                    <w:snapToGrid w:val="0"/>
                    <w:spacing w:beforeLines="30" w:afterLines="30"/>
                    <w:jc w:val="center"/>
                    <w:rPr>
                      <w:bCs/>
                      <w:color w:val="auto"/>
                      <w:szCs w:val="21"/>
                      <w:highlight w:val="none"/>
                    </w:rPr>
                  </w:pPr>
                  <w:r>
                    <w:rPr>
                      <w:bCs/>
                      <w:color w:val="auto"/>
                      <w:szCs w:val="21"/>
                      <w:highlight w:val="none"/>
                    </w:rPr>
                    <w:t>总计</w:t>
                  </w:r>
                </w:p>
              </w:tc>
              <w:tc>
                <w:tcPr>
                  <w:tcW w:w="1634" w:type="dxa"/>
                  <w:tcBorders>
                    <w:tl2br w:val="nil"/>
                    <w:tr2bl w:val="nil"/>
                  </w:tcBorders>
                  <w:vAlign w:val="center"/>
                </w:tcPr>
                <w:p>
                  <w:pPr>
                    <w:tabs>
                      <w:tab w:val="left" w:pos="2418"/>
                      <w:tab w:val="left" w:pos="4203"/>
                      <w:tab w:val="left" w:pos="5708"/>
                      <w:tab w:val="left" w:pos="7213"/>
                      <w:tab w:val="left" w:pos="8718"/>
                    </w:tabs>
                    <w:snapToGrid w:val="0"/>
                    <w:spacing w:beforeLines="30" w:afterLines="30"/>
                    <w:jc w:val="center"/>
                    <w:rPr>
                      <w:color w:val="auto"/>
                      <w:szCs w:val="21"/>
                      <w:highlight w:val="none"/>
                    </w:rPr>
                  </w:pPr>
                  <w:r>
                    <w:rPr>
                      <w:rFonts w:hint="eastAsia"/>
                      <w:color w:val="auto"/>
                      <w:szCs w:val="21"/>
                      <w:highlight w:val="none"/>
                    </w:rPr>
                    <w:t>215001.68</w:t>
                  </w:r>
                </w:p>
              </w:tc>
            </w:tr>
          </w:tbl>
          <w:p>
            <w:pPr>
              <w:adjustRightInd w:val="0"/>
              <w:snapToGrid w:val="0"/>
              <w:spacing w:line="360" w:lineRule="auto"/>
              <w:ind w:firstLine="422" w:firstLineChars="200"/>
              <w:jc w:val="left"/>
              <w:rPr>
                <w:b/>
                <w:color w:val="auto"/>
                <w:highlight w:val="none"/>
              </w:rPr>
            </w:pPr>
            <w:r>
              <w:rPr>
                <w:b/>
                <w:color w:val="auto"/>
                <w:highlight w:val="none"/>
              </w:rPr>
              <w:t>注：上表所有物料均为干物料统计结果</w:t>
            </w:r>
            <w:r>
              <w:rPr>
                <w:rFonts w:hint="eastAsia"/>
                <w:b/>
                <w:color w:val="auto"/>
                <w:highlight w:val="none"/>
              </w:rPr>
              <w:t>。</w:t>
            </w:r>
          </w:p>
          <w:p>
            <w:pPr>
              <w:adjustRightInd w:val="0"/>
              <w:snapToGrid w:val="0"/>
              <w:spacing w:line="360" w:lineRule="auto"/>
              <w:ind w:firstLine="480" w:firstLineChars="200"/>
              <w:jc w:val="left"/>
              <w:rPr>
                <w:bCs/>
                <w:color w:val="auto"/>
                <w:sz w:val="24"/>
                <w:highlight w:val="none"/>
              </w:rPr>
            </w:pPr>
            <w:r>
              <w:rPr>
                <w:rFonts w:hint="eastAsia"/>
                <w:bCs/>
                <w:color w:val="auto"/>
                <w:sz w:val="24"/>
                <w:highlight w:val="none"/>
              </w:rPr>
              <w:t>10、厂区平面布置</w:t>
            </w:r>
          </w:p>
          <w:p>
            <w:pPr>
              <w:pStyle w:val="42"/>
              <w:spacing w:line="360" w:lineRule="auto"/>
              <w:ind w:firstLine="480" w:firstLineChars="200"/>
              <w:jc w:val="both"/>
              <w:rPr>
                <w:rFonts w:hint="eastAsia" w:ascii="Times New Roman" w:cs="Times New Roman"/>
                <w:bCs/>
                <w:color w:val="auto"/>
                <w:highlight w:val="none"/>
                <w:lang w:eastAsia="zh-CN"/>
              </w:rPr>
            </w:pPr>
            <w:r>
              <w:rPr>
                <w:rFonts w:hint="eastAsia" w:ascii="Times New Roman" w:cs="Times New Roman"/>
                <w:bCs/>
                <w:color w:val="auto"/>
                <w:highlight w:val="none"/>
                <w:lang w:eastAsia="zh-CN"/>
              </w:rPr>
              <w:t>本项目性质为扩建，在原有厂区内进行，因此厂区平面布置主要围绕两方面展开：现有厂区布置以及扩建场地布置。</w:t>
            </w:r>
          </w:p>
          <w:p>
            <w:pPr>
              <w:pStyle w:val="42"/>
              <w:spacing w:line="360" w:lineRule="auto"/>
              <w:ind w:firstLine="480" w:firstLineChars="200"/>
              <w:jc w:val="both"/>
              <w:rPr>
                <w:rFonts w:hint="eastAsia" w:ascii="Times New Roman" w:cs="Times New Roman"/>
                <w:bCs/>
                <w:color w:val="auto"/>
                <w:highlight w:val="none"/>
                <w:lang w:eastAsia="zh-CN"/>
              </w:rPr>
            </w:pPr>
            <w:r>
              <w:rPr>
                <w:rFonts w:hint="eastAsia" w:ascii="Times New Roman" w:cs="Times New Roman"/>
                <w:bCs/>
                <w:color w:val="auto"/>
                <w:highlight w:val="none"/>
                <w:lang w:eastAsia="zh-CN"/>
              </w:rPr>
              <w:t>现有厂区出入口位于西侧，紧邻村道，便于制砖原料和成品烧结砖运输。进入厂区沿主干道往东，依次为生活办公区、洗车平台、窑体，窑体西南侧为成品区、东南侧为破碎车间和原料区。</w:t>
            </w:r>
          </w:p>
          <w:p>
            <w:pPr>
              <w:pStyle w:val="42"/>
              <w:spacing w:line="360" w:lineRule="auto"/>
              <w:ind w:firstLine="480" w:firstLineChars="200"/>
              <w:jc w:val="both"/>
              <w:rPr>
                <w:color w:val="auto"/>
                <w:highlight w:val="none"/>
              </w:rPr>
            </w:pPr>
            <w:r>
              <w:rPr>
                <w:rFonts w:ascii="Times New Roman" w:cs="Times New Roman"/>
                <w:bCs/>
                <w:color w:val="auto"/>
                <w:highlight w:val="none"/>
              </w:rPr>
              <w:t>本次扩建场地位于厂区窑体东侧和破碎车间</w:t>
            </w:r>
            <w:r>
              <w:rPr>
                <w:rFonts w:hint="eastAsia" w:ascii="Times New Roman" w:cs="Times New Roman"/>
                <w:bCs/>
                <w:color w:val="auto"/>
                <w:highlight w:val="none"/>
              </w:rPr>
              <w:t>东</w:t>
            </w:r>
            <w:r>
              <w:rPr>
                <w:rFonts w:ascii="Times New Roman" w:cs="Times New Roman"/>
                <w:bCs/>
                <w:color w:val="auto"/>
                <w:highlight w:val="none"/>
              </w:rPr>
              <w:t>北侧，占地面积5亩（约合3333.3m</w:t>
            </w:r>
            <w:r>
              <w:rPr>
                <w:rFonts w:ascii="Times New Roman" w:cs="Times New Roman"/>
                <w:bCs/>
                <w:color w:val="auto"/>
                <w:highlight w:val="none"/>
                <w:vertAlign w:val="superscript"/>
              </w:rPr>
              <w:t>2</w:t>
            </w:r>
            <w:r>
              <w:rPr>
                <w:rFonts w:ascii="Times New Roman" w:cs="Times New Roman"/>
                <w:bCs/>
                <w:color w:val="auto"/>
                <w:highlight w:val="none"/>
              </w:rPr>
              <w:t>）</w:t>
            </w:r>
            <w:r>
              <w:rPr>
                <w:rFonts w:hint="eastAsia" w:ascii="Times New Roman" w:cs="Times New Roman"/>
                <w:bCs/>
                <w:color w:val="auto"/>
                <w:highlight w:val="none"/>
              </w:rPr>
              <w:t>。场地</w:t>
            </w:r>
            <w:r>
              <w:rPr>
                <w:rFonts w:hint="eastAsia"/>
                <w:color w:val="auto"/>
                <w:highlight w:val="none"/>
              </w:rPr>
              <w:t>整体呈不规则形状，</w:t>
            </w:r>
            <w:r>
              <w:rPr>
                <w:rFonts w:hint="eastAsia"/>
                <w:bCs/>
                <w:color w:val="auto"/>
                <w:highlight w:val="none"/>
              </w:rPr>
              <w:t>内部包括生产车间、原料区、成品区及废水处理区。</w:t>
            </w:r>
            <w:r>
              <w:rPr>
                <w:rFonts w:hint="eastAsia"/>
                <w:bCs/>
                <w:color w:val="auto"/>
                <w:highlight w:val="none"/>
                <w:lang w:eastAsia="zh-CN"/>
              </w:rPr>
              <w:t>本项目出入口单独设置，</w:t>
            </w:r>
            <w:r>
              <w:rPr>
                <w:rFonts w:hint="eastAsia"/>
                <w:bCs/>
                <w:color w:val="auto"/>
                <w:highlight w:val="none"/>
              </w:rPr>
              <w:t>入口位于北侧，入口处现有临时道路一条</w:t>
            </w:r>
            <w:r>
              <w:rPr>
                <w:rFonts w:hint="eastAsia"/>
                <w:bCs/>
                <w:color w:val="auto"/>
                <w:highlight w:val="none"/>
                <w:lang w:eastAsia="zh-CN"/>
              </w:rPr>
              <w:t>（与窑体周边道路相连接）</w:t>
            </w:r>
            <w:r>
              <w:rPr>
                <w:rFonts w:hint="eastAsia"/>
                <w:bCs/>
                <w:color w:val="auto"/>
                <w:highlight w:val="none"/>
              </w:rPr>
              <w:t>，生产车间位于场地东南部，其西侧为原料区、北侧为成品区、南侧为废水处理区。场地内部构筑物数量少，内部构筑物及设施之间均由道路连接。总体而言，这样的场地内部设置便于员工进出、原料及产品运输，整体而言布置合理，具体见附图</w:t>
            </w:r>
            <w:r>
              <w:rPr>
                <w:rFonts w:hint="eastAsia" w:ascii="Times New Roman" w:cs="Times New Roman"/>
                <w:bCs/>
                <w:color w:val="auto"/>
                <w:kern w:val="2"/>
                <w:highlight w:val="none"/>
              </w:rPr>
              <w:t>4</w:t>
            </w:r>
            <w:r>
              <w:rPr>
                <w:rFonts w:hint="eastAsia"/>
                <w:bCs/>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r>
              <w:rPr>
                <w:rFonts w:hint="eastAsia" w:cs="宋体"/>
                <w:color w:val="auto"/>
                <w:szCs w:val="24"/>
                <w:highlight w:val="none"/>
              </w:rPr>
              <w:t>工艺流程和产排污环节</w:t>
            </w: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r>
              <w:rPr>
                <w:rFonts w:hint="eastAsia" w:cs="宋体"/>
                <w:color w:val="auto"/>
                <w:szCs w:val="24"/>
                <w:highlight w:val="none"/>
              </w:rPr>
              <w:t>工艺流程和产排污环节</w:t>
            </w: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center"/>
              <w:rPr>
                <w:rFonts w:cs="宋体"/>
                <w:color w:val="auto"/>
                <w:szCs w:val="24"/>
                <w:highlight w:val="none"/>
              </w:rPr>
            </w:pPr>
          </w:p>
          <w:p>
            <w:pPr>
              <w:pStyle w:val="29"/>
              <w:adjustRightInd w:val="0"/>
              <w:snapToGrid w:val="0"/>
              <w:spacing w:before="0" w:beforeAutospacing="0" w:after="0" w:afterAutospacing="0"/>
              <w:jc w:val="both"/>
              <w:rPr>
                <w:rFonts w:cs="宋体"/>
                <w:color w:val="auto"/>
                <w:szCs w:val="24"/>
                <w:highlight w:val="none"/>
              </w:rPr>
            </w:pPr>
          </w:p>
        </w:tc>
        <w:tc>
          <w:tcPr>
            <w:tcW w:w="8604" w:type="dxa"/>
          </w:tcPr>
          <w:p>
            <w:pPr>
              <w:adjustRightInd w:val="0"/>
              <w:snapToGrid w:val="0"/>
              <w:spacing w:line="360" w:lineRule="auto"/>
              <w:rPr>
                <w:b/>
                <w:color w:val="auto"/>
                <w:sz w:val="24"/>
                <w:highlight w:val="none"/>
              </w:rPr>
            </w:pPr>
            <w:r>
              <w:rPr>
                <w:rFonts w:hint="eastAsia"/>
                <w:b/>
                <w:color w:val="auto"/>
                <w:sz w:val="24"/>
                <w:highlight w:val="none"/>
              </w:rPr>
              <w:t>（一）施工期工艺流程及产污环节</w:t>
            </w:r>
          </w:p>
          <w:p>
            <w:pPr>
              <w:adjustRightInd w:val="0"/>
              <w:snapToGrid w:val="0"/>
              <w:spacing w:line="360" w:lineRule="auto"/>
              <w:ind w:firstLine="482" w:firstLineChars="200"/>
              <w:rPr>
                <w:bCs/>
                <w:color w:val="auto"/>
                <w:sz w:val="24"/>
                <w:highlight w:val="none"/>
              </w:rPr>
            </w:pPr>
            <w:r>
              <w:rPr>
                <w:rFonts w:hint="eastAsia"/>
                <w:b/>
                <w:color w:val="auto"/>
                <w:sz w:val="24"/>
                <w:highlight w:val="none"/>
              </w:rPr>
              <w:t>1、工艺流程</w:t>
            </w:r>
          </w:p>
          <w:p>
            <w:pPr>
              <w:adjustRightInd w:val="0"/>
              <w:snapToGrid w:val="0"/>
              <w:spacing w:line="360" w:lineRule="auto"/>
              <w:ind w:firstLine="480" w:firstLineChars="200"/>
              <w:rPr>
                <w:rFonts w:cs="宋体"/>
                <w:color w:val="auto"/>
                <w:sz w:val="24"/>
                <w:highlight w:val="none"/>
              </w:rPr>
            </w:pPr>
            <w:r>
              <w:rPr>
                <w:rFonts w:hint="eastAsia" w:cs="宋体"/>
                <w:color w:val="auto"/>
                <w:sz w:val="24"/>
                <w:highlight w:val="none"/>
              </w:rPr>
              <w:t>项目施工期主要流程及产污环节见下图：</w:t>
            </w:r>
          </w:p>
          <w:p>
            <w:pPr>
              <w:adjustRightInd w:val="0"/>
              <w:snapToGrid w:val="0"/>
              <w:spacing w:line="360" w:lineRule="auto"/>
              <w:jc w:val="center"/>
              <w:rPr>
                <w:color w:val="auto"/>
                <w:highlight w:val="none"/>
              </w:rPr>
            </w:pPr>
            <w:r>
              <w:rPr>
                <w:rFonts w:hint="eastAsia"/>
                <w:color w:val="auto"/>
                <w:highlight w:val="none"/>
              </w:rPr>
              <w:drawing>
                <wp:inline distT="0" distB="0" distL="114300" distR="114300">
                  <wp:extent cx="4806315" cy="1459865"/>
                  <wp:effectExtent l="0" t="0" r="13335" b="6985"/>
                  <wp:docPr id="1" name="图片 1" descr="QQ截图2023022316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30223161328"/>
                          <pic:cNvPicPr>
                            <a:picLocks noChangeAspect="1"/>
                          </pic:cNvPicPr>
                        </pic:nvPicPr>
                        <pic:blipFill>
                          <a:blip r:embed="rId12" cstate="print"/>
                          <a:stretch>
                            <a:fillRect/>
                          </a:stretch>
                        </pic:blipFill>
                        <pic:spPr>
                          <a:xfrm>
                            <a:off x="0" y="0"/>
                            <a:ext cx="4806315" cy="1459865"/>
                          </a:xfrm>
                          <a:prstGeom prst="rect">
                            <a:avLst/>
                          </a:prstGeom>
                        </pic:spPr>
                      </pic:pic>
                    </a:graphicData>
                  </a:graphic>
                </wp:inline>
              </w:drawing>
            </w:r>
          </w:p>
          <w:p>
            <w:pPr>
              <w:adjustRightInd w:val="0"/>
              <w:snapToGrid w:val="0"/>
              <w:spacing w:line="360" w:lineRule="auto"/>
              <w:jc w:val="center"/>
              <w:rPr>
                <w:color w:val="auto"/>
                <w:highlight w:val="none"/>
              </w:rPr>
            </w:pPr>
            <w:r>
              <w:rPr>
                <w:b/>
                <w:color w:val="auto"/>
                <w:szCs w:val="21"/>
                <w:highlight w:val="none"/>
              </w:rPr>
              <w:t>图</w:t>
            </w:r>
            <w:r>
              <w:rPr>
                <w:rFonts w:hint="eastAsia"/>
                <w:b/>
                <w:color w:val="auto"/>
                <w:szCs w:val="21"/>
                <w:highlight w:val="none"/>
              </w:rPr>
              <w:t>2-2</w:t>
            </w:r>
            <w:r>
              <w:rPr>
                <w:b/>
                <w:color w:val="auto"/>
                <w:szCs w:val="21"/>
                <w:highlight w:val="none"/>
              </w:rPr>
              <w:t xml:space="preserve">   施工期基本工序及污染工艺流程图</w:t>
            </w:r>
          </w:p>
          <w:p>
            <w:pPr>
              <w:adjustRightInd w:val="0"/>
              <w:snapToGrid w:val="0"/>
              <w:spacing w:line="360" w:lineRule="auto"/>
              <w:ind w:firstLine="482" w:firstLineChars="200"/>
              <w:rPr>
                <w:b/>
                <w:color w:val="auto"/>
                <w:sz w:val="24"/>
                <w:highlight w:val="none"/>
              </w:rPr>
            </w:pPr>
            <w:r>
              <w:rPr>
                <w:rFonts w:hint="eastAsia" w:cs="宋体"/>
                <w:b/>
                <w:color w:val="auto"/>
                <w:sz w:val="24"/>
                <w:highlight w:val="none"/>
              </w:rPr>
              <w:t>工艺流程简述：</w:t>
            </w:r>
          </w:p>
          <w:p>
            <w:pPr>
              <w:adjustRightInd w:val="0"/>
              <w:snapToGrid w:val="0"/>
              <w:spacing w:line="360" w:lineRule="auto"/>
              <w:ind w:firstLine="480" w:firstLineChars="200"/>
              <w:rPr>
                <w:bCs/>
                <w:color w:val="auto"/>
                <w:sz w:val="24"/>
                <w:highlight w:val="none"/>
              </w:rPr>
            </w:pPr>
            <w:r>
              <w:rPr>
                <w:rFonts w:hint="eastAsia" w:ascii="宋体" w:hAnsi="宋体" w:cs="宋体"/>
                <w:bCs/>
                <w:color w:val="auto"/>
                <w:sz w:val="24"/>
                <w:highlight w:val="none"/>
              </w:rPr>
              <w:t>①首先</w:t>
            </w:r>
            <w:r>
              <w:rPr>
                <w:rFonts w:hint="eastAsia"/>
                <w:bCs/>
                <w:color w:val="auto"/>
                <w:sz w:val="24"/>
                <w:highlight w:val="none"/>
              </w:rPr>
              <w:t>平整场地，为项目建筑物的筑造打好基础；</w:t>
            </w:r>
          </w:p>
          <w:p>
            <w:pPr>
              <w:adjustRightInd w:val="0"/>
              <w:snapToGrid w:val="0"/>
              <w:spacing w:line="360" w:lineRule="auto"/>
              <w:ind w:firstLine="480" w:firstLineChars="200"/>
              <w:rPr>
                <w:bCs/>
                <w:color w:val="auto"/>
                <w:sz w:val="24"/>
                <w:highlight w:val="none"/>
              </w:rPr>
            </w:pPr>
            <w:r>
              <w:rPr>
                <w:rFonts w:hint="eastAsia" w:ascii="宋体" w:hAnsi="宋体" w:cs="宋体"/>
                <w:bCs/>
                <w:color w:val="auto"/>
                <w:sz w:val="24"/>
                <w:highlight w:val="none"/>
              </w:rPr>
              <w:t>②其次</w:t>
            </w:r>
            <w:r>
              <w:rPr>
                <w:rFonts w:hint="eastAsia"/>
                <w:bCs/>
                <w:color w:val="auto"/>
                <w:sz w:val="24"/>
                <w:highlight w:val="none"/>
              </w:rPr>
              <w:t>进行项目生产线基础工程建设，包括生产区及运输道路场地硬化等；</w:t>
            </w:r>
          </w:p>
          <w:p>
            <w:pPr>
              <w:adjustRightInd w:val="0"/>
              <w:snapToGrid w:val="0"/>
              <w:spacing w:line="360" w:lineRule="auto"/>
              <w:ind w:firstLine="480" w:firstLineChars="200"/>
              <w:rPr>
                <w:bCs/>
                <w:color w:val="auto"/>
                <w:sz w:val="24"/>
                <w:highlight w:val="none"/>
              </w:rPr>
            </w:pPr>
            <w:r>
              <w:rPr>
                <w:rFonts w:hint="eastAsia" w:ascii="宋体" w:hAnsi="宋体" w:cs="宋体"/>
                <w:bCs/>
                <w:color w:val="auto"/>
                <w:sz w:val="24"/>
                <w:highlight w:val="none"/>
              </w:rPr>
              <w:t>③进行主体工程建设，包括厂房搭建、原料及成品区搭建、清水池修建等</w:t>
            </w:r>
            <w:r>
              <w:rPr>
                <w:rFonts w:hint="eastAsia"/>
                <w:bCs/>
                <w:color w:val="auto"/>
                <w:sz w:val="24"/>
                <w:highlight w:val="none"/>
              </w:rPr>
              <w:t>；</w:t>
            </w:r>
          </w:p>
          <w:p>
            <w:pPr>
              <w:adjustRightInd w:val="0"/>
              <w:snapToGrid w:val="0"/>
              <w:spacing w:line="360" w:lineRule="auto"/>
              <w:ind w:firstLine="480" w:firstLineChars="200"/>
              <w:rPr>
                <w:bCs/>
                <w:color w:val="auto"/>
                <w:sz w:val="24"/>
                <w:highlight w:val="none"/>
              </w:rPr>
            </w:pPr>
            <w:r>
              <w:rPr>
                <w:rFonts w:hint="eastAsia" w:ascii="宋体" w:hAnsi="宋体" w:cs="宋体"/>
                <w:bCs/>
                <w:color w:val="auto"/>
                <w:sz w:val="24"/>
                <w:highlight w:val="none"/>
              </w:rPr>
              <w:t>④</w:t>
            </w:r>
            <w:r>
              <w:rPr>
                <w:rFonts w:hint="eastAsia"/>
                <w:bCs/>
                <w:color w:val="auto"/>
                <w:sz w:val="24"/>
                <w:highlight w:val="none"/>
              </w:rPr>
              <w:t>安装相应的生产设备及配套设施；</w:t>
            </w:r>
          </w:p>
          <w:p>
            <w:pPr>
              <w:adjustRightInd w:val="0"/>
              <w:snapToGrid w:val="0"/>
              <w:spacing w:line="360" w:lineRule="auto"/>
              <w:ind w:firstLine="480" w:firstLineChars="200"/>
              <w:rPr>
                <w:bCs/>
                <w:color w:val="auto"/>
                <w:sz w:val="24"/>
                <w:highlight w:val="none"/>
              </w:rPr>
            </w:pPr>
            <w:r>
              <w:rPr>
                <w:rFonts w:hint="eastAsia" w:ascii="宋体" w:hAnsi="宋体" w:cs="宋体"/>
                <w:bCs/>
                <w:color w:val="auto"/>
                <w:sz w:val="24"/>
                <w:highlight w:val="none"/>
              </w:rPr>
              <w:t>⑤最后</w:t>
            </w:r>
            <w:r>
              <w:rPr>
                <w:rFonts w:hint="eastAsia"/>
                <w:bCs/>
                <w:color w:val="auto"/>
                <w:sz w:val="24"/>
                <w:highlight w:val="none"/>
              </w:rPr>
              <w:t>对施工时剩余的建筑材料进行清理分类收集后，进行工程验收。</w:t>
            </w:r>
          </w:p>
          <w:p>
            <w:pPr>
              <w:adjustRightInd w:val="0"/>
              <w:snapToGrid w:val="0"/>
              <w:spacing w:line="360" w:lineRule="auto"/>
              <w:ind w:firstLine="482" w:firstLineChars="200"/>
              <w:rPr>
                <w:b/>
                <w:color w:val="auto"/>
                <w:sz w:val="24"/>
                <w:highlight w:val="none"/>
              </w:rPr>
            </w:pPr>
            <w:r>
              <w:rPr>
                <w:b/>
                <w:color w:val="auto"/>
                <w:sz w:val="24"/>
                <w:highlight w:val="none"/>
              </w:rPr>
              <w:t>2</w:t>
            </w:r>
            <w:r>
              <w:rPr>
                <w:rFonts w:hint="eastAsia" w:cs="宋体"/>
                <w:b/>
                <w:color w:val="auto"/>
                <w:sz w:val="24"/>
                <w:highlight w:val="none"/>
              </w:rPr>
              <w:t>、主要产排污环节</w:t>
            </w:r>
          </w:p>
          <w:p>
            <w:pPr>
              <w:adjustRightInd w:val="0"/>
              <w:snapToGrid w:val="0"/>
              <w:spacing w:line="360" w:lineRule="auto"/>
              <w:ind w:firstLine="480" w:firstLineChars="200"/>
              <w:rPr>
                <w:color w:val="auto"/>
                <w:sz w:val="24"/>
                <w:highlight w:val="none"/>
              </w:rPr>
            </w:pPr>
            <w:r>
              <w:rPr>
                <w:rFonts w:hint="eastAsia" w:cs="宋体"/>
                <w:color w:val="auto"/>
                <w:sz w:val="24"/>
                <w:highlight w:val="none"/>
              </w:rPr>
              <w:t>（</w:t>
            </w:r>
            <w:r>
              <w:rPr>
                <w:color w:val="auto"/>
                <w:sz w:val="24"/>
                <w:highlight w:val="none"/>
              </w:rPr>
              <w:t>1</w:t>
            </w:r>
            <w:r>
              <w:rPr>
                <w:rFonts w:hint="eastAsia" w:cs="宋体"/>
                <w:color w:val="auto"/>
                <w:sz w:val="24"/>
                <w:highlight w:val="none"/>
              </w:rPr>
              <w:t>）废气：施工期大气污染物主要包括施工扬尘、焊接废气、燃油机械及运输车辆尾气。</w:t>
            </w:r>
          </w:p>
          <w:p>
            <w:pPr>
              <w:adjustRightInd w:val="0"/>
              <w:snapToGrid w:val="0"/>
              <w:spacing w:line="360" w:lineRule="auto"/>
              <w:ind w:firstLine="482"/>
              <w:rPr>
                <w:color w:val="auto"/>
                <w:sz w:val="24"/>
                <w:highlight w:val="none"/>
              </w:rPr>
            </w:pPr>
            <w:r>
              <w:rPr>
                <w:rFonts w:hint="eastAsia" w:cs="宋体"/>
                <w:color w:val="auto"/>
                <w:sz w:val="24"/>
                <w:highlight w:val="none"/>
              </w:rPr>
              <w:t>（</w:t>
            </w:r>
            <w:r>
              <w:rPr>
                <w:color w:val="auto"/>
                <w:sz w:val="24"/>
                <w:highlight w:val="none"/>
              </w:rPr>
              <w:t>2</w:t>
            </w:r>
            <w:r>
              <w:rPr>
                <w:rFonts w:hint="eastAsia" w:cs="宋体"/>
                <w:color w:val="auto"/>
                <w:sz w:val="24"/>
                <w:highlight w:val="none"/>
              </w:rPr>
              <w:t>）废水：本项目施工产生废水为施工人员生活污水以及施工过程产生的生产废水。</w:t>
            </w:r>
          </w:p>
          <w:p>
            <w:pPr>
              <w:tabs>
                <w:tab w:val="left" w:pos="2220"/>
              </w:tabs>
              <w:adjustRightInd w:val="0"/>
              <w:snapToGrid w:val="0"/>
              <w:spacing w:line="360" w:lineRule="auto"/>
              <w:ind w:firstLine="480" w:firstLineChars="200"/>
              <w:rPr>
                <w:color w:val="auto"/>
                <w:sz w:val="24"/>
                <w:highlight w:val="none"/>
              </w:rPr>
            </w:pPr>
            <w:r>
              <w:rPr>
                <w:rFonts w:hint="eastAsia" w:cs="宋体"/>
                <w:color w:val="auto"/>
                <w:sz w:val="24"/>
                <w:highlight w:val="none"/>
              </w:rPr>
              <w:t>（</w:t>
            </w:r>
            <w:r>
              <w:rPr>
                <w:color w:val="auto"/>
                <w:sz w:val="24"/>
                <w:highlight w:val="none"/>
              </w:rPr>
              <w:t>3</w:t>
            </w:r>
            <w:r>
              <w:rPr>
                <w:rFonts w:hint="eastAsia" w:cs="宋体"/>
                <w:color w:val="auto"/>
                <w:sz w:val="24"/>
                <w:highlight w:val="none"/>
              </w:rPr>
              <w:t>）噪声：施工噪声主要是来源于设备安装、原辅料运输等施工活动。</w:t>
            </w:r>
          </w:p>
          <w:p>
            <w:pPr>
              <w:tabs>
                <w:tab w:val="left" w:pos="2220"/>
                <w:tab w:val="left" w:pos="2730"/>
              </w:tabs>
              <w:adjustRightInd w:val="0"/>
              <w:snapToGrid w:val="0"/>
              <w:spacing w:line="360" w:lineRule="auto"/>
              <w:ind w:firstLine="480" w:firstLineChars="200"/>
              <w:rPr>
                <w:color w:val="auto"/>
                <w:highlight w:val="none"/>
              </w:rPr>
            </w:pPr>
            <w:r>
              <w:rPr>
                <w:rFonts w:hint="eastAsia" w:cs="宋体"/>
                <w:color w:val="auto"/>
                <w:sz w:val="24"/>
                <w:highlight w:val="none"/>
              </w:rPr>
              <w:t>（</w:t>
            </w:r>
            <w:r>
              <w:rPr>
                <w:color w:val="auto"/>
                <w:sz w:val="24"/>
                <w:highlight w:val="none"/>
              </w:rPr>
              <w:t>4</w:t>
            </w:r>
            <w:r>
              <w:rPr>
                <w:rFonts w:hint="eastAsia" w:cs="宋体"/>
                <w:color w:val="auto"/>
                <w:sz w:val="24"/>
                <w:highlight w:val="none"/>
              </w:rPr>
              <w:t>）固体废物：</w:t>
            </w:r>
            <w:r>
              <w:rPr>
                <w:rFonts w:hint="eastAsia"/>
                <w:color w:val="auto"/>
                <w:sz w:val="24"/>
                <w:highlight w:val="none"/>
              </w:rPr>
              <w:t>由于本项目施工过程会涉及清水池开挖，因此会产生少量弃方，建设单位拟将其全部用于场地填平</w:t>
            </w:r>
            <w:r>
              <w:rPr>
                <w:rFonts w:hint="eastAsia" w:cs="宋体"/>
                <w:color w:val="auto"/>
                <w:sz w:val="24"/>
                <w:highlight w:val="none"/>
              </w:rPr>
              <w:t>，因此施工过程产生的固体废物主要为建筑垃圾以及施工人员的生活垃圾。</w:t>
            </w:r>
          </w:p>
          <w:p>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二</w:t>
            </w:r>
            <w:r>
              <w:rPr>
                <w:rFonts w:hint="eastAsia" w:ascii="宋体" w:hAnsi="宋体"/>
                <w:b/>
                <w:color w:val="auto"/>
                <w:sz w:val="24"/>
                <w:highlight w:val="none"/>
              </w:rPr>
              <w:t>）</w:t>
            </w:r>
            <w:r>
              <w:rPr>
                <w:rFonts w:ascii="宋体" w:hAnsi="宋体"/>
                <w:b/>
                <w:color w:val="auto"/>
                <w:sz w:val="24"/>
                <w:highlight w:val="none"/>
              </w:rPr>
              <w:t>营运期工艺流程及产污环节</w:t>
            </w:r>
          </w:p>
          <w:p>
            <w:pPr>
              <w:adjustRightInd w:val="0"/>
              <w:snapToGrid w:val="0"/>
              <w:spacing w:line="360" w:lineRule="auto"/>
              <w:ind w:firstLine="482" w:firstLineChars="200"/>
              <w:rPr>
                <w:b/>
                <w:bCs/>
                <w:color w:val="auto"/>
                <w:sz w:val="24"/>
                <w:highlight w:val="none"/>
              </w:rPr>
            </w:pPr>
            <w:r>
              <w:rPr>
                <w:rFonts w:hint="eastAsia"/>
                <w:b/>
                <w:bCs/>
                <w:color w:val="auto"/>
                <w:sz w:val="24"/>
                <w:highlight w:val="none"/>
              </w:rPr>
              <w:t>1、工艺流程</w:t>
            </w:r>
          </w:p>
          <w:p>
            <w:pPr>
              <w:adjustRightInd w:val="0"/>
              <w:snapToGrid w:val="0"/>
              <w:spacing w:line="360" w:lineRule="auto"/>
              <w:ind w:firstLine="480" w:firstLineChars="200"/>
              <w:rPr>
                <w:color w:val="auto"/>
                <w:sz w:val="24"/>
                <w:highlight w:val="none"/>
              </w:rPr>
            </w:pPr>
            <w:r>
              <w:rPr>
                <w:rFonts w:hint="eastAsia"/>
                <w:color w:val="auto"/>
                <w:sz w:val="24"/>
                <w:highlight w:val="none"/>
              </w:rPr>
              <w:t>本次扩建项目运营期工艺流程及产污环节图如下：</w:t>
            </w:r>
          </w:p>
          <w:p>
            <w:pPr>
              <w:pStyle w:val="44"/>
              <w:rPr>
                <w:color w:val="auto"/>
                <w:highlight w:val="none"/>
              </w:rPr>
            </w:pPr>
            <w:r>
              <w:rPr>
                <w:color w:val="auto"/>
                <w:highlight w:val="none"/>
              </w:rPr>
              <w:object>
                <v:shape id="_x0000_i1026" o:spt="75" type="#_x0000_t75" style="height:162.75pt;width:418.5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p>
          <w:p>
            <w:pPr>
              <w:pStyle w:val="42"/>
              <w:jc w:val="center"/>
              <w:rPr>
                <w:rFonts w:eastAsia="等线"/>
                <w:b/>
                <w:color w:val="auto"/>
                <w:highlight w:val="none"/>
              </w:rPr>
            </w:pPr>
            <w:r>
              <w:rPr>
                <w:rFonts w:ascii="Times New Roman" w:cs="Times New Roman"/>
                <w:b/>
                <w:bCs/>
                <w:color w:val="auto"/>
                <w:sz w:val="21"/>
                <w:szCs w:val="21"/>
                <w:highlight w:val="none"/>
              </w:rPr>
              <w:t>图</w:t>
            </w:r>
            <w:r>
              <w:rPr>
                <w:rFonts w:hint="eastAsia" w:ascii="Times New Roman" w:cs="Times New Roman"/>
                <w:b/>
                <w:bCs/>
                <w:color w:val="auto"/>
                <w:sz w:val="21"/>
                <w:szCs w:val="21"/>
                <w:highlight w:val="none"/>
              </w:rPr>
              <w:t>2-3</w:t>
            </w:r>
            <w:r>
              <w:rPr>
                <w:rFonts w:ascii="Times New Roman" w:cs="Times New Roman"/>
                <w:b/>
                <w:bCs/>
                <w:color w:val="auto"/>
                <w:sz w:val="21"/>
                <w:szCs w:val="21"/>
                <w:highlight w:val="none"/>
              </w:rPr>
              <w:t xml:space="preserve"> </w:t>
            </w:r>
            <w:r>
              <w:rPr>
                <w:rFonts w:hint="eastAsia" w:ascii="Times New Roman" w:cs="Times New Roman"/>
                <w:b/>
                <w:bCs/>
                <w:color w:val="auto"/>
                <w:sz w:val="21"/>
                <w:szCs w:val="21"/>
                <w:highlight w:val="none"/>
              </w:rPr>
              <w:t xml:space="preserve"> 项目运营期</w:t>
            </w:r>
            <w:r>
              <w:rPr>
                <w:rFonts w:ascii="Times New Roman" w:cs="Times New Roman"/>
                <w:b/>
                <w:bCs/>
                <w:color w:val="auto"/>
                <w:sz w:val="21"/>
                <w:szCs w:val="21"/>
                <w:highlight w:val="none"/>
              </w:rPr>
              <w:t>工艺流程及产污环节图</w:t>
            </w:r>
          </w:p>
          <w:p>
            <w:pPr>
              <w:snapToGrid w:val="0"/>
              <w:spacing w:line="360" w:lineRule="auto"/>
              <w:ind w:firstLine="482" w:firstLineChars="200"/>
              <w:rPr>
                <w:b/>
                <w:bCs/>
                <w:color w:val="auto"/>
                <w:sz w:val="24"/>
                <w:highlight w:val="none"/>
              </w:rPr>
            </w:pPr>
            <w:r>
              <w:rPr>
                <w:rFonts w:hint="eastAsia"/>
                <w:b/>
                <w:bCs/>
                <w:color w:val="auto"/>
                <w:sz w:val="24"/>
                <w:highlight w:val="none"/>
              </w:rPr>
              <w:t>工艺流程简述：</w:t>
            </w:r>
          </w:p>
          <w:p>
            <w:pPr>
              <w:snapToGrid w:val="0"/>
              <w:spacing w:line="360" w:lineRule="auto"/>
              <w:ind w:firstLine="480" w:firstLineChars="200"/>
              <w:rPr>
                <w:color w:val="auto"/>
                <w:sz w:val="24"/>
                <w:highlight w:val="none"/>
              </w:rPr>
            </w:pPr>
            <w:r>
              <w:rPr>
                <w:rFonts w:hint="eastAsia" w:ascii="宋体" w:hAnsi="宋体" w:cs="宋体"/>
                <w:color w:val="auto"/>
                <w:sz w:val="24"/>
                <w:highlight w:val="none"/>
              </w:rPr>
              <w:t>①</w:t>
            </w:r>
            <w:r>
              <w:rPr>
                <w:rFonts w:hint="eastAsia" w:ascii="宋体" w:hAnsi="宋体" w:cs="宋体"/>
                <w:color w:val="auto"/>
                <w:sz w:val="24"/>
                <w:highlight w:val="none"/>
                <w:lang w:eastAsia="zh-CN"/>
              </w:rPr>
              <w:t>外购原料</w:t>
            </w:r>
            <w:r>
              <w:rPr>
                <w:rFonts w:hint="eastAsia" w:ascii="宋体" w:hAnsi="宋体" w:cs="宋体"/>
                <w:color w:val="auto"/>
                <w:sz w:val="24"/>
                <w:highlight w:val="none"/>
              </w:rPr>
              <w:t>分离：外购的原料首先通过分离筛进行筛分，目的为筛出原料中的粗</w:t>
            </w:r>
            <w:r>
              <w:rPr>
                <w:rFonts w:hint="eastAsia" w:hAnsi="宋体"/>
                <w:color w:val="auto"/>
                <w:sz w:val="24"/>
                <w:highlight w:val="none"/>
                <w:lang w:eastAsia="zh-CN"/>
              </w:rPr>
              <w:t>砂</w:t>
            </w:r>
            <w:r>
              <w:rPr>
                <w:rFonts w:hint="eastAsia" w:ascii="宋体" w:hAnsi="宋体" w:cs="宋体"/>
                <w:color w:val="auto"/>
                <w:sz w:val="24"/>
                <w:highlight w:val="none"/>
              </w:rPr>
              <w:t>，筛选出的细</w:t>
            </w:r>
            <w:r>
              <w:rPr>
                <w:rFonts w:hint="eastAsia" w:hAnsi="宋体"/>
                <w:color w:val="auto"/>
                <w:sz w:val="24"/>
                <w:highlight w:val="none"/>
                <w:lang w:eastAsia="zh-CN"/>
              </w:rPr>
              <w:t>砂</w:t>
            </w:r>
            <w:r>
              <w:rPr>
                <w:rFonts w:hint="eastAsia" w:ascii="宋体" w:hAnsi="宋体" w:cs="宋体"/>
                <w:color w:val="auto"/>
                <w:sz w:val="24"/>
                <w:highlight w:val="none"/>
              </w:rPr>
              <w:t>则进入</w:t>
            </w:r>
            <w:r>
              <w:rPr>
                <w:rFonts w:hint="eastAsia" w:ascii="宋体" w:hAnsi="宋体" w:cs="宋体"/>
                <w:color w:val="auto"/>
                <w:sz w:val="24"/>
                <w:highlight w:val="none"/>
                <w:lang w:eastAsia="zh-CN"/>
              </w:rPr>
              <w:t>洗砂工序</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②洗</w:t>
            </w:r>
            <w:r>
              <w:rPr>
                <w:rFonts w:hint="eastAsia" w:hAnsi="宋体"/>
                <w:color w:val="auto"/>
                <w:sz w:val="24"/>
                <w:highlight w:val="none"/>
                <w:lang w:eastAsia="zh-CN"/>
              </w:rPr>
              <w:t>砂</w:t>
            </w:r>
            <w:r>
              <w:rPr>
                <w:rFonts w:hint="eastAsia" w:ascii="宋体" w:hAnsi="宋体" w:cs="宋体"/>
                <w:color w:val="auto"/>
                <w:sz w:val="24"/>
                <w:highlight w:val="none"/>
              </w:rPr>
              <w:t>及脱水：为确保</w:t>
            </w:r>
            <w:r>
              <w:rPr>
                <w:rFonts w:hint="eastAsia" w:hAnsi="宋体"/>
                <w:color w:val="auto"/>
                <w:sz w:val="24"/>
                <w:highlight w:val="none"/>
                <w:lang w:eastAsia="zh-CN"/>
              </w:rPr>
              <w:t>砂</w:t>
            </w:r>
            <w:r>
              <w:rPr>
                <w:rFonts w:hint="eastAsia" w:ascii="宋体" w:hAnsi="宋体" w:cs="宋体"/>
                <w:color w:val="auto"/>
                <w:sz w:val="24"/>
                <w:highlight w:val="none"/>
              </w:rPr>
              <w:t>料更纯净，细</w:t>
            </w:r>
            <w:r>
              <w:rPr>
                <w:rFonts w:hint="eastAsia" w:hAnsi="宋体"/>
                <w:color w:val="auto"/>
                <w:sz w:val="24"/>
                <w:highlight w:val="none"/>
                <w:lang w:eastAsia="zh-CN"/>
              </w:rPr>
              <w:t>砂</w:t>
            </w:r>
            <w:r>
              <w:rPr>
                <w:rFonts w:hint="eastAsia" w:ascii="宋体" w:hAnsi="宋体" w:cs="宋体"/>
                <w:color w:val="auto"/>
                <w:sz w:val="24"/>
                <w:highlight w:val="none"/>
              </w:rPr>
              <w:t>先进入水轮式洗</w:t>
            </w:r>
            <w:r>
              <w:rPr>
                <w:rFonts w:hint="eastAsia" w:hAnsi="宋体"/>
                <w:color w:val="auto"/>
                <w:sz w:val="24"/>
                <w:highlight w:val="none"/>
                <w:lang w:eastAsia="zh-CN"/>
              </w:rPr>
              <w:t>砂</w:t>
            </w:r>
            <w:r>
              <w:rPr>
                <w:rFonts w:hint="eastAsia" w:ascii="宋体" w:hAnsi="宋体" w:cs="宋体"/>
                <w:color w:val="auto"/>
                <w:sz w:val="24"/>
                <w:highlight w:val="none"/>
              </w:rPr>
              <w:t>机内进行冲洗，冲洗后经脱水筛脱水，脱水完成后的细</w:t>
            </w:r>
            <w:r>
              <w:rPr>
                <w:rFonts w:hint="eastAsia" w:hAnsi="宋体"/>
                <w:color w:val="auto"/>
                <w:sz w:val="24"/>
                <w:highlight w:val="none"/>
                <w:lang w:eastAsia="zh-CN"/>
              </w:rPr>
              <w:t>砂</w:t>
            </w:r>
            <w:r>
              <w:rPr>
                <w:rFonts w:hint="eastAsia" w:ascii="宋体" w:hAnsi="宋体" w:cs="宋体"/>
                <w:color w:val="auto"/>
                <w:sz w:val="24"/>
                <w:highlight w:val="none"/>
              </w:rPr>
              <w:t>进入成品区暂存，定期外售。</w:t>
            </w:r>
          </w:p>
          <w:p>
            <w:pPr>
              <w:snapToGrid w:val="0"/>
              <w:spacing w:line="360" w:lineRule="auto"/>
              <w:ind w:firstLine="480" w:firstLineChars="200"/>
              <w:rPr>
                <w:color w:val="auto"/>
                <w:sz w:val="24"/>
                <w:highlight w:val="none"/>
              </w:rPr>
            </w:pPr>
            <w:r>
              <w:rPr>
                <w:rFonts w:hint="eastAsia"/>
                <w:color w:val="auto"/>
                <w:sz w:val="24"/>
                <w:highlight w:val="none"/>
              </w:rPr>
              <w:t>洗</w:t>
            </w:r>
            <w:r>
              <w:rPr>
                <w:rFonts w:hint="eastAsia" w:hAnsi="宋体"/>
                <w:color w:val="auto"/>
                <w:sz w:val="24"/>
                <w:highlight w:val="none"/>
                <w:lang w:eastAsia="zh-CN"/>
              </w:rPr>
              <w:t>砂</w:t>
            </w:r>
            <w:r>
              <w:rPr>
                <w:rFonts w:hint="eastAsia"/>
                <w:color w:val="auto"/>
                <w:sz w:val="24"/>
                <w:highlight w:val="none"/>
              </w:rPr>
              <w:t>及脱水过程产生的废水进入污水罐中絮凝沉淀，沉淀尾泥压滤产生的压滤液与上清液一同进入清水池暂存，及时返回生产工序；压滤产生的泥饼作为原料，回用于厂区现有制砖工序。</w:t>
            </w:r>
          </w:p>
          <w:p>
            <w:pPr>
              <w:spacing w:line="360" w:lineRule="auto"/>
              <w:ind w:firstLine="482" w:firstLineChars="200"/>
              <w:rPr>
                <w:b/>
                <w:color w:val="auto"/>
                <w:sz w:val="24"/>
                <w:highlight w:val="none"/>
              </w:rPr>
            </w:pPr>
            <w:r>
              <w:rPr>
                <w:rFonts w:hint="eastAsia"/>
                <w:b/>
                <w:bCs/>
                <w:color w:val="auto"/>
                <w:sz w:val="24"/>
                <w:highlight w:val="none"/>
              </w:rPr>
              <w:t>2、</w:t>
            </w:r>
            <w:r>
              <w:rPr>
                <w:rFonts w:hint="eastAsia"/>
                <w:b/>
                <w:color w:val="auto"/>
                <w:sz w:val="24"/>
                <w:highlight w:val="none"/>
              </w:rPr>
              <w:t>主要产排污环节</w:t>
            </w:r>
          </w:p>
          <w:p>
            <w:pPr>
              <w:adjustRightInd w:val="0"/>
              <w:snapToGrid w:val="0"/>
              <w:spacing w:line="360" w:lineRule="auto"/>
              <w:ind w:firstLine="482"/>
              <w:rPr>
                <w:color w:val="auto"/>
                <w:sz w:val="24"/>
                <w:highlight w:val="none"/>
              </w:rPr>
            </w:pPr>
            <w:r>
              <w:rPr>
                <w:rFonts w:hint="eastAsia"/>
                <w:color w:val="auto"/>
                <w:sz w:val="24"/>
                <w:highlight w:val="none"/>
              </w:rPr>
              <w:t>1）</w:t>
            </w:r>
            <w:r>
              <w:rPr>
                <w:color w:val="auto"/>
                <w:sz w:val="24"/>
                <w:highlight w:val="none"/>
              </w:rPr>
              <w:t>废气</w:t>
            </w:r>
          </w:p>
          <w:p>
            <w:pPr>
              <w:adjustRightInd w:val="0"/>
              <w:snapToGrid w:val="0"/>
              <w:spacing w:line="360" w:lineRule="auto"/>
              <w:ind w:firstLine="480" w:firstLineChars="200"/>
              <w:rPr>
                <w:color w:val="auto"/>
                <w:sz w:val="24"/>
                <w:highlight w:val="none"/>
              </w:rPr>
            </w:pPr>
            <w:r>
              <w:rPr>
                <w:rFonts w:hint="eastAsia"/>
                <w:color w:val="auto"/>
                <w:sz w:val="24"/>
                <w:highlight w:val="none"/>
              </w:rPr>
              <w:t>经分析，本项目大气污染物包括堆存及装卸扬尘、加工粉尘、运输扬尘及车辆的燃油废气。</w:t>
            </w:r>
          </w:p>
          <w:p>
            <w:pPr>
              <w:adjustRightInd w:val="0"/>
              <w:snapToGrid w:val="0"/>
              <w:spacing w:line="360" w:lineRule="auto"/>
              <w:ind w:firstLine="482"/>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废水</w:t>
            </w:r>
          </w:p>
          <w:p>
            <w:pPr>
              <w:adjustRightInd w:val="0"/>
              <w:snapToGrid w:val="0"/>
              <w:spacing w:line="360" w:lineRule="auto"/>
              <w:ind w:firstLine="480" w:firstLineChars="200"/>
              <w:rPr>
                <w:color w:val="auto"/>
                <w:sz w:val="24"/>
                <w:highlight w:val="none"/>
              </w:rPr>
            </w:pPr>
            <w:r>
              <w:rPr>
                <w:rFonts w:hint="eastAsia"/>
                <w:color w:val="auto"/>
                <w:sz w:val="24"/>
                <w:highlight w:val="none"/>
              </w:rPr>
              <w:t>经分析，本项目</w:t>
            </w:r>
            <w:r>
              <w:rPr>
                <w:color w:val="auto"/>
                <w:sz w:val="24"/>
                <w:highlight w:val="none"/>
              </w:rPr>
              <w:t>废水主要包括</w:t>
            </w:r>
            <w:r>
              <w:rPr>
                <w:rFonts w:hint="eastAsia"/>
                <w:color w:val="auto"/>
                <w:sz w:val="24"/>
                <w:highlight w:val="none"/>
              </w:rPr>
              <w:t>湿法作业</w:t>
            </w:r>
            <w:r>
              <w:rPr>
                <w:color w:val="auto"/>
                <w:sz w:val="24"/>
                <w:highlight w:val="none"/>
              </w:rPr>
              <w:t>废水、</w:t>
            </w:r>
            <w:r>
              <w:rPr>
                <w:rFonts w:hint="eastAsia"/>
                <w:color w:val="auto"/>
                <w:sz w:val="24"/>
                <w:highlight w:val="none"/>
              </w:rPr>
              <w:t>洗</w:t>
            </w:r>
            <w:r>
              <w:rPr>
                <w:rFonts w:hint="eastAsia" w:hAnsi="宋体"/>
                <w:color w:val="auto"/>
                <w:sz w:val="24"/>
                <w:highlight w:val="none"/>
                <w:lang w:eastAsia="zh-CN"/>
              </w:rPr>
              <w:t>砂</w:t>
            </w:r>
            <w:r>
              <w:rPr>
                <w:rFonts w:hint="eastAsia"/>
                <w:color w:val="auto"/>
                <w:sz w:val="24"/>
                <w:highlight w:val="none"/>
              </w:rPr>
              <w:t>废水、车辆冲洗废水、场地</w:t>
            </w:r>
            <w:r>
              <w:rPr>
                <w:color w:val="auto"/>
                <w:sz w:val="24"/>
                <w:highlight w:val="none"/>
              </w:rPr>
              <w:t>道路地面抑尘洒水</w:t>
            </w:r>
            <w:r>
              <w:rPr>
                <w:rFonts w:hint="eastAsia"/>
                <w:color w:val="auto"/>
                <w:sz w:val="24"/>
                <w:highlight w:val="none"/>
              </w:rPr>
              <w:t>、生活污水</w:t>
            </w:r>
            <w:r>
              <w:rPr>
                <w:color w:val="auto"/>
                <w:sz w:val="24"/>
                <w:highlight w:val="none"/>
              </w:rPr>
              <w:t>。</w:t>
            </w:r>
          </w:p>
          <w:p>
            <w:pPr>
              <w:adjustRightInd w:val="0"/>
              <w:snapToGrid w:val="0"/>
              <w:spacing w:line="360" w:lineRule="auto"/>
              <w:ind w:firstLine="482"/>
              <w:rPr>
                <w:bCs/>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噪声</w:t>
            </w:r>
            <w:r>
              <w:rPr>
                <w:rFonts w:hint="eastAsia"/>
                <w:color w:val="auto"/>
                <w:sz w:val="24"/>
                <w:highlight w:val="none"/>
              </w:rPr>
              <w:t>：</w:t>
            </w:r>
            <w:r>
              <w:rPr>
                <w:rFonts w:hint="eastAsia"/>
                <w:bCs/>
                <w:color w:val="auto"/>
                <w:sz w:val="24"/>
                <w:highlight w:val="none"/>
              </w:rPr>
              <w:t>本项目</w:t>
            </w:r>
            <w:r>
              <w:rPr>
                <w:bCs/>
                <w:color w:val="auto"/>
                <w:sz w:val="24"/>
                <w:highlight w:val="none"/>
              </w:rPr>
              <w:t>噪声源主要</w:t>
            </w:r>
            <w:r>
              <w:rPr>
                <w:rFonts w:hint="eastAsia"/>
                <w:bCs/>
                <w:color w:val="auto"/>
                <w:sz w:val="24"/>
                <w:highlight w:val="none"/>
              </w:rPr>
              <w:t>来自加工设备及运输车辆</w:t>
            </w:r>
            <w:r>
              <w:rPr>
                <w:bCs/>
                <w:color w:val="auto"/>
                <w:sz w:val="24"/>
                <w:highlight w:val="none"/>
              </w:rPr>
              <w:t>等</w:t>
            </w:r>
            <w:r>
              <w:rPr>
                <w:rFonts w:hint="eastAsia"/>
                <w:bCs/>
                <w:color w:val="auto"/>
                <w:sz w:val="24"/>
                <w:highlight w:val="none"/>
              </w:rPr>
              <w:t>机械设备。</w:t>
            </w:r>
          </w:p>
          <w:p>
            <w:pPr>
              <w:adjustRightInd w:val="0"/>
              <w:snapToGrid w:val="0"/>
              <w:spacing w:line="360" w:lineRule="auto"/>
              <w:ind w:firstLine="480" w:firstLineChars="200"/>
              <w:rPr>
                <w:rFonts w:ascii="宋体" w:hAnsi="宋体"/>
                <w:bCs/>
                <w:color w:val="auto"/>
                <w:szCs w:val="21"/>
                <w:highlight w:val="none"/>
              </w:rPr>
            </w:pPr>
            <w:r>
              <w:rPr>
                <w:color w:val="auto"/>
                <w:sz w:val="24"/>
                <w:highlight w:val="none"/>
              </w:rPr>
              <w:t>4</w:t>
            </w:r>
            <w:r>
              <w:rPr>
                <w:rFonts w:hint="eastAsia"/>
                <w:color w:val="auto"/>
                <w:sz w:val="24"/>
                <w:highlight w:val="none"/>
              </w:rPr>
              <w:t>）</w:t>
            </w:r>
            <w:r>
              <w:rPr>
                <w:color w:val="auto"/>
                <w:sz w:val="24"/>
                <w:highlight w:val="none"/>
              </w:rPr>
              <w:t>固体废物</w:t>
            </w:r>
            <w:r>
              <w:rPr>
                <w:rFonts w:hint="eastAsia"/>
                <w:color w:val="auto"/>
                <w:sz w:val="24"/>
                <w:highlight w:val="none"/>
              </w:rPr>
              <w:t>：</w:t>
            </w:r>
            <w:r>
              <w:rPr>
                <w:rFonts w:hint="eastAsia" w:hAnsi="宋体"/>
                <w:color w:val="auto"/>
                <w:sz w:val="24"/>
                <w:highlight w:val="none"/>
              </w:rPr>
              <w:t>经分析，项目加工区运营期固废主要为压滤后的泥饼、</w:t>
            </w:r>
            <w:r>
              <w:rPr>
                <w:color w:val="auto"/>
                <w:sz w:val="24"/>
                <w:highlight w:val="none"/>
              </w:rPr>
              <w:t>生活垃圾</w:t>
            </w:r>
            <w:r>
              <w:rPr>
                <w:rFonts w:hint="eastAsia"/>
                <w:color w:val="auto"/>
                <w:sz w:val="24"/>
                <w:highlight w:val="none"/>
              </w:rPr>
              <w:t>和</w:t>
            </w:r>
            <w:r>
              <w:rPr>
                <w:color w:val="auto"/>
                <w:sz w:val="24"/>
                <w:highlight w:val="none"/>
              </w:rPr>
              <w:t>机械设备维护保养过程产生的废</w:t>
            </w:r>
            <w:r>
              <w:rPr>
                <w:rFonts w:hint="eastAsia"/>
                <w:color w:val="auto"/>
                <w:sz w:val="24"/>
                <w:highlight w:val="none"/>
              </w:rPr>
              <w:t>润滑</w:t>
            </w:r>
            <w:r>
              <w:rPr>
                <w:color w:val="auto"/>
                <w:sz w:val="24"/>
                <w:highlight w:val="none"/>
              </w:rPr>
              <w:t>油</w:t>
            </w:r>
            <w:r>
              <w:rPr>
                <w:rFonts w:hint="eastAsia"/>
                <w:color w:val="auto"/>
                <w:sz w:val="24"/>
                <w:highlight w:val="none"/>
              </w:rPr>
              <w:t>、废油桶、含油手套和棉纱</w:t>
            </w:r>
            <w:r>
              <w:rPr>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0" w:hRule="atLeast"/>
          <w:jc w:val="center"/>
        </w:trPr>
        <w:tc>
          <w:tcPr>
            <w:tcW w:w="456" w:type="dxa"/>
            <w:vAlign w:val="center"/>
          </w:tcPr>
          <w:p>
            <w:pPr>
              <w:pStyle w:val="29"/>
              <w:adjustRightInd w:val="0"/>
              <w:snapToGrid w:val="0"/>
              <w:spacing w:before="0" w:beforeAutospacing="0" w:after="0" w:afterAutospacing="0"/>
              <w:jc w:val="center"/>
              <w:rPr>
                <w:rFonts w:cs="宋体"/>
                <w:color w:val="auto"/>
                <w:szCs w:val="24"/>
                <w:highlight w:val="none"/>
              </w:rPr>
            </w:pPr>
            <w:r>
              <w:rPr>
                <w:rFonts w:hint="eastAsia" w:cs="宋体"/>
                <w:bCs/>
                <w:color w:val="auto"/>
                <w:kern w:val="2"/>
                <w:szCs w:val="24"/>
                <w:highlight w:val="none"/>
              </w:rPr>
              <w:t>与项目有关的原有环境污染问题</w:t>
            </w:r>
          </w:p>
        </w:tc>
        <w:tc>
          <w:tcPr>
            <w:tcW w:w="8604" w:type="dxa"/>
          </w:tcPr>
          <w:p>
            <w:pPr>
              <w:pStyle w:val="42"/>
              <w:spacing w:line="360" w:lineRule="auto"/>
              <w:ind w:firstLine="480" w:firstLineChars="200"/>
              <w:jc w:val="both"/>
              <w:rPr>
                <w:color w:val="auto"/>
                <w:highlight w:val="none"/>
              </w:rPr>
            </w:pPr>
            <w:r>
              <w:rPr>
                <w:rFonts w:ascii="Times New Roman" w:cs="Times New Roman"/>
                <w:color w:val="auto"/>
                <w:highlight w:val="none"/>
              </w:rPr>
              <w:t>1、</w:t>
            </w:r>
            <w:r>
              <w:rPr>
                <w:rFonts w:hint="eastAsia"/>
                <w:color w:val="auto"/>
                <w:highlight w:val="none"/>
              </w:rPr>
              <w:t>现有工程环保手续情况</w:t>
            </w:r>
          </w:p>
          <w:p>
            <w:pPr>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洋县瑞庆新型节能建材厂</w:t>
            </w:r>
            <w:r>
              <w:rPr>
                <w:rFonts w:hint="eastAsia"/>
                <w:color w:val="auto"/>
                <w:kern w:val="0"/>
                <w:sz w:val="24"/>
                <w:highlight w:val="none"/>
                <w:lang w:eastAsia="zh-CN"/>
              </w:rPr>
              <w:t>主要进行页岩烧结砖的生产，厂区内多年来一直运行“</w:t>
            </w:r>
            <w:r>
              <w:rPr>
                <w:rFonts w:hint="eastAsia"/>
                <w:color w:val="auto"/>
                <w:kern w:val="0"/>
                <w:sz w:val="24"/>
                <w:highlight w:val="none"/>
              </w:rPr>
              <w:t>年产一亿块页岩烧结砖生产线项目</w:t>
            </w:r>
            <w:r>
              <w:rPr>
                <w:rFonts w:hint="eastAsia"/>
                <w:color w:val="auto"/>
                <w:kern w:val="0"/>
                <w:sz w:val="24"/>
                <w:highlight w:val="none"/>
                <w:lang w:eastAsia="zh-CN"/>
              </w:rPr>
              <w:t>”，该项目</w:t>
            </w:r>
            <w:r>
              <w:rPr>
                <w:rFonts w:hint="eastAsia"/>
                <w:color w:val="auto"/>
                <w:kern w:val="0"/>
                <w:sz w:val="24"/>
                <w:highlight w:val="none"/>
              </w:rPr>
              <w:t>已于2019年10月28日取得汉中市生态环境局洋县分局出具的环评批复（洋环评批字[2019]18号），项目建成后于2021年3月19日通过了自主竣工环保验收。</w:t>
            </w:r>
          </w:p>
          <w:p>
            <w:pPr>
              <w:pStyle w:val="42"/>
              <w:spacing w:line="360" w:lineRule="auto"/>
              <w:ind w:firstLine="480" w:firstLineChars="200"/>
              <w:jc w:val="both"/>
              <w:rPr>
                <w:rFonts w:ascii="Times New Roman" w:cs="Times New Roman"/>
                <w:bCs/>
                <w:color w:val="auto"/>
                <w:szCs w:val="21"/>
                <w:highlight w:val="none"/>
              </w:rPr>
            </w:pPr>
            <w:r>
              <w:rPr>
                <w:rFonts w:hint="eastAsia" w:ascii="Times New Roman" w:cs="Times New Roman"/>
                <w:bCs/>
                <w:color w:val="auto"/>
                <w:szCs w:val="21"/>
                <w:highlight w:val="none"/>
              </w:rPr>
              <w:t>建设单位已取得排放污染物许可证，编号：91610723MA6YWQ6Q5L001V。</w:t>
            </w:r>
          </w:p>
          <w:p>
            <w:pPr>
              <w:pStyle w:val="42"/>
              <w:spacing w:line="360" w:lineRule="auto"/>
              <w:ind w:firstLine="480" w:firstLineChars="200"/>
              <w:jc w:val="both"/>
              <w:rPr>
                <w:rFonts w:ascii="Times New Roman" w:cs="Times New Roman"/>
                <w:bCs/>
                <w:color w:val="auto"/>
                <w:szCs w:val="21"/>
                <w:highlight w:val="none"/>
              </w:rPr>
            </w:pPr>
            <w:r>
              <w:rPr>
                <w:rFonts w:hint="eastAsia" w:ascii="Times New Roman" w:cs="Times New Roman"/>
                <w:bCs/>
                <w:color w:val="auto"/>
                <w:szCs w:val="21"/>
                <w:highlight w:val="none"/>
              </w:rPr>
              <w:t>2、现有工程排污情况</w:t>
            </w:r>
          </w:p>
          <w:p>
            <w:pPr>
              <w:spacing w:line="360" w:lineRule="auto"/>
              <w:ind w:firstLine="480" w:firstLineChars="200"/>
              <w:rPr>
                <w:color w:val="auto"/>
                <w:kern w:val="0"/>
                <w:sz w:val="24"/>
                <w:highlight w:val="none"/>
              </w:rPr>
            </w:pPr>
            <w:r>
              <w:rPr>
                <w:rFonts w:hint="eastAsia"/>
                <w:color w:val="auto"/>
                <w:sz w:val="24"/>
                <w:highlight w:val="none"/>
              </w:rPr>
              <w:t>根据企业年度执行报告、例行监测报告、竣工环境保护验收报告以及日常经营管理台账的相关内容，目前厂区废水、废气及固废产排情况如下：</w:t>
            </w:r>
          </w:p>
          <w:p>
            <w:pPr>
              <w:adjustRightInd w:val="0"/>
              <w:snapToGrid w:val="0"/>
              <w:spacing w:line="360" w:lineRule="auto"/>
              <w:ind w:firstLine="480" w:firstLineChars="200"/>
              <w:rPr>
                <w:color w:val="auto"/>
                <w:kern w:val="0"/>
                <w:sz w:val="24"/>
                <w:highlight w:val="none"/>
              </w:rPr>
            </w:pPr>
            <w:r>
              <w:rPr>
                <w:color w:val="auto"/>
                <w:kern w:val="0"/>
                <w:sz w:val="24"/>
                <w:highlight w:val="none"/>
              </w:rPr>
              <w:t>（1）废气</w:t>
            </w:r>
          </w:p>
          <w:p>
            <w:pPr>
              <w:adjustRightInd w:val="0"/>
              <w:snapToGrid w:val="0"/>
              <w:spacing w:line="360" w:lineRule="auto"/>
              <w:ind w:firstLine="480" w:firstLineChars="200"/>
              <w:rPr>
                <w:bCs/>
                <w:color w:val="auto"/>
                <w:sz w:val="24"/>
                <w:highlight w:val="none"/>
              </w:rPr>
            </w:pPr>
            <w:r>
              <w:rPr>
                <w:rFonts w:hint="eastAsia"/>
                <w:bCs/>
                <w:color w:val="auto"/>
                <w:sz w:val="24"/>
                <w:highlight w:val="none"/>
              </w:rPr>
              <w:t>现有工程主要为页岩烧结砖的生产，主要大气污染物为焙烧废气、堆场扬尘、原料破碎筛分粉尘。</w:t>
            </w:r>
          </w:p>
          <w:p>
            <w:pPr>
              <w:adjustRightInd w:val="0"/>
              <w:snapToGrid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①</w:t>
            </w:r>
            <w:r>
              <w:rPr>
                <w:rFonts w:hint="eastAsia" w:ascii="宋体" w:hAnsi="宋体" w:cs="宋体"/>
                <w:bCs/>
                <w:color w:val="auto"/>
                <w:sz w:val="24"/>
                <w:highlight w:val="none"/>
                <w:lang w:eastAsia="zh-CN"/>
              </w:rPr>
              <w:t>焙烧废气（有组织形式）</w:t>
            </w:r>
          </w:p>
          <w:p>
            <w:pPr>
              <w:adjustRightInd w:val="0"/>
              <w:snapToGrid w:val="0"/>
              <w:spacing w:line="360" w:lineRule="auto"/>
              <w:ind w:firstLine="480" w:firstLineChars="200"/>
              <w:rPr>
                <w:rFonts w:hint="default"/>
                <w:bCs/>
                <w:color w:val="auto"/>
                <w:sz w:val="24"/>
                <w:highlight w:val="none"/>
                <w:lang w:val="en-US" w:eastAsia="zh-CN"/>
              </w:rPr>
            </w:pPr>
            <w:r>
              <w:rPr>
                <w:rFonts w:hint="eastAsia"/>
                <w:bCs/>
                <w:color w:val="auto"/>
                <w:sz w:val="24"/>
                <w:highlight w:val="none"/>
              </w:rPr>
              <w:t>焙烧烟气由风机引风进入喷淋脱硫塔处理后通过26m的排气筒有组织排放</w:t>
            </w:r>
            <w:r>
              <w:rPr>
                <w:rFonts w:hint="eastAsia"/>
                <w:bCs/>
                <w:color w:val="auto"/>
                <w:sz w:val="24"/>
                <w:highlight w:val="none"/>
                <w:lang w:eastAsia="zh-CN"/>
              </w:rPr>
              <w:t>。由于目前页岩烧结砖行业波动较大，企业拟扩建本项目以改善目前经营状况，故现有工程已于</w:t>
            </w:r>
            <w:r>
              <w:rPr>
                <w:rFonts w:hint="eastAsia"/>
                <w:bCs/>
                <w:color w:val="auto"/>
                <w:sz w:val="24"/>
                <w:highlight w:val="none"/>
                <w:lang w:val="en-US" w:eastAsia="zh-CN"/>
              </w:rPr>
              <w:t>2023年3月就开始停产，停产期间全力筹备本项目建设，因此本次引用2022年例行监测数据报告，具体见下表：</w:t>
            </w:r>
          </w:p>
          <w:p>
            <w:pPr>
              <w:tabs>
                <w:tab w:val="left" w:leader="middleDot" w:pos="8399"/>
              </w:tabs>
              <w:jc w:val="center"/>
              <w:rPr>
                <w:b/>
                <w:color w:val="auto"/>
                <w:szCs w:val="21"/>
                <w:highlight w:val="none"/>
              </w:rPr>
            </w:pPr>
            <w:r>
              <w:rPr>
                <w:b/>
                <w:color w:val="auto"/>
                <w:szCs w:val="21"/>
                <w:highlight w:val="none"/>
              </w:rPr>
              <w:t>表</w:t>
            </w:r>
            <w:r>
              <w:rPr>
                <w:rFonts w:hint="eastAsia"/>
                <w:b/>
                <w:color w:val="auto"/>
                <w:szCs w:val="21"/>
                <w:highlight w:val="none"/>
              </w:rPr>
              <w:t>2</w:t>
            </w:r>
            <w:r>
              <w:rPr>
                <w:b/>
                <w:color w:val="auto"/>
                <w:szCs w:val="21"/>
                <w:highlight w:val="none"/>
              </w:rPr>
              <w:t>-</w:t>
            </w:r>
            <w:r>
              <w:rPr>
                <w:rFonts w:hint="eastAsia"/>
                <w:b/>
                <w:color w:val="auto"/>
                <w:szCs w:val="21"/>
                <w:highlight w:val="none"/>
              </w:rPr>
              <w:t>6</w:t>
            </w:r>
            <w:r>
              <w:rPr>
                <w:b/>
                <w:color w:val="auto"/>
                <w:szCs w:val="21"/>
                <w:highlight w:val="none"/>
              </w:rPr>
              <w:t xml:space="preserve">   </w:t>
            </w:r>
            <w:r>
              <w:rPr>
                <w:rFonts w:hint="eastAsia"/>
                <w:b/>
                <w:color w:val="auto"/>
                <w:szCs w:val="21"/>
                <w:highlight w:val="none"/>
              </w:rPr>
              <w:t xml:space="preserve">现有工程有组织废气监测结果      </w:t>
            </w:r>
            <w:r>
              <w:rPr>
                <w:rFonts w:hint="eastAsia"/>
                <w:b/>
                <w:bCs/>
                <w:color w:val="auto"/>
                <w:szCs w:val="21"/>
                <w:highlight w:val="none"/>
              </w:rPr>
              <w:t>单位：mg/m</w:t>
            </w:r>
            <w:r>
              <w:rPr>
                <w:rFonts w:hint="eastAsia"/>
                <w:b/>
                <w:bCs/>
                <w:color w:val="auto"/>
                <w:szCs w:val="21"/>
                <w:highlight w:val="none"/>
                <w:vertAlign w:val="superscript"/>
              </w:rPr>
              <w:t>3</w:t>
            </w:r>
          </w:p>
          <w:tbl>
            <w:tblPr>
              <w:tblStyle w:val="34"/>
              <w:tblW w:w="839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759"/>
              <w:gridCol w:w="802"/>
              <w:gridCol w:w="969"/>
              <w:gridCol w:w="970"/>
              <w:gridCol w:w="992"/>
              <w:gridCol w:w="888"/>
              <w:gridCol w:w="8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监测时间</w:t>
                  </w:r>
                </w:p>
              </w:tc>
              <w:tc>
                <w:tcPr>
                  <w:tcW w:w="1759" w:type="dxa"/>
                  <w:vAlign w:val="center"/>
                </w:tcPr>
                <w:p>
                  <w:pPr>
                    <w:pStyle w:val="42"/>
                    <w:autoSpaceDE/>
                    <w:autoSpaceDN/>
                    <w:jc w:val="center"/>
                    <w:rPr>
                      <w:rFonts w:ascii="Times New Roman" w:cs="Times New Roman"/>
                      <w:color w:val="auto"/>
                      <w:sz w:val="21"/>
                      <w:szCs w:val="21"/>
                      <w:highlight w:val="none"/>
                    </w:rPr>
                  </w:pPr>
                  <w:r>
                    <w:rPr>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8890</wp:posOffset>
                            </wp:positionV>
                            <wp:extent cx="1101725" cy="341630"/>
                            <wp:effectExtent l="1270" t="4445" r="1905" b="15875"/>
                            <wp:wrapNone/>
                            <wp:docPr id="13" name="直接连接符 13"/>
                            <wp:cNvGraphicFramePr/>
                            <a:graphic xmlns:a="http://schemas.openxmlformats.org/drawingml/2006/main">
                              <a:graphicData uri="http://schemas.microsoft.com/office/word/2010/wordprocessingShape">
                                <wps:wsp>
                                  <wps:cNvCnPr/>
                                  <wps:spPr>
                                    <a:xfrm>
                                      <a:off x="2123440" y="4520565"/>
                                      <a:ext cx="1101725" cy="34163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15pt;margin-top:0.7pt;height:26.9pt;width:86.75pt;z-index:251660288;mso-width-relative:page;mso-height-relative:page;" filled="f" stroked="t" coordsize="21600,21600" o:gfxdata="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tzMg1wAAAAgBAAAPAAAAAAAAAAEAIAAAACIA&#10;AABkcnMvZG93bnJldi54bWxQSwECFAAUAAAACACHTuJAoqeJrgoCAAD0AwAADgAAAAAAAAABACAA&#10;AAAmAQAAZHJzL2Uyb0RvYy54bWxQSwUGAAAAAAYABgBZAQAAogUAAAAA&#10;">
                            <v:fill on="f" focussize="0,0"/>
                            <v:stroke color="#000000" joinstyle="round"/>
                            <v:imagedata o:title=""/>
                            <o:lock v:ext="edit" aspectratio="f"/>
                          </v:line>
                        </w:pict>
                      </mc:Fallback>
                    </mc:AlternateContent>
                  </w:r>
                  <w:r>
                    <w:rPr>
                      <w:rFonts w:hint="eastAsia" w:ascii="Times New Roman" w:cs="Times New Roman"/>
                      <w:color w:val="auto"/>
                      <w:sz w:val="21"/>
                      <w:szCs w:val="21"/>
                      <w:highlight w:val="none"/>
                    </w:rPr>
                    <w:t xml:space="preserve">      监测频次</w:t>
                  </w:r>
                </w:p>
                <w:p>
                  <w:pPr>
                    <w:pStyle w:val="42"/>
                    <w:autoSpaceDE/>
                    <w:autoSpaceDN/>
                    <w:jc w:val="both"/>
                    <w:rPr>
                      <w:rFonts w:ascii="Times New Roman" w:cs="Times New Roman"/>
                      <w:color w:val="auto"/>
                      <w:sz w:val="21"/>
                      <w:szCs w:val="21"/>
                      <w:highlight w:val="none"/>
                    </w:rPr>
                  </w:pPr>
                  <w:r>
                    <w:rPr>
                      <w:rFonts w:hint="eastAsia" w:ascii="Times New Roman" w:cs="Times New Roman"/>
                      <w:color w:val="auto"/>
                      <w:sz w:val="21"/>
                      <w:szCs w:val="21"/>
                      <w:highlight w:val="none"/>
                    </w:rPr>
                    <w:t>监测项目</w:t>
                  </w:r>
                </w:p>
              </w:tc>
              <w:tc>
                <w:tcPr>
                  <w:tcW w:w="802" w:type="dxa"/>
                  <w:vAlign w:val="center"/>
                </w:tcPr>
                <w:p>
                  <w:pPr>
                    <w:widowControl/>
                    <w:jc w:val="center"/>
                    <w:rPr>
                      <w:color w:val="auto"/>
                      <w:szCs w:val="21"/>
                      <w:highlight w:val="none"/>
                    </w:rPr>
                  </w:pPr>
                  <w:r>
                    <w:rPr>
                      <w:rFonts w:hint="eastAsia"/>
                      <w:color w:val="auto"/>
                      <w:szCs w:val="21"/>
                      <w:highlight w:val="none"/>
                    </w:rPr>
                    <w:t>第1次</w:t>
                  </w:r>
                </w:p>
              </w:tc>
              <w:tc>
                <w:tcPr>
                  <w:tcW w:w="969" w:type="dxa"/>
                  <w:vAlign w:val="center"/>
                </w:tcPr>
                <w:p>
                  <w:pPr>
                    <w:widowControl/>
                    <w:jc w:val="center"/>
                    <w:rPr>
                      <w:color w:val="auto"/>
                      <w:szCs w:val="21"/>
                      <w:highlight w:val="none"/>
                    </w:rPr>
                  </w:pPr>
                  <w:r>
                    <w:rPr>
                      <w:rFonts w:hint="eastAsia"/>
                      <w:color w:val="auto"/>
                      <w:szCs w:val="21"/>
                      <w:highlight w:val="none"/>
                    </w:rPr>
                    <w:t>第2次</w:t>
                  </w:r>
                </w:p>
              </w:tc>
              <w:tc>
                <w:tcPr>
                  <w:tcW w:w="970" w:type="dxa"/>
                  <w:vAlign w:val="center"/>
                </w:tcPr>
                <w:p>
                  <w:pPr>
                    <w:widowControl/>
                    <w:jc w:val="center"/>
                    <w:rPr>
                      <w:color w:val="auto"/>
                      <w:szCs w:val="21"/>
                      <w:highlight w:val="none"/>
                    </w:rPr>
                  </w:pPr>
                  <w:r>
                    <w:rPr>
                      <w:rFonts w:hint="eastAsia"/>
                      <w:color w:val="auto"/>
                      <w:szCs w:val="21"/>
                      <w:highlight w:val="none"/>
                    </w:rPr>
                    <w:t>第3次</w:t>
                  </w:r>
                </w:p>
              </w:tc>
              <w:tc>
                <w:tcPr>
                  <w:tcW w:w="992" w:type="dxa"/>
                  <w:vAlign w:val="center"/>
                </w:tcPr>
                <w:p>
                  <w:pPr>
                    <w:widowControl/>
                    <w:jc w:val="center"/>
                    <w:rPr>
                      <w:color w:val="auto"/>
                      <w:kern w:val="0"/>
                      <w:szCs w:val="21"/>
                      <w:highlight w:val="none"/>
                    </w:rPr>
                  </w:pPr>
                  <w:r>
                    <w:rPr>
                      <w:rFonts w:hint="eastAsia"/>
                      <w:color w:val="auto"/>
                      <w:szCs w:val="21"/>
                      <w:highlight w:val="none"/>
                    </w:rPr>
                    <w:t>平均值</w:t>
                  </w:r>
                </w:p>
              </w:tc>
              <w:tc>
                <w:tcPr>
                  <w:tcW w:w="888" w:type="dxa"/>
                  <w:vAlign w:val="center"/>
                </w:tcPr>
                <w:p>
                  <w:pPr>
                    <w:widowControl/>
                    <w:jc w:val="center"/>
                    <w:rPr>
                      <w:color w:val="auto"/>
                      <w:szCs w:val="21"/>
                      <w:highlight w:val="none"/>
                    </w:rPr>
                  </w:pPr>
                  <w:r>
                    <w:rPr>
                      <w:rFonts w:hint="eastAsia"/>
                      <w:color w:val="auto"/>
                      <w:szCs w:val="21"/>
                      <w:highlight w:val="none"/>
                    </w:rPr>
                    <w:t>标准值</w:t>
                  </w:r>
                </w:p>
              </w:tc>
              <w:tc>
                <w:tcPr>
                  <w:tcW w:w="841" w:type="dxa"/>
                  <w:vAlign w:val="center"/>
                </w:tcPr>
                <w:p>
                  <w:pPr>
                    <w:widowControl/>
                    <w:jc w:val="center"/>
                    <w:rPr>
                      <w:color w:val="auto"/>
                      <w:szCs w:val="21"/>
                      <w:highlight w:val="none"/>
                    </w:rPr>
                  </w:pPr>
                  <w:r>
                    <w:rPr>
                      <w:rFonts w:hint="eastAsia"/>
                      <w:color w:val="auto"/>
                      <w:szCs w:val="21"/>
                      <w:highlight w:val="none"/>
                    </w:rPr>
                    <w:t>是否</w:t>
                  </w:r>
                </w:p>
                <w:p>
                  <w:pPr>
                    <w:widowControl/>
                    <w:jc w:val="center"/>
                    <w:rPr>
                      <w:color w:val="auto"/>
                      <w:szCs w:val="21"/>
                      <w:highlight w:val="none"/>
                    </w:rPr>
                  </w:pPr>
                  <w:r>
                    <w:rPr>
                      <w:rFonts w:hint="eastAsia"/>
                      <w:color w:val="auto"/>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2022.4.22</w:t>
                  </w:r>
                </w:p>
              </w:tc>
              <w:tc>
                <w:tcPr>
                  <w:tcW w:w="1759"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颗粒物</w:t>
                  </w:r>
                </w:p>
              </w:tc>
              <w:tc>
                <w:tcPr>
                  <w:tcW w:w="802" w:type="dxa"/>
                  <w:vAlign w:val="center"/>
                </w:tcPr>
                <w:p>
                  <w:pPr>
                    <w:widowControl/>
                    <w:jc w:val="center"/>
                    <w:rPr>
                      <w:color w:val="auto"/>
                      <w:szCs w:val="21"/>
                      <w:highlight w:val="none"/>
                    </w:rPr>
                  </w:pPr>
                  <w:r>
                    <w:rPr>
                      <w:rFonts w:hint="eastAsia"/>
                      <w:color w:val="auto"/>
                      <w:szCs w:val="21"/>
                      <w:highlight w:val="none"/>
                    </w:rPr>
                    <w:t>25</w:t>
                  </w:r>
                </w:p>
              </w:tc>
              <w:tc>
                <w:tcPr>
                  <w:tcW w:w="969" w:type="dxa"/>
                  <w:vAlign w:val="center"/>
                </w:tcPr>
                <w:p>
                  <w:pPr>
                    <w:widowControl/>
                    <w:jc w:val="center"/>
                    <w:rPr>
                      <w:color w:val="auto"/>
                      <w:szCs w:val="21"/>
                      <w:highlight w:val="none"/>
                    </w:rPr>
                  </w:pPr>
                  <w:r>
                    <w:rPr>
                      <w:rFonts w:hint="eastAsia"/>
                      <w:color w:val="auto"/>
                      <w:szCs w:val="21"/>
                      <w:highlight w:val="none"/>
                    </w:rPr>
                    <w:t>28</w:t>
                  </w:r>
                </w:p>
              </w:tc>
              <w:tc>
                <w:tcPr>
                  <w:tcW w:w="970" w:type="dxa"/>
                  <w:vAlign w:val="center"/>
                </w:tcPr>
                <w:p>
                  <w:pPr>
                    <w:widowControl/>
                    <w:jc w:val="center"/>
                    <w:rPr>
                      <w:color w:val="auto"/>
                      <w:szCs w:val="21"/>
                      <w:highlight w:val="none"/>
                    </w:rPr>
                  </w:pPr>
                  <w:r>
                    <w:rPr>
                      <w:rFonts w:hint="eastAsia"/>
                      <w:color w:val="auto"/>
                      <w:szCs w:val="21"/>
                      <w:highlight w:val="none"/>
                    </w:rPr>
                    <w:t>27</w:t>
                  </w:r>
                </w:p>
              </w:tc>
              <w:tc>
                <w:tcPr>
                  <w:tcW w:w="992" w:type="dxa"/>
                  <w:vAlign w:val="center"/>
                </w:tcPr>
                <w:p>
                  <w:pPr>
                    <w:widowControl/>
                    <w:jc w:val="center"/>
                    <w:rPr>
                      <w:color w:val="auto"/>
                      <w:kern w:val="0"/>
                      <w:szCs w:val="21"/>
                      <w:highlight w:val="none"/>
                    </w:rPr>
                  </w:pPr>
                  <w:r>
                    <w:rPr>
                      <w:rFonts w:hint="eastAsia"/>
                      <w:color w:val="auto"/>
                      <w:kern w:val="0"/>
                      <w:szCs w:val="21"/>
                      <w:highlight w:val="none"/>
                    </w:rPr>
                    <w:t>27</w:t>
                  </w:r>
                </w:p>
              </w:tc>
              <w:tc>
                <w:tcPr>
                  <w:tcW w:w="888" w:type="dxa"/>
                  <w:vAlign w:val="center"/>
                </w:tcPr>
                <w:p>
                  <w:pPr>
                    <w:widowControl/>
                    <w:jc w:val="center"/>
                    <w:rPr>
                      <w:color w:val="auto"/>
                      <w:kern w:val="0"/>
                      <w:szCs w:val="21"/>
                      <w:highlight w:val="none"/>
                    </w:rPr>
                  </w:pPr>
                  <w:r>
                    <w:rPr>
                      <w:color w:val="auto"/>
                      <w:kern w:val="0"/>
                      <w:szCs w:val="21"/>
                      <w:highlight w:val="none"/>
                    </w:rPr>
                    <w:t>≤</w:t>
                  </w:r>
                  <w:r>
                    <w:rPr>
                      <w:rFonts w:hint="eastAsia"/>
                      <w:color w:val="auto"/>
                      <w:kern w:val="0"/>
                      <w:szCs w:val="21"/>
                      <w:highlight w:val="none"/>
                    </w:rPr>
                    <w:t>30</w:t>
                  </w:r>
                </w:p>
              </w:tc>
              <w:tc>
                <w:tcPr>
                  <w:tcW w:w="841" w:type="dxa"/>
                  <w:vAlign w:val="center"/>
                </w:tcPr>
                <w:p>
                  <w:pPr>
                    <w:widowControl/>
                    <w:jc w:val="center"/>
                    <w:rPr>
                      <w:color w:val="auto"/>
                      <w:kern w:val="0"/>
                      <w:szCs w:val="21"/>
                      <w:highlight w:val="none"/>
                    </w:rPr>
                  </w:pPr>
                  <w:r>
                    <w:rPr>
                      <w:rFonts w:hint="eastAsia"/>
                      <w:color w:val="auto"/>
                      <w:kern w:val="0"/>
                      <w:szCs w:val="21"/>
                      <w:highlight w:val="none"/>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vAlign w:val="center"/>
                </w:tcPr>
                <w:p>
                  <w:pPr>
                    <w:pStyle w:val="42"/>
                    <w:autoSpaceDE/>
                    <w:autoSpaceDN/>
                    <w:jc w:val="center"/>
                    <w:rPr>
                      <w:rFonts w:ascii="Times New Roman" w:cs="Times New Roman"/>
                      <w:color w:val="auto"/>
                      <w:sz w:val="21"/>
                      <w:szCs w:val="21"/>
                      <w:highlight w:val="none"/>
                    </w:rPr>
                  </w:pPr>
                </w:p>
              </w:tc>
              <w:tc>
                <w:tcPr>
                  <w:tcW w:w="1759"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二氧化硫</w:t>
                  </w:r>
                </w:p>
              </w:tc>
              <w:tc>
                <w:tcPr>
                  <w:tcW w:w="802" w:type="dxa"/>
                  <w:vAlign w:val="center"/>
                </w:tcPr>
                <w:p>
                  <w:pPr>
                    <w:widowControl/>
                    <w:jc w:val="center"/>
                    <w:rPr>
                      <w:color w:val="auto"/>
                      <w:szCs w:val="21"/>
                      <w:highlight w:val="none"/>
                    </w:rPr>
                  </w:pPr>
                  <w:r>
                    <w:rPr>
                      <w:rFonts w:hint="eastAsia"/>
                      <w:color w:val="auto"/>
                      <w:szCs w:val="21"/>
                      <w:highlight w:val="none"/>
                    </w:rPr>
                    <w:t>137</w:t>
                  </w:r>
                </w:p>
              </w:tc>
              <w:tc>
                <w:tcPr>
                  <w:tcW w:w="969" w:type="dxa"/>
                  <w:vAlign w:val="center"/>
                </w:tcPr>
                <w:p>
                  <w:pPr>
                    <w:widowControl/>
                    <w:jc w:val="center"/>
                    <w:rPr>
                      <w:color w:val="auto"/>
                      <w:szCs w:val="21"/>
                      <w:highlight w:val="none"/>
                    </w:rPr>
                  </w:pPr>
                  <w:r>
                    <w:rPr>
                      <w:rFonts w:hint="eastAsia"/>
                      <w:color w:val="auto"/>
                      <w:szCs w:val="21"/>
                      <w:highlight w:val="none"/>
                    </w:rPr>
                    <w:t>144</w:t>
                  </w:r>
                </w:p>
              </w:tc>
              <w:tc>
                <w:tcPr>
                  <w:tcW w:w="970" w:type="dxa"/>
                  <w:vAlign w:val="center"/>
                </w:tcPr>
                <w:p>
                  <w:pPr>
                    <w:widowControl/>
                    <w:jc w:val="center"/>
                    <w:rPr>
                      <w:color w:val="auto"/>
                      <w:szCs w:val="21"/>
                      <w:highlight w:val="none"/>
                    </w:rPr>
                  </w:pPr>
                  <w:r>
                    <w:rPr>
                      <w:rFonts w:hint="eastAsia"/>
                      <w:color w:val="auto"/>
                      <w:szCs w:val="21"/>
                      <w:highlight w:val="none"/>
                    </w:rPr>
                    <w:t>139</w:t>
                  </w:r>
                </w:p>
              </w:tc>
              <w:tc>
                <w:tcPr>
                  <w:tcW w:w="992" w:type="dxa"/>
                  <w:vAlign w:val="center"/>
                </w:tcPr>
                <w:p>
                  <w:pPr>
                    <w:widowControl/>
                    <w:jc w:val="center"/>
                    <w:rPr>
                      <w:color w:val="auto"/>
                      <w:kern w:val="0"/>
                      <w:szCs w:val="21"/>
                      <w:highlight w:val="none"/>
                    </w:rPr>
                  </w:pPr>
                  <w:r>
                    <w:rPr>
                      <w:rFonts w:hint="eastAsia"/>
                      <w:color w:val="auto"/>
                      <w:szCs w:val="21"/>
                      <w:highlight w:val="none"/>
                    </w:rPr>
                    <w:t>140</w:t>
                  </w:r>
                </w:p>
              </w:tc>
              <w:tc>
                <w:tcPr>
                  <w:tcW w:w="888" w:type="dxa"/>
                  <w:vAlign w:val="center"/>
                </w:tcPr>
                <w:p>
                  <w:pPr>
                    <w:widowControl/>
                    <w:jc w:val="center"/>
                    <w:rPr>
                      <w:color w:val="auto"/>
                      <w:kern w:val="0"/>
                      <w:szCs w:val="21"/>
                      <w:highlight w:val="none"/>
                    </w:rPr>
                  </w:pPr>
                  <w:r>
                    <w:rPr>
                      <w:color w:val="auto"/>
                      <w:kern w:val="0"/>
                      <w:szCs w:val="21"/>
                      <w:highlight w:val="none"/>
                    </w:rPr>
                    <w:t>≤</w:t>
                  </w:r>
                  <w:r>
                    <w:rPr>
                      <w:rFonts w:hint="eastAsia"/>
                      <w:color w:val="auto"/>
                      <w:kern w:val="0"/>
                      <w:szCs w:val="21"/>
                      <w:highlight w:val="none"/>
                    </w:rPr>
                    <w:t>150</w:t>
                  </w:r>
                </w:p>
              </w:tc>
              <w:tc>
                <w:tcPr>
                  <w:tcW w:w="841" w:type="dxa"/>
                  <w:vAlign w:val="center"/>
                </w:tcPr>
                <w:p>
                  <w:pPr>
                    <w:widowControl/>
                    <w:jc w:val="center"/>
                    <w:rPr>
                      <w:color w:val="auto"/>
                      <w:kern w:val="0"/>
                      <w:szCs w:val="21"/>
                      <w:highlight w:val="none"/>
                    </w:rPr>
                  </w:pPr>
                  <w:r>
                    <w:rPr>
                      <w:rFonts w:hint="eastAsia"/>
                      <w:color w:val="auto"/>
                      <w:kern w:val="0"/>
                      <w:szCs w:val="21"/>
                      <w:highlight w:val="none"/>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vAlign w:val="center"/>
                </w:tcPr>
                <w:p>
                  <w:pPr>
                    <w:pStyle w:val="42"/>
                    <w:autoSpaceDE/>
                    <w:autoSpaceDN/>
                    <w:jc w:val="center"/>
                    <w:rPr>
                      <w:rFonts w:ascii="Times New Roman" w:cs="Times New Roman"/>
                      <w:color w:val="auto"/>
                      <w:sz w:val="21"/>
                      <w:szCs w:val="21"/>
                      <w:highlight w:val="none"/>
                    </w:rPr>
                  </w:pPr>
                </w:p>
              </w:tc>
              <w:tc>
                <w:tcPr>
                  <w:tcW w:w="1759"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氮氧化物</w:t>
                  </w:r>
                </w:p>
              </w:tc>
              <w:tc>
                <w:tcPr>
                  <w:tcW w:w="802" w:type="dxa"/>
                  <w:vAlign w:val="center"/>
                </w:tcPr>
                <w:p>
                  <w:pPr>
                    <w:widowControl/>
                    <w:jc w:val="center"/>
                    <w:rPr>
                      <w:color w:val="auto"/>
                      <w:kern w:val="0"/>
                      <w:sz w:val="20"/>
                      <w:szCs w:val="20"/>
                      <w:highlight w:val="none"/>
                    </w:rPr>
                  </w:pPr>
                  <w:r>
                    <w:rPr>
                      <w:rFonts w:hint="eastAsia"/>
                      <w:color w:val="auto"/>
                      <w:kern w:val="0"/>
                      <w:sz w:val="20"/>
                      <w:szCs w:val="20"/>
                      <w:highlight w:val="none"/>
                    </w:rPr>
                    <w:t>182</w:t>
                  </w:r>
                </w:p>
              </w:tc>
              <w:tc>
                <w:tcPr>
                  <w:tcW w:w="969" w:type="dxa"/>
                  <w:vAlign w:val="center"/>
                </w:tcPr>
                <w:p>
                  <w:pPr>
                    <w:widowControl/>
                    <w:jc w:val="center"/>
                    <w:rPr>
                      <w:color w:val="auto"/>
                      <w:kern w:val="0"/>
                      <w:sz w:val="20"/>
                      <w:szCs w:val="20"/>
                      <w:highlight w:val="none"/>
                    </w:rPr>
                  </w:pPr>
                  <w:r>
                    <w:rPr>
                      <w:rFonts w:hint="eastAsia"/>
                      <w:color w:val="auto"/>
                      <w:kern w:val="0"/>
                      <w:sz w:val="20"/>
                      <w:szCs w:val="20"/>
                      <w:highlight w:val="none"/>
                    </w:rPr>
                    <w:t>175</w:t>
                  </w:r>
                </w:p>
              </w:tc>
              <w:tc>
                <w:tcPr>
                  <w:tcW w:w="970" w:type="dxa"/>
                  <w:vAlign w:val="center"/>
                </w:tcPr>
                <w:p>
                  <w:pPr>
                    <w:widowControl/>
                    <w:jc w:val="center"/>
                    <w:rPr>
                      <w:color w:val="auto"/>
                      <w:kern w:val="0"/>
                      <w:sz w:val="20"/>
                      <w:szCs w:val="20"/>
                      <w:highlight w:val="none"/>
                    </w:rPr>
                  </w:pPr>
                  <w:r>
                    <w:rPr>
                      <w:rFonts w:hint="eastAsia"/>
                      <w:color w:val="auto"/>
                      <w:kern w:val="0"/>
                      <w:sz w:val="20"/>
                      <w:szCs w:val="20"/>
                      <w:highlight w:val="none"/>
                    </w:rPr>
                    <w:t>168</w:t>
                  </w:r>
                </w:p>
              </w:tc>
              <w:tc>
                <w:tcPr>
                  <w:tcW w:w="992" w:type="dxa"/>
                  <w:vAlign w:val="center"/>
                </w:tcPr>
                <w:p>
                  <w:pPr>
                    <w:widowControl/>
                    <w:jc w:val="center"/>
                    <w:rPr>
                      <w:color w:val="auto"/>
                      <w:kern w:val="0"/>
                      <w:sz w:val="20"/>
                      <w:szCs w:val="20"/>
                      <w:highlight w:val="none"/>
                    </w:rPr>
                  </w:pPr>
                  <w:r>
                    <w:rPr>
                      <w:rFonts w:hint="eastAsia"/>
                      <w:color w:val="auto"/>
                      <w:kern w:val="0"/>
                      <w:sz w:val="20"/>
                      <w:szCs w:val="20"/>
                      <w:highlight w:val="none"/>
                    </w:rPr>
                    <w:t>175</w:t>
                  </w:r>
                </w:p>
              </w:tc>
              <w:tc>
                <w:tcPr>
                  <w:tcW w:w="888" w:type="dxa"/>
                  <w:vAlign w:val="center"/>
                </w:tcPr>
                <w:p>
                  <w:pPr>
                    <w:widowControl/>
                    <w:jc w:val="center"/>
                    <w:rPr>
                      <w:color w:val="auto"/>
                      <w:kern w:val="0"/>
                      <w:szCs w:val="21"/>
                      <w:highlight w:val="none"/>
                    </w:rPr>
                  </w:pPr>
                  <w:r>
                    <w:rPr>
                      <w:color w:val="auto"/>
                      <w:kern w:val="0"/>
                      <w:szCs w:val="21"/>
                      <w:highlight w:val="none"/>
                    </w:rPr>
                    <w:t>≤</w:t>
                  </w:r>
                  <w:r>
                    <w:rPr>
                      <w:rFonts w:hint="eastAsia"/>
                      <w:color w:val="auto"/>
                      <w:kern w:val="0"/>
                      <w:szCs w:val="21"/>
                      <w:highlight w:val="none"/>
                    </w:rPr>
                    <w:t>200</w:t>
                  </w:r>
                </w:p>
              </w:tc>
              <w:tc>
                <w:tcPr>
                  <w:tcW w:w="841" w:type="dxa"/>
                  <w:vAlign w:val="center"/>
                </w:tcPr>
                <w:p>
                  <w:pPr>
                    <w:widowControl/>
                    <w:jc w:val="center"/>
                    <w:rPr>
                      <w:color w:val="auto"/>
                      <w:kern w:val="0"/>
                      <w:sz w:val="20"/>
                      <w:szCs w:val="20"/>
                      <w:highlight w:val="none"/>
                    </w:rPr>
                  </w:pPr>
                  <w:r>
                    <w:rPr>
                      <w:rFonts w:hint="eastAsia"/>
                      <w:color w:val="auto"/>
                      <w:kern w:val="0"/>
                      <w:szCs w:val="21"/>
                      <w:highlight w:val="none"/>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vAlign w:val="center"/>
                </w:tcPr>
                <w:p>
                  <w:pPr>
                    <w:pStyle w:val="42"/>
                    <w:autoSpaceDE/>
                    <w:autoSpaceDN/>
                    <w:jc w:val="center"/>
                    <w:rPr>
                      <w:rFonts w:ascii="Times New Roman" w:cs="Times New Roman"/>
                      <w:color w:val="auto"/>
                      <w:sz w:val="21"/>
                      <w:szCs w:val="21"/>
                      <w:highlight w:val="none"/>
                    </w:rPr>
                  </w:pPr>
                </w:p>
              </w:tc>
              <w:tc>
                <w:tcPr>
                  <w:tcW w:w="1759"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氟化物</w:t>
                  </w:r>
                </w:p>
              </w:tc>
              <w:tc>
                <w:tcPr>
                  <w:tcW w:w="802" w:type="dxa"/>
                  <w:vAlign w:val="center"/>
                </w:tcPr>
                <w:p>
                  <w:pPr>
                    <w:widowControl/>
                    <w:jc w:val="center"/>
                    <w:rPr>
                      <w:color w:val="auto"/>
                      <w:kern w:val="0"/>
                      <w:sz w:val="20"/>
                      <w:szCs w:val="20"/>
                      <w:highlight w:val="none"/>
                    </w:rPr>
                  </w:pPr>
                  <w:r>
                    <w:rPr>
                      <w:rFonts w:hint="eastAsia"/>
                      <w:color w:val="auto"/>
                      <w:kern w:val="0"/>
                      <w:sz w:val="20"/>
                      <w:szCs w:val="20"/>
                      <w:highlight w:val="none"/>
                    </w:rPr>
                    <w:t>0.87</w:t>
                  </w:r>
                </w:p>
              </w:tc>
              <w:tc>
                <w:tcPr>
                  <w:tcW w:w="969" w:type="dxa"/>
                  <w:vAlign w:val="center"/>
                </w:tcPr>
                <w:p>
                  <w:pPr>
                    <w:widowControl/>
                    <w:jc w:val="center"/>
                    <w:rPr>
                      <w:color w:val="auto"/>
                      <w:kern w:val="0"/>
                      <w:sz w:val="20"/>
                      <w:szCs w:val="20"/>
                      <w:highlight w:val="none"/>
                    </w:rPr>
                  </w:pPr>
                  <w:r>
                    <w:rPr>
                      <w:rFonts w:hint="eastAsia"/>
                      <w:color w:val="auto"/>
                      <w:kern w:val="0"/>
                      <w:sz w:val="20"/>
                      <w:szCs w:val="20"/>
                      <w:highlight w:val="none"/>
                    </w:rPr>
                    <w:t>0.88</w:t>
                  </w:r>
                </w:p>
              </w:tc>
              <w:tc>
                <w:tcPr>
                  <w:tcW w:w="970" w:type="dxa"/>
                  <w:vAlign w:val="center"/>
                </w:tcPr>
                <w:p>
                  <w:pPr>
                    <w:widowControl/>
                    <w:jc w:val="center"/>
                    <w:rPr>
                      <w:color w:val="auto"/>
                      <w:kern w:val="0"/>
                      <w:sz w:val="20"/>
                      <w:szCs w:val="20"/>
                      <w:highlight w:val="none"/>
                    </w:rPr>
                  </w:pPr>
                  <w:r>
                    <w:rPr>
                      <w:rFonts w:hint="eastAsia"/>
                      <w:color w:val="auto"/>
                      <w:kern w:val="0"/>
                      <w:sz w:val="20"/>
                      <w:szCs w:val="20"/>
                      <w:highlight w:val="none"/>
                    </w:rPr>
                    <w:t>0.83</w:t>
                  </w:r>
                </w:p>
              </w:tc>
              <w:tc>
                <w:tcPr>
                  <w:tcW w:w="992" w:type="dxa"/>
                  <w:vAlign w:val="center"/>
                </w:tcPr>
                <w:p>
                  <w:pPr>
                    <w:widowControl/>
                    <w:jc w:val="center"/>
                    <w:rPr>
                      <w:color w:val="auto"/>
                      <w:kern w:val="0"/>
                      <w:sz w:val="20"/>
                      <w:szCs w:val="20"/>
                      <w:highlight w:val="none"/>
                    </w:rPr>
                  </w:pPr>
                  <w:r>
                    <w:rPr>
                      <w:rFonts w:hint="eastAsia"/>
                      <w:color w:val="auto"/>
                      <w:kern w:val="0"/>
                      <w:sz w:val="20"/>
                      <w:szCs w:val="20"/>
                      <w:highlight w:val="none"/>
                    </w:rPr>
                    <w:t>0.86</w:t>
                  </w:r>
                </w:p>
              </w:tc>
              <w:tc>
                <w:tcPr>
                  <w:tcW w:w="888" w:type="dxa"/>
                  <w:vAlign w:val="center"/>
                </w:tcPr>
                <w:p>
                  <w:pPr>
                    <w:widowControl/>
                    <w:jc w:val="center"/>
                    <w:rPr>
                      <w:color w:val="auto"/>
                      <w:kern w:val="0"/>
                      <w:szCs w:val="21"/>
                      <w:highlight w:val="none"/>
                    </w:rPr>
                  </w:pPr>
                  <w:r>
                    <w:rPr>
                      <w:color w:val="auto"/>
                      <w:kern w:val="0"/>
                      <w:szCs w:val="21"/>
                      <w:highlight w:val="none"/>
                    </w:rPr>
                    <w:t>≤</w:t>
                  </w:r>
                  <w:r>
                    <w:rPr>
                      <w:rFonts w:hint="eastAsia"/>
                      <w:color w:val="auto"/>
                      <w:kern w:val="0"/>
                      <w:szCs w:val="21"/>
                      <w:highlight w:val="none"/>
                    </w:rPr>
                    <w:t>3</w:t>
                  </w:r>
                </w:p>
              </w:tc>
              <w:tc>
                <w:tcPr>
                  <w:tcW w:w="841" w:type="dxa"/>
                  <w:vAlign w:val="center"/>
                </w:tcPr>
                <w:p>
                  <w:pPr>
                    <w:widowControl/>
                    <w:jc w:val="center"/>
                    <w:rPr>
                      <w:color w:val="auto"/>
                      <w:kern w:val="0"/>
                      <w:szCs w:val="21"/>
                      <w:highlight w:val="none"/>
                    </w:rPr>
                  </w:pPr>
                  <w:r>
                    <w:rPr>
                      <w:rFonts w:hint="eastAsia"/>
                      <w:color w:val="auto"/>
                      <w:kern w:val="0"/>
                      <w:szCs w:val="21"/>
                      <w:highlight w:val="none"/>
                    </w:rPr>
                    <w:t>是</w:t>
                  </w:r>
                </w:p>
              </w:tc>
            </w:tr>
          </w:tbl>
          <w:p>
            <w:pPr>
              <w:pStyle w:val="14"/>
              <w:spacing w:after="0" w:line="360" w:lineRule="auto"/>
              <w:ind w:firstLine="480" w:firstLineChars="200"/>
              <w:rPr>
                <w:rFonts w:hint="eastAsia"/>
                <w:bCs/>
                <w:color w:val="auto"/>
                <w:sz w:val="24"/>
                <w:highlight w:val="none"/>
                <w:lang w:eastAsia="zh-CN"/>
              </w:rPr>
            </w:pPr>
            <w:r>
              <w:rPr>
                <w:rFonts w:hint="eastAsia"/>
                <w:color w:val="auto"/>
                <w:sz w:val="24"/>
                <w:szCs w:val="24"/>
                <w:highlight w:val="none"/>
              </w:rPr>
              <w:t>根据表2-6可知，现有工程有组织废气排放口颗粒物、二氧化硫、氮氧化物、氟化物监测结果均满足《砖瓦工业大气污染物排放标准》（GB 29620-2013）及其修改单中的排放限值要求。</w:t>
            </w:r>
          </w:p>
          <w:p>
            <w:pPr>
              <w:adjustRightInd w:val="0"/>
              <w:snapToGrid w:val="0"/>
              <w:spacing w:line="360" w:lineRule="auto"/>
              <w:ind w:firstLine="480" w:firstLineChars="200"/>
              <w:rPr>
                <w:rFonts w:hint="eastAsia"/>
                <w:bCs/>
                <w:color w:val="auto"/>
                <w:sz w:val="24"/>
                <w:highlight w:val="none"/>
                <w:lang w:eastAsia="zh-CN"/>
              </w:rPr>
            </w:pPr>
            <w:r>
              <w:rPr>
                <w:rFonts w:hint="eastAsia" w:ascii="宋体" w:hAnsi="宋体" w:eastAsia="宋体" w:cs="宋体"/>
                <w:bCs/>
                <w:color w:val="auto"/>
                <w:sz w:val="24"/>
                <w:highlight w:val="none"/>
              </w:rPr>
              <w:t>②</w:t>
            </w:r>
            <w:r>
              <w:rPr>
                <w:rFonts w:hint="eastAsia"/>
                <w:bCs/>
                <w:color w:val="auto"/>
                <w:sz w:val="24"/>
                <w:highlight w:val="none"/>
              </w:rPr>
              <w:t>原料破碎筛分粉尘</w:t>
            </w:r>
            <w:r>
              <w:rPr>
                <w:rFonts w:hint="eastAsia"/>
                <w:bCs/>
                <w:color w:val="auto"/>
                <w:sz w:val="24"/>
                <w:highlight w:val="none"/>
                <w:lang w:eastAsia="zh-CN"/>
              </w:rPr>
              <w:t>和堆场扬尘（无组织形式）</w:t>
            </w:r>
          </w:p>
          <w:p>
            <w:pPr>
              <w:adjustRightInd w:val="0"/>
              <w:snapToGrid w:val="0"/>
              <w:spacing w:line="360" w:lineRule="auto"/>
              <w:ind w:firstLine="480" w:firstLineChars="200"/>
              <w:rPr>
                <w:b/>
                <w:color w:val="auto"/>
                <w:szCs w:val="21"/>
                <w:highlight w:val="none"/>
              </w:rPr>
            </w:pPr>
            <w:r>
              <w:rPr>
                <w:rFonts w:hint="eastAsia"/>
                <w:bCs/>
                <w:color w:val="auto"/>
                <w:sz w:val="24"/>
                <w:highlight w:val="none"/>
                <w:lang w:eastAsia="zh-CN"/>
              </w:rPr>
              <w:t>原料</w:t>
            </w:r>
            <w:r>
              <w:rPr>
                <w:rFonts w:hint="eastAsia"/>
                <w:bCs/>
                <w:color w:val="auto"/>
                <w:sz w:val="24"/>
                <w:highlight w:val="none"/>
              </w:rPr>
              <w:t>破碎、筛分环节设置有1台袋式除尘器对粉尘进行处理；破碎车间封闭，原料覆盖防尘网；定期对产生无组织粉尘的场地进行洒水喷淋，使物料保持一定的含水率。本次引用建设单位</w:t>
            </w:r>
            <w:r>
              <w:rPr>
                <w:rFonts w:hint="eastAsia"/>
                <w:bCs/>
                <w:color w:val="auto"/>
                <w:sz w:val="24"/>
                <w:highlight w:val="none"/>
                <w:lang w:val="en-US" w:eastAsia="zh-CN"/>
              </w:rPr>
              <w:t>2022年</w:t>
            </w:r>
            <w:r>
              <w:rPr>
                <w:rFonts w:hint="eastAsia"/>
                <w:bCs/>
                <w:color w:val="auto"/>
                <w:sz w:val="24"/>
                <w:highlight w:val="none"/>
              </w:rPr>
              <w:t>例行监测报告，具体结果见下表：</w:t>
            </w:r>
          </w:p>
          <w:p>
            <w:pPr>
              <w:tabs>
                <w:tab w:val="left" w:leader="middleDot" w:pos="8399"/>
              </w:tabs>
              <w:jc w:val="center"/>
              <w:rPr>
                <w:b/>
                <w:color w:val="auto"/>
                <w:szCs w:val="21"/>
                <w:highlight w:val="none"/>
              </w:rPr>
            </w:pPr>
            <w:r>
              <w:rPr>
                <w:rFonts w:hint="eastAsia"/>
                <w:bCs/>
                <w:color w:val="auto"/>
                <w:szCs w:val="21"/>
                <w:highlight w:val="none"/>
              </w:rPr>
              <w:t xml:space="preserve">    </w:t>
            </w:r>
            <w:r>
              <w:rPr>
                <w:b/>
                <w:color w:val="auto"/>
                <w:szCs w:val="21"/>
                <w:highlight w:val="none"/>
              </w:rPr>
              <w:t>表</w:t>
            </w:r>
            <w:r>
              <w:rPr>
                <w:rFonts w:hint="eastAsia"/>
                <w:b/>
                <w:color w:val="auto"/>
                <w:szCs w:val="21"/>
                <w:highlight w:val="none"/>
              </w:rPr>
              <w:t>2</w:t>
            </w:r>
            <w:r>
              <w:rPr>
                <w:b/>
                <w:color w:val="auto"/>
                <w:szCs w:val="21"/>
                <w:highlight w:val="none"/>
              </w:rPr>
              <w:t>-</w:t>
            </w:r>
            <w:r>
              <w:rPr>
                <w:rFonts w:hint="eastAsia"/>
                <w:b/>
                <w:color w:val="auto"/>
                <w:szCs w:val="21"/>
                <w:highlight w:val="none"/>
              </w:rPr>
              <w:t>7</w:t>
            </w:r>
            <w:r>
              <w:rPr>
                <w:b/>
                <w:color w:val="auto"/>
                <w:szCs w:val="21"/>
                <w:highlight w:val="none"/>
              </w:rPr>
              <w:t xml:space="preserve">   </w:t>
            </w:r>
            <w:r>
              <w:rPr>
                <w:rFonts w:hint="eastAsia"/>
                <w:b/>
                <w:color w:val="auto"/>
                <w:szCs w:val="21"/>
                <w:highlight w:val="none"/>
              </w:rPr>
              <w:t xml:space="preserve">现有工程无组织废气监测结果      </w:t>
            </w:r>
            <w:r>
              <w:rPr>
                <w:rFonts w:hint="eastAsia"/>
                <w:b/>
                <w:bCs/>
                <w:color w:val="auto"/>
                <w:szCs w:val="21"/>
                <w:highlight w:val="none"/>
              </w:rPr>
              <w:t>单位：mg/m</w:t>
            </w:r>
            <w:r>
              <w:rPr>
                <w:rFonts w:hint="eastAsia"/>
                <w:b/>
                <w:bCs/>
                <w:color w:val="auto"/>
                <w:szCs w:val="21"/>
                <w:highlight w:val="none"/>
                <w:vertAlign w:val="superscript"/>
              </w:rPr>
              <w:t>3</w:t>
            </w:r>
          </w:p>
          <w:tbl>
            <w:tblPr>
              <w:tblStyle w:val="34"/>
              <w:tblW w:w="836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01"/>
              <w:gridCol w:w="1431"/>
              <w:gridCol w:w="1096"/>
              <w:gridCol w:w="1088"/>
              <w:gridCol w:w="1082"/>
              <w:gridCol w:w="1084"/>
              <w:gridCol w:w="866"/>
              <w:gridCol w:w="7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01"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监测时间</w:t>
                  </w:r>
                </w:p>
              </w:tc>
              <w:tc>
                <w:tcPr>
                  <w:tcW w:w="1431" w:type="dxa"/>
                  <w:vAlign w:val="center"/>
                </w:tcPr>
                <w:p>
                  <w:pPr>
                    <w:pStyle w:val="42"/>
                    <w:autoSpaceDE/>
                    <w:autoSpaceDN/>
                    <w:jc w:val="center"/>
                    <w:rPr>
                      <w:rFonts w:ascii="Times New Roman" w:cs="Times New Roman"/>
                      <w:color w:val="auto"/>
                      <w:sz w:val="21"/>
                      <w:szCs w:val="21"/>
                      <w:highlight w:val="none"/>
                    </w:rPr>
                  </w:pPr>
                  <w:r>
                    <w:rPr>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4445</wp:posOffset>
                            </wp:positionV>
                            <wp:extent cx="897890" cy="335280"/>
                            <wp:effectExtent l="1905" t="4445" r="14605" b="22225"/>
                            <wp:wrapNone/>
                            <wp:docPr id="14" name="直接连接符 14"/>
                            <wp:cNvGraphicFramePr/>
                            <a:graphic xmlns:a="http://schemas.openxmlformats.org/drawingml/2006/main">
                              <a:graphicData uri="http://schemas.microsoft.com/office/word/2010/wordprocessingShape">
                                <wps:wsp>
                                  <wps:cNvCnPr/>
                                  <wps:spPr>
                                    <a:xfrm>
                                      <a:off x="2123440" y="4520565"/>
                                      <a:ext cx="897890" cy="33528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0.6pt;margin-top:0.35pt;height:26.4pt;width:70.7pt;z-index:251659264;mso-width-relative:page;mso-height-relative:page;" filled="f" stroked="t" coordsize="21600,21600" o:gfxdata="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Rg3wjTAAAABQEAAA8AAAAAAAAAAQAgAAAAIgAAAGRy&#10;cy9kb3ducmV2LnhtbFBLAQIUABQAAAAIAIdO4kDVDS5pCgIAAPMDAAAOAAAAAAAAAAEAIAAAACIB&#10;AABkcnMvZTJvRG9jLnhtbFBLBQYAAAAABgAGAFkBAACeBQAAAAA=&#10;">
                            <v:fill on="f" focussize="0,0"/>
                            <v:stroke color="#000000" joinstyle="round"/>
                            <v:imagedata o:title=""/>
                            <o:lock v:ext="edit" aspectratio="f"/>
                          </v:line>
                        </w:pict>
                      </mc:Fallback>
                    </mc:AlternateContent>
                  </w:r>
                  <w:r>
                    <w:rPr>
                      <w:rFonts w:hint="eastAsia" w:ascii="Times New Roman" w:cs="Times New Roman"/>
                      <w:color w:val="auto"/>
                      <w:sz w:val="21"/>
                      <w:szCs w:val="21"/>
                      <w:highlight w:val="none"/>
                    </w:rPr>
                    <w:t xml:space="preserve">     监测点位</w:t>
                  </w:r>
                </w:p>
                <w:p>
                  <w:pPr>
                    <w:pStyle w:val="42"/>
                    <w:autoSpaceDE/>
                    <w:autoSpaceDN/>
                    <w:jc w:val="both"/>
                    <w:rPr>
                      <w:rFonts w:ascii="Times New Roman" w:cs="Times New Roman"/>
                      <w:color w:val="auto"/>
                      <w:sz w:val="21"/>
                      <w:szCs w:val="21"/>
                      <w:highlight w:val="none"/>
                    </w:rPr>
                  </w:pPr>
                  <w:r>
                    <w:rPr>
                      <w:rFonts w:hint="eastAsia" w:ascii="Times New Roman" w:cs="Times New Roman"/>
                      <w:color w:val="auto"/>
                      <w:sz w:val="21"/>
                      <w:szCs w:val="21"/>
                      <w:highlight w:val="none"/>
                    </w:rPr>
                    <w:t>监测项目</w:t>
                  </w:r>
                </w:p>
              </w:tc>
              <w:tc>
                <w:tcPr>
                  <w:tcW w:w="1096" w:type="dxa"/>
                  <w:vAlign w:val="center"/>
                </w:tcPr>
                <w:p>
                  <w:pPr>
                    <w:widowControl/>
                    <w:jc w:val="center"/>
                    <w:rPr>
                      <w:color w:val="auto"/>
                      <w:szCs w:val="21"/>
                      <w:highlight w:val="none"/>
                    </w:rPr>
                  </w:pPr>
                  <w:r>
                    <w:rPr>
                      <w:rFonts w:hint="eastAsia"/>
                      <w:color w:val="auto"/>
                      <w:szCs w:val="21"/>
                      <w:highlight w:val="none"/>
                    </w:rPr>
                    <w:t>1#上风向</w:t>
                  </w:r>
                </w:p>
              </w:tc>
              <w:tc>
                <w:tcPr>
                  <w:tcW w:w="1088" w:type="dxa"/>
                  <w:vAlign w:val="center"/>
                </w:tcPr>
                <w:p>
                  <w:pPr>
                    <w:widowControl/>
                    <w:jc w:val="center"/>
                    <w:rPr>
                      <w:color w:val="auto"/>
                      <w:szCs w:val="21"/>
                      <w:highlight w:val="none"/>
                    </w:rPr>
                  </w:pPr>
                  <w:r>
                    <w:rPr>
                      <w:rFonts w:hint="eastAsia"/>
                      <w:color w:val="auto"/>
                      <w:szCs w:val="21"/>
                      <w:highlight w:val="none"/>
                    </w:rPr>
                    <w:t>2#上风向</w:t>
                  </w:r>
                </w:p>
              </w:tc>
              <w:tc>
                <w:tcPr>
                  <w:tcW w:w="1082" w:type="dxa"/>
                  <w:vAlign w:val="center"/>
                </w:tcPr>
                <w:p>
                  <w:pPr>
                    <w:widowControl/>
                    <w:jc w:val="center"/>
                    <w:rPr>
                      <w:color w:val="auto"/>
                      <w:szCs w:val="21"/>
                      <w:highlight w:val="none"/>
                    </w:rPr>
                  </w:pPr>
                  <w:r>
                    <w:rPr>
                      <w:rFonts w:hint="eastAsia"/>
                      <w:color w:val="auto"/>
                      <w:szCs w:val="21"/>
                      <w:highlight w:val="none"/>
                    </w:rPr>
                    <w:t>3#上风向</w:t>
                  </w:r>
                </w:p>
              </w:tc>
              <w:tc>
                <w:tcPr>
                  <w:tcW w:w="1084" w:type="dxa"/>
                  <w:vAlign w:val="center"/>
                </w:tcPr>
                <w:p>
                  <w:pPr>
                    <w:widowControl/>
                    <w:jc w:val="center"/>
                    <w:rPr>
                      <w:color w:val="auto"/>
                      <w:kern w:val="0"/>
                      <w:szCs w:val="21"/>
                      <w:highlight w:val="none"/>
                    </w:rPr>
                  </w:pPr>
                  <w:r>
                    <w:rPr>
                      <w:rFonts w:hint="eastAsia"/>
                      <w:color w:val="auto"/>
                      <w:szCs w:val="21"/>
                      <w:highlight w:val="none"/>
                    </w:rPr>
                    <w:t>4#上风向</w:t>
                  </w:r>
                </w:p>
              </w:tc>
              <w:tc>
                <w:tcPr>
                  <w:tcW w:w="866" w:type="dxa"/>
                  <w:vAlign w:val="center"/>
                </w:tcPr>
                <w:p>
                  <w:pPr>
                    <w:widowControl/>
                    <w:jc w:val="center"/>
                    <w:rPr>
                      <w:color w:val="auto"/>
                      <w:szCs w:val="21"/>
                      <w:highlight w:val="none"/>
                    </w:rPr>
                  </w:pPr>
                  <w:r>
                    <w:rPr>
                      <w:rFonts w:hint="eastAsia"/>
                      <w:color w:val="auto"/>
                      <w:szCs w:val="21"/>
                      <w:highlight w:val="none"/>
                    </w:rPr>
                    <w:t>标准值</w:t>
                  </w:r>
                </w:p>
              </w:tc>
              <w:tc>
                <w:tcPr>
                  <w:tcW w:w="715" w:type="dxa"/>
                  <w:vAlign w:val="center"/>
                </w:tcPr>
                <w:p>
                  <w:pPr>
                    <w:widowControl/>
                    <w:jc w:val="center"/>
                    <w:rPr>
                      <w:color w:val="auto"/>
                      <w:szCs w:val="21"/>
                      <w:highlight w:val="none"/>
                    </w:rPr>
                  </w:pPr>
                  <w:r>
                    <w:rPr>
                      <w:rFonts w:hint="eastAsia"/>
                      <w:color w:val="auto"/>
                      <w:szCs w:val="21"/>
                      <w:highlight w:val="none"/>
                    </w:rPr>
                    <w:t>是否</w:t>
                  </w:r>
                </w:p>
                <w:p>
                  <w:pPr>
                    <w:widowControl/>
                    <w:jc w:val="center"/>
                    <w:rPr>
                      <w:color w:val="auto"/>
                      <w:szCs w:val="21"/>
                      <w:highlight w:val="none"/>
                    </w:rPr>
                  </w:pPr>
                  <w:r>
                    <w:rPr>
                      <w:rFonts w:hint="eastAsia"/>
                      <w:color w:val="auto"/>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01" w:type="dxa"/>
                  <w:vMerge w:val="restart"/>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2022.4.22</w:t>
                  </w:r>
                </w:p>
              </w:tc>
              <w:tc>
                <w:tcPr>
                  <w:tcW w:w="1431"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颗粒物</w:t>
                  </w:r>
                </w:p>
              </w:tc>
              <w:tc>
                <w:tcPr>
                  <w:tcW w:w="1096" w:type="dxa"/>
                  <w:vAlign w:val="center"/>
                </w:tcPr>
                <w:p>
                  <w:pPr>
                    <w:widowControl/>
                    <w:jc w:val="center"/>
                    <w:rPr>
                      <w:color w:val="auto"/>
                      <w:szCs w:val="21"/>
                      <w:highlight w:val="none"/>
                    </w:rPr>
                  </w:pPr>
                  <w:r>
                    <w:rPr>
                      <w:rFonts w:hint="eastAsia"/>
                      <w:color w:val="auto"/>
                      <w:szCs w:val="21"/>
                      <w:highlight w:val="none"/>
                    </w:rPr>
                    <w:t>0.100~0.162</w:t>
                  </w:r>
                </w:p>
              </w:tc>
              <w:tc>
                <w:tcPr>
                  <w:tcW w:w="1088" w:type="dxa"/>
                  <w:vAlign w:val="center"/>
                </w:tcPr>
                <w:p>
                  <w:pPr>
                    <w:widowControl/>
                    <w:jc w:val="center"/>
                    <w:rPr>
                      <w:color w:val="auto"/>
                      <w:szCs w:val="21"/>
                      <w:highlight w:val="none"/>
                    </w:rPr>
                  </w:pPr>
                  <w:r>
                    <w:rPr>
                      <w:rFonts w:hint="eastAsia"/>
                      <w:color w:val="auto"/>
                      <w:szCs w:val="21"/>
                      <w:highlight w:val="none"/>
                    </w:rPr>
                    <w:t>0.417~0.507</w:t>
                  </w:r>
                </w:p>
              </w:tc>
              <w:tc>
                <w:tcPr>
                  <w:tcW w:w="1082" w:type="dxa"/>
                  <w:vAlign w:val="center"/>
                </w:tcPr>
                <w:p>
                  <w:pPr>
                    <w:widowControl/>
                    <w:jc w:val="center"/>
                    <w:rPr>
                      <w:color w:val="auto"/>
                      <w:szCs w:val="21"/>
                      <w:highlight w:val="none"/>
                    </w:rPr>
                  </w:pPr>
                  <w:r>
                    <w:rPr>
                      <w:rFonts w:hint="eastAsia"/>
                      <w:color w:val="auto"/>
                      <w:szCs w:val="21"/>
                      <w:highlight w:val="none"/>
                    </w:rPr>
                    <w:t>0.302~0.421</w:t>
                  </w:r>
                </w:p>
              </w:tc>
              <w:tc>
                <w:tcPr>
                  <w:tcW w:w="1084" w:type="dxa"/>
                  <w:vAlign w:val="center"/>
                </w:tcPr>
                <w:p>
                  <w:pPr>
                    <w:widowControl/>
                    <w:jc w:val="center"/>
                    <w:rPr>
                      <w:color w:val="auto"/>
                      <w:kern w:val="0"/>
                      <w:szCs w:val="21"/>
                      <w:highlight w:val="none"/>
                    </w:rPr>
                  </w:pPr>
                  <w:r>
                    <w:rPr>
                      <w:rFonts w:hint="eastAsia"/>
                      <w:color w:val="auto"/>
                      <w:kern w:val="0"/>
                      <w:szCs w:val="21"/>
                      <w:highlight w:val="none"/>
                    </w:rPr>
                    <w:t>0.362~0.456</w:t>
                  </w:r>
                </w:p>
              </w:tc>
              <w:tc>
                <w:tcPr>
                  <w:tcW w:w="866" w:type="dxa"/>
                  <w:vAlign w:val="center"/>
                </w:tcPr>
                <w:p>
                  <w:pPr>
                    <w:widowControl/>
                    <w:jc w:val="center"/>
                    <w:rPr>
                      <w:color w:val="auto"/>
                      <w:kern w:val="0"/>
                      <w:szCs w:val="21"/>
                      <w:highlight w:val="none"/>
                    </w:rPr>
                  </w:pPr>
                  <w:r>
                    <w:rPr>
                      <w:color w:val="auto"/>
                      <w:kern w:val="0"/>
                      <w:szCs w:val="21"/>
                      <w:highlight w:val="none"/>
                    </w:rPr>
                    <w:t>≤</w:t>
                  </w:r>
                  <w:r>
                    <w:rPr>
                      <w:rFonts w:hint="eastAsia"/>
                      <w:color w:val="auto"/>
                      <w:kern w:val="0"/>
                      <w:szCs w:val="21"/>
                      <w:highlight w:val="none"/>
                    </w:rPr>
                    <w:t>1.0</w:t>
                  </w:r>
                </w:p>
              </w:tc>
              <w:tc>
                <w:tcPr>
                  <w:tcW w:w="715" w:type="dxa"/>
                  <w:vAlign w:val="center"/>
                </w:tcPr>
                <w:p>
                  <w:pPr>
                    <w:widowControl/>
                    <w:jc w:val="center"/>
                    <w:rPr>
                      <w:color w:val="auto"/>
                      <w:kern w:val="0"/>
                      <w:szCs w:val="21"/>
                      <w:highlight w:val="none"/>
                    </w:rPr>
                  </w:pPr>
                  <w:r>
                    <w:rPr>
                      <w:rFonts w:hint="eastAsia"/>
                      <w:color w:val="auto"/>
                      <w:kern w:val="0"/>
                      <w:szCs w:val="21"/>
                      <w:highlight w:val="none"/>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01" w:type="dxa"/>
                  <w:vMerge w:val="continue"/>
                  <w:vAlign w:val="center"/>
                </w:tcPr>
                <w:p>
                  <w:pPr>
                    <w:pStyle w:val="42"/>
                    <w:autoSpaceDE/>
                    <w:autoSpaceDN/>
                    <w:jc w:val="center"/>
                    <w:rPr>
                      <w:rFonts w:ascii="Times New Roman" w:cs="Times New Roman"/>
                      <w:color w:val="auto"/>
                      <w:sz w:val="21"/>
                      <w:szCs w:val="21"/>
                      <w:highlight w:val="none"/>
                    </w:rPr>
                  </w:pPr>
                </w:p>
              </w:tc>
              <w:tc>
                <w:tcPr>
                  <w:tcW w:w="1431"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二氧化硫</w:t>
                  </w:r>
                </w:p>
              </w:tc>
              <w:tc>
                <w:tcPr>
                  <w:tcW w:w="1096" w:type="dxa"/>
                  <w:vAlign w:val="center"/>
                </w:tcPr>
                <w:p>
                  <w:pPr>
                    <w:widowControl/>
                    <w:jc w:val="center"/>
                    <w:rPr>
                      <w:color w:val="auto"/>
                      <w:szCs w:val="21"/>
                      <w:highlight w:val="none"/>
                    </w:rPr>
                  </w:pPr>
                  <w:r>
                    <w:rPr>
                      <w:rFonts w:hint="eastAsia"/>
                      <w:color w:val="auto"/>
                      <w:szCs w:val="21"/>
                      <w:highlight w:val="none"/>
                    </w:rPr>
                    <w:t>0.013~0.018</w:t>
                  </w:r>
                </w:p>
              </w:tc>
              <w:tc>
                <w:tcPr>
                  <w:tcW w:w="1088" w:type="dxa"/>
                  <w:vAlign w:val="center"/>
                </w:tcPr>
                <w:p>
                  <w:pPr>
                    <w:widowControl/>
                    <w:jc w:val="center"/>
                    <w:rPr>
                      <w:color w:val="auto"/>
                      <w:szCs w:val="21"/>
                      <w:highlight w:val="none"/>
                    </w:rPr>
                  </w:pPr>
                  <w:r>
                    <w:rPr>
                      <w:rFonts w:hint="eastAsia"/>
                      <w:color w:val="auto"/>
                      <w:szCs w:val="21"/>
                      <w:highlight w:val="none"/>
                    </w:rPr>
                    <w:t>0.034~0.040</w:t>
                  </w:r>
                </w:p>
              </w:tc>
              <w:tc>
                <w:tcPr>
                  <w:tcW w:w="1082" w:type="dxa"/>
                  <w:vAlign w:val="center"/>
                </w:tcPr>
                <w:p>
                  <w:pPr>
                    <w:widowControl/>
                    <w:jc w:val="center"/>
                    <w:rPr>
                      <w:color w:val="auto"/>
                      <w:szCs w:val="21"/>
                      <w:highlight w:val="none"/>
                    </w:rPr>
                  </w:pPr>
                  <w:r>
                    <w:rPr>
                      <w:rFonts w:hint="eastAsia"/>
                      <w:color w:val="auto"/>
                      <w:szCs w:val="21"/>
                      <w:highlight w:val="none"/>
                    </w:rPr>
                    <w:t>0.034~0.038</w:t>
                  </w:r>
                </w:p>
              </w:tc>
              <w:tc>
                <w:tcPr>
                  <w:tcW w:w="1084" w:type="dxa"/>
                  <w:vAlign w:val="center"/>
                </w:tcPr>
                <w:p>
                  <w:pPr>
                    <w:widowControl/>
                    <w:jc w:val="center"/>
                    <w:rPr>
                      <w:color w:val="auto"/>
                      <w:kern w:val="0"/>
                      <w:szCs w:val="21"/>
                      <w:highlight w:val="none"/>
                    </w:rPr>
                  </w:pPr>
                  <w:r>
                    <w:rPr>
                      <w:rFonts w:hint="eastAsia"/>
                      <w:color w:val="auto"/>
                      <w:szCs w:val="21"/>
                      <w:highlight w:val="none"/>
                    </w:rPr>
                    <w:t>0.037~0.041</w:t>
                  </w:r>
                </w:p>
              </w:tc>
              <w:tc>
                <w:tcPr>
                  <w:tcW w:w="866" w:type="dxa"/>
                  <w:vAlign w:val="center"/>
                </w:tcPr>
                <w:p>
                  <w:pPr>
                    <w:widowControl/>
                    <w:jc w:val="center"/>
                    <w:rPr>
                      <w:color w:val="auto"/>
                      <w:kern w:val="0"/>
                      <w:szCs w:val="21"/>
                      <w:highlight w:val="none"/>
                    </w:rPr>
                  </w:pPr>
                  <w:r>
                    <w:rPr>
                      <w:color w:val="auto"/>
                      <w:kern w:val="0"/>
                      <w:szCs w:val="21"/>
                      <w:highlight w:val="none"/>
                    </w:rPr>
                    <w:t>≤</w:t>
                  </w:r>
                  <w:r>
                    <w:rPr>
                      <w:rFonts w:hint="eastAsia"/>
                      <w:color w:val="auto"/>
                      <w:kern w:val="0"/>
                      <w:szCs w:val="21"/>
                      <w:highlight w:val="none"/>
                    </w:rPr>
                    <w:t>0.5</w:t>
                  </w:r>
                </w:p>
              </w:tc>
              <w:tc>
                <w:tcPr>
                  <w:tcW w:w="715" w:type="dxa"/>
                  <w:vAlign w:val="center"/>
                </w:tcPr>
                <w:p>
                  <w:pPr>
                    <w:widowControl/>
                    <w:jc w:val="center"/>
                    <w:rPr>
                      <w:color w:val="auto"/>
                      <w:kern w:val="0"/>
                      <w:szCs w:val="21"/>
                      <w:highlight w:val="none"/>
                    </w:rPr>
                  </w:pPr>
                  <w:r>
                    <w:rPr>
                      <w:rFonts w:hint="eastAsia"/>
                      <w:color w:val="auto"/>
                      <w:kern w:val="0"/>
                      <w:szCs w:val="21"/>
                      <w:highlight w:val="none"/>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01" w:type="dxa"/>
                  <w:vMerge w:val="continue"/>
                  <w:vAlign w:val="center"/>
                </w:tcPr>
                <w:p>
                  <w:pPr>
                    <w:pStyle w:val="42"/>
                    <w:autoSpaceDE/>
                    <w:autoSpaceDN/>
                    <w:jc w:val="center"/>
                    <w:rPr>
                      <w:rFonts w:ascii="Times New Roman" w:cs="Times New Roman"/>
                      <w:color w:val="auto"/>
                      <w:sz w:val="21"/>
                      <w:szCs w:val="21"/>
                      <w:highlight w:val="none"/>
                    </w:rPr>
                  </w:pPr>
                </w:p>
              </w:tc>
              <w:tc>
                <w:tcPr>
                  <w:tcW w:w="1431" w:type="dxa"/>
                  <w:vAlign w:val="center"/>
                </w:tcPr>
                <w:p>
                  <w:pPr>
                    <w:pStyle w:val="42"/>
                    <w:autoSpaceDE/>
                    <w:autoSpaceDN/>
                    <w:jc w:val="center"/>
                    <w:rPr>
                      <w:rFonts w:ascii="Times New Roman" w:cs="Times New Roman"/>
                      <w:color w:val="auto"/>
                      <w:sz w:val="21"/>
                      <w:szCs w:val="21"/>
                      <w:highlight w:val="none"/>
                    </w:rPr>
                  </w:pPr>
                  <w:r>
                    <w:rPr>
                      <w:rFonts w:hint="eastAsia" w:ascii="Times New Roman" w:cs="Times New Roman"/>
                      <w:color w:val="auto"/>
                      <w:sz w:val="21"/>
                      <w:szCs w:val="21"/>
                      <w:highlight w:val="none"/>
                    </w:rPr>
                    <w:t>氟化物</w:t>
                  </w:r>
                </w:p>
              </w:tc>
              <w:tc>
                <w:tcPr>
                  <w:tcW w:w="1096" w:type="dxa"/>
                  <w:vAlign w:val="center"/>
                </w:tcPr>
                <w:p>
                  <w:pPr>
                    <w:widowControl/>
                    <w:jc w:val="center"/>
                    <w:rPr>
                      <w:color w:val="auto"/>
                      <w:kern w:val="0"/>
                      <w:sz w:val="20"/>
                      <w:szCs w:val="20"/>
                      <w:highlight w:val="none"/>
                    </w:rPr>
                  </w:pPr>
                  <w:r>
                    <w:rPr>
                      <w:rFonts w:hint="eastAsia"/>
                      <w:color w:val="auto"/>
                      <w:kern w:val="0"/>
                      <w:sz w:val="20"/>
                      <w:szCs w:val="20"/>
                      <w:highlight w:val="none"/>
                    </w:rPr>
                    <w:t>0.00229~</w:t>
                  </w:r>
                </w:p>
                <w:p>
                  <w:pPr>
                    <w:widowControl/>
                    <w:jc w:val="center"/>
                    <w:rPr>
                      <w:color w:val="auto"/>
                      <w:kern w:val="0"/>
                      <w:sz w:val="20"/>
                      <w:szCs w:val="20"/>
                      <w:highlight w:val="none"/>
                    </w:rPr>
                  </w:pPr>
                  <w:r>
                    <w:rPr>
                      <w:rFonts w:hint="eastAsia"/>
                      <w:color w:val="auto"/>
                      <w:kern w:val="0"/>
                      <w:sz w:val="20"/>
                      <w:szCs w:val="20"/>
                      <w:highlight w:val="none"/>
                    </w:rPr>
                    <w:t>0.00257</w:t>
                  </w:r>
                </w:p>
              </w:tc>
              <w:tc>
                <w:tcPr>
                  <w:tcW w:w="1088" w:type="dxa"/>
                  <w:vAlign w:val="center"/>
                </w:tcPr>
                <w:p>
                  <w:pPr>
                    <w:widowControl/>
                    <w:jc w:val="center"/>
                    <w:rPr>
                      <w:color w:val="auto"/>
                      <w:kern w:val="0"/>
                      <w:sz w:val="20"/>
                      <w:szCs w:val="20"/>
                      <w:highlight w:val="none"/>
                    </w:rPr>
                  </w:pPr>
                  <w:r>
                    <w:rPr>
                      <w:rFonts w:hint="eastAsia"/>
                      <w:color w:val="auto"/>
                      <w:kern w:val="0"/>
                      <w:sz w:val="20"/>
                      <w:szCs w:val="20"/>
                      <w:highlight w:val="none"/>
                    </w:rPr>
                    <w:t>0.00352~0.00370</w:t>
                  </w:r>
                </w:p>
              </w:tc>
              <w:tc>
                <w:tcPr>
                  <w:tcW w:w="1082" w:type="dxa"/>
                  <w:vAlign w:val="center"/>
                </w:tcPr>
                <w:p>
                  <w:pPr>
                    <w:widowControl/>
                    <w:jc w:val="center"/>
                    <w:rPr>
                      <w:color w:val="auto"/>
                      <w:kern w:val="0"/>
                      <w:sz w:val="20"/>
                      <w:szCs w:val="20"/>
                      <w:highlight w:val="none"/>
                    </w:rPr>
                  </w:pPr>
                  <w:r>
                    <w:rPr>
                      <w:rFonts w:hint="eastAsia"/>
                      <w:color w:val="auto"/>
                      <w:kern w:val="0"/>
                      <w:sz w:val="20"/>
                      <w:szCs w:val="20"/>
                      <w:highlight w:val="none"/>
                    </w:rPr>
                    <w:t>0.00287~0.00383</w:t>
                  </w:r>
                </w:p>
              </w:tc>
              <w:tc>
                <w:tcPr>
                  <w:tcW w:w="1084" w:type="dxa"/>
                  <w:vAlign w:val="center"/>
                </w:tcPr>
                <w:p>
                  <w:pPr>
                    <w:widowControl/>
                    <w:jc w:val="center"/>
                    <w:rPr>
                      <w:color w:val="auto"/>
                      <w:kern w:val="0"/>
                      <w:sz w:val="20"/>
                      <w:szCs w:val="20"/>
                      <w:highlight w:val="none"/>
                    </w:rPr>
                  </w:pPr>
                  <w:r>
                    <w:rPr>
                      <w:rFonts w:hint="eastAsia"/>
                      <w:color w:val="auto"/>
                      <w:kern w:val="0"/>
                      <w:sz w:val="20"/>
                      <w:szCs w:val="20"/>
                      <w:highlight w:val="none"/>
                    </w:rPr>
                    <w:t>0.00347~0.00377</w:t>
                  </w:r>
                </w:p>
              </w:tc>
              <w:tc>
                <w:tcPr>
                  <w:tcW w:w="866" w:type="dxa"/>
                  <w:vAlign w:val="center"/>
                </w:tcPr>
                <w:p>
                  <w:pPr>
                    <w:widowControl/>
                    <w:jc w:val="center"/>
                    <w:rPr>
                      <w:color w:val="auto"/>
                      <w:kern w:val="0"/>
                      <w:szCs w:val="21"/>
                      <w:highlight w:val="none"/>
                    </w:rPr>
                  </w:pPr>
                  <w:r>
                    <w:rPr>
                      <w:color w:val="auto"/>
                      <w:kern w:val="0"/>
                      <w:szCs w:val="21"/>
                      <w:highlight w:val="none"/>
                    </w:rPr>
                    <w:t>≤</w:t>
                  </w:r>
                  <w:r>
                    <w:rPr>
                      <w:rFonts w:hint="eastAsia"/>
                      <w:color w:val="auto"/>
                      <w:kern w:val="0"/>
                      <w:szCs w:val="21"/>
                      <w:highlight w:val="none"/>
                    </w:rPr>
                    <w:t>0.02</w:t>
                  </w:r>
                </w:p>
              </w:tc>
              <w:tc>
                <w:tcPr>
                  <w:tcW w:w="715" w:type="dxa"/>
                  <w:vAlign w:val="center"/>
                </w:tcPr>
                <w:p>
                  <w:pPr>
                    <w:widowControl/>
                    <w:jc w:val="center"/>
                    <w:rPr>
                      <w:color w:val="auto"/>
                      <w:kern w:val="0"/>
                      <w:szCs w:val="21"/>
                      <w:highlight w:val="none"/>
                    </w:rPr>
                  </w:pPr>
                  <w:r>
                    <w:rPr>
                      <w:rFonts w:hint="eastAsia"/>
                      <w:color w:val="auto"/>
                      <w:kern w:val="0"/>
                      <w:szCs w:val="21"/>
                      <w:highlight w:val="none"/>
                    </w:rPr>
                    <w:t>是</w:t>
                  </w:r>
                </w:p>
              </w:tc>
            </w:tr>
          </w:tbl>
          <w:p>
            <w:pPr>
              <w:pStyle w:val="14"/>
              <w:spacing w:after="0" w:line="360" w:lineRule="auto"/>
              <w:ind w:firstLine="480" w:firstLineChars="200"/>
              <w:rPr>
                <w:color w:val="auto"/>
                <w:sz w:val="24"/>
                <w:szCs w:val="24"/>
                <w:highlight w:val="none"/>
              </w:rPr>
            </w:pPr>
            <w:r>
              <w:rPr>
                <w:rFonts w:hint="eastAsia"/>
                <w:color w:val="auto"/>
                <w:sz w:val="24"/>
                <w:szCs w:val="24"/>
                <w:highlight w:val="none"/>
              </w:rPr>
              <w:t>根据2-7可知，现有工程无组织废气排放浓度均满足《砖瓦工业大气污染物排放标准》（GB 29620-2013）表3中的排放限值要求。</w:t>
            </w:r>
          </w:p>
          <w:p>
            <w:pPr>
              <w:pStyle w:val="15"/>
              <w:spacing w:line="360" w:lineRule="auto"/>
              <w:rPr>
                <w:rFonts w:ascii="Times New Roman"/>
                <w:color w:val="auto"/>
                <w:highlight w:val="none"/>
              </w:rPr>
            </w:pPr>
            <w:r>
              <w:rPr>
                <w:rFonts w:hint="eastAsia" w:ascii="Times New Roman"/>
                <w:color w:val="auto"/>
                <w:szCs w:val="24"/>
                <w:highlight w:val="none"/>
              </w:rPr>
              <w:t xml:space="preserve">    </w:t>
            </w:r>
            <w:r>
              <w:rPr>
                <w:rFonts w:ascii="Times New Roman"/>
                <w:color w:val="auto"/>
                <w:szCs w:val="24"/>
                <w:highlight w:val="none"/>
              </w:rPr>
              <w:t>（2）废水</w:t>
            </w:r>
          </w:p>
          <w:p>
            <w:pPr>
              <w:pStyle w:val="42"/>
              <w:spacing w:line="360" w:lineRule="auto"/>
              <w:jc w:val="both"/>
              <w:rPr>
                <w:rFonts w:ascii="Times New Roman" w:cs="Times New Roman"/>
                <w:bCs/>
                <w:color w:val="auto"/>
                <w:szCs w:val="21"/>
                <w:highlight w:val="none"/>
              </w:rPr>
            </w:pPr>
            <w:r>
              <w:rPr>
                <w:rFonts w:ascii="Times New Roman" w:cs="Times New Roman"/>
                <w:bCs/>
                <w:color w:val="auto"/>
                <w:szCs w:val="21"/>
                <w:highlight w:val="none"/>
              </w:rPr>
              <w:t xml:space="preserve">    </w:t>
            </w:r>
            <w:r>
              <w:rPr>
                <w:rFonts w:hint="eastAsia" w:ascii="Times New Roman" w:cs="Times New Roman"/>
                <w:bCs/>
                <w:color w:val="auto"/>
                <w:szCs w:val="21"/>
                <w:highlight w:val="none"/>
              </w:rPr>
              <w:t>由于</w:t>
            </w:r>
            <w:r>
              <w:rPr>
                <w:rFonts w:ascii="Times New Roman" w:cs="Times New Roman"/>
                <w:bCs/>
                <w:color w:val="auto"/>
                <w:szCs w:val="21"/>
                <w:highlight w:val="none"/>
              </w:rPr>
              <w:t>脱硫塔</w:t>
            </w:r>
            <w:r>
              <w:rPr>
                <w:rFonts w:hint="eastAsia" w:ascii="Times New Roman" w:cs="Times New Roman"/>
                <w:bCs/>
                <w:color w:val="auto"/>
                <w:szCs w:val="21"/>
                <w:highlight w:val="none"/>
              </w:rPr>
              <w:t>用水为循环水，仅需定期补充损耗即可，因此</w:t>
            </w:r>
            <w:r>
              <w:rPr>
                <w:rFonts w:ascii="Times New Roman" w:cs="Times New Roman"/>
                <w:bCs/>
                <w:color w:val="auto"/>
                <w:szCs w:val="21"/>
                <w:highlight w:val="none"/>
              </w:rPr>
              <w:t>现有工程废水主要为生活污水。</w:t>
            </w:r>
          </w:p>
          <w:p>
            <w:pPr>
              <w:pStyle w:val="42"/>
              <w:spacing w:line="360" w:lineRule="auto"/>
              <w:ind w:firstLine="480" w:firstLineChars="200"/>
              <w:jc w:val="both"/>
              <w:rPr>
                <w:rFonts w:ascii="Times New Roman" w:cs="Times New Roman"/>
                <w:bCs/>
                <w:color w:val="auto"/>
                <w:szCs w:val="21"/>
                <w:highlight w:val="none"/>
              </w:rPr>
            </w:pPr>
            <w:r>
              <w:rPr>
                <w:rFonts w:hint="eastAsia" w:ascii="Times New Roman" w:cs="Times New Roman"/>
                <w:bCs/>
                <w:color w:val="auto"/>
                <w:szCs w:val="21"/>
                <w:highlight w:val="none"/>
              </w:rPr>
              <w:t>根据统计资料，</w:t>
            </w:r>
            <w:r>
              <w:rPr>
                <w:rFonts w:ascii="Times New Roman" w:cs="Times New Roman"/>
                <w:bCs/>
                <w:color w:val="auto"/>
                <w:szCs w:val="21"/>
                <w:highlight w:val="none"/>
              </w:rPr>
              <w:t>生活污水</w:t>
            </w:r>
            <w:r>
              <w:rPr>
                <w:rFonts w:hint="eastAsia" w:ascii="Times New Roman" w:cs="Times New Roman"/>
                <w:bCs/>
                <w:color w:val="auto"/>
                <w:szCs w:val="21"/>
                <w:highlight w:val="none"/>
              </w:rPr>
              <w:t>产生量为144</w:t>
            </w:r>
            <w:r>
              <w:rPr>
                <w:rFonts w:ascii="Times New Roman" w:cs="Times New Roman"/>
                <w:bCs/>
                <w:color w:val="auto"/>
                <w:szCs w:val="21"/>
                <w:highlight w:val="none"/>
              </w:rPr>
              <w:t>m</w:t>
            </w:r>
            <w:r>
              <w:rPr>
                <w:rFonts w:ascii="Times New Roman" w:cs="Times New Roman"/>
                <w:bCs/>
                <w:color w:val="auto"/>
                <w:szCs w:val="21"/>
                <w:highlight w:val="none"/>
                <w:vertAlign w:val="superscript"/>
              </w:rPr>
              <w:t>3</w:t>
            </w:r>
            <w:r>
              <w:rPr>
                <w:rFonts w:ascii="Times New Roman" w:cs="Times New Roman"/>
                <w:bCs/>
                <w:color w:val="auto"/>
                <w:szCs w:val="21"/>
                <w:highlight w:val="none"/>
              </w:rPr>
              <w:t>/a</w:t>
            </w:r>
            <w:r>
              <w:rPr>
                <w:rFonts w:hint="eastAsia" w:ascii="Times New Roman" w:cs="Times New Roman"/>
                <w:bCs/>
                <w:color w:val="auto"/>
                <w:szCs w:val="21"/>
                <w:highlight w:val="none"/>
              </w:rPr>
              <w:t>，</w:t>
            </w:r>
            <w:r>
              <w:rPr>
                <w:rFonts w:ascii="Times New Roman" w:cs="Times New Roman"/>
                <w:bCs/>
                <w:color w:val="auto"/>
                <w:szCs w:val="21"/>
                <w:highlight w:val="none"/>
              </w:rPr>
              <w:t>经化粪池处理后用于周边农田施肥。</w:t>
            </w:r>
          </w:p>
          <w:p>
            <w:pPr>
              <w:adjustRightInd w:val="0"/>
              <w:snapToGrid w:val="0"/>
              <w:spacing w:line="360" w:lineRule="auto"/>
              <w:ind w:firstLine="480" w:firstLineChars="200"/>
              <w:rPr>
                <w:bCs/>
                <w:color w:val="auto"/>
                <w:sz w:val="24"/>
                <w:highlight w:val="none"/>
              </w:rPr>
            </w:pPr>
            <w:r>
              <w:rPr>
                <w:rFonts w:hint="eastAsia"/>
                <w:bCs/>
                <w:color w:val="auto"/>
                <w:sz w:val="24"/>
                <w:highlight w:val="none"/>
              </w:rPr>
              <w:t>（3）噪声</w:t>
            </w:r>
          </w:p>
          <w:p>
            <w:pPr>
              <w:adjustRightInd w:val="0"/>
              <w:snapToGrid w:val="0"/>
              <w:spacing w:line="360" w:lineRule="auto"/>
              <w:ind w:firstLine="480" w:firstLineChars="200"/>
              <w:rPr>
                <w:b/>
                <w:bCs/>
                <w:color w:val="auto"/>
                <w:highlight w:val="none"/>
              </w:rPr>
            </w:pPr>
            <w:r>
              <w:rPr>
                <w:rFonts w:hint="eastAsia"/>
                <w:bCs/>
                <w:color w:val="auto"/>
                <w:sz w:val="24"/>
                <w:highlight w:val="none"/>
                <w:lang w:eastAsia="zh-CN"/>
              </w:rPr>
              <w:t>由于企业目前已停产、且</w:t>
            </w:r>
            <w:r>
              <w:rPr>
                <w:rFonts w:hint="eastAsia"/>
                <w:bCs/>
                <w:color w:val="auto"/>
                <w:sz w:val="24"/>
                <w:highlight w:val="none"/>
                <w:lang w:val="en-US" w:eastAsia="zh-CN"/>
              </w:rPr>
              <w:t>2022年未进行厂界噪声监测，故本次引用现有工程</w:t>
            </w:r>
            <w:r>
              <w:rPr>
                <w:rFonts w:hint="eastAsia"/>
                <w:color w:val="auto"/>
                <w:sz w:val="24"/>
                <w:highlight w:val="none"/>
              </w:rPr>
              <w:t>竣工环境保护验收</w:t>
            </w:r>
            <w:r>
              <w:rPr>
                <w:rFonts w:hint="eastAsia"/>
                <w:color w:val="auto"/>
                <w:sz w:val="24"/>
                <w:highlight w:val="none"/>
                <w:lang w:eastAsia="zh-CN"/>
              </w:rPr>
              <w:t>监测中噪声数据（现有工程投运后一直正常运行至</w:t>
            </w:r>
            <w:r>
              <w:rPr>
                <w:rFonts w:hint="eastAsia"/>
                <w:color w:val="auto"/>
                <w:sz w:val="24"/>
                <w:highlight w:val="none"/>
                <w:lang w:val="en-US" w:eastAsia="zh-CN"/>
              </w:rPr>
              <w:t>2023年3月，且厂界周边敏感目标未发生变化，故可引用</w:t>
            </w:r>
            <w:r>
              <w:rPr>
                <w:rFonts w:hint="eastAsia"/>
                <w:color w:val="auto"/>
                <w:sz w:val="24"/>
                <w:highlight w:val="none"/>
                <w:lang w:eastAsia="zh-CN"/>
              </w:rPr>
              <w:t>），具体</w:t>
            </w:r>
            <w:r>
              <w:rPr>
                <w:bCs/>
                <w:color w:val="auto"/>
                <w:sz w:val="24"/>
                <w:highlight w:val="none"/>
              </w:rPr>
              <w:t>如下表</w:t>
            </w:r>
            <w:r>
              <w:rPr>
                <w:rFonts w:hint="eastAsia"/>
                <w:bCs/>
                <w:color w:val="auto"/>
                <w:sz w:val="24"/>
                <w:highlight w:val="none"/>
              </w:rPr>
              <w:t>：</w:t>
            </w:r>
          </w:p>
          <w:p>
            <w:pPr>
              <w:jc w:val="center"/>
              <w:rPr>
                <w:b/>
                <w:bCs/>
                <w:color w:val="auto"/>
                <w:highlight w:val="none"/>
              </w:rPr>
            </w:pPr>
            <w:r>
              <w:rPr>
                <w:b/>
                <w:bCs/>
                <w:color w:val="auto"/>
                <w:highlight w:val="none"/>
              </w:rPr>
              <w:t>表</w:t>
            </w:r>
            <w:r>
              <w:rPr>
                <w:rFonts w:hint="eastAsia"/>
                <w:b/>
                <w:bCs/>
                <w:color w:val="auto"/>
                <w:highlight w:val="none"/>
              </w:rPr>
              <w:t xml:space="preserve">2-8 </w:t>
            </w:r>
            <w:r>
              <w:rPr>
                <w:b/>
                <w:bCs/>
                <w:color w:val="auto"/>
                <w:highlight w:val="none"/>
              </w:rPr>
              <w:t xml:space="preserve">  </w:t>
            </w:r>
            <w:r>
              <w:rPr>
                <w:b/>
                <w:color w:val="auto"/>
                <w:szCs w:val="21"/>
                <w:highlight w:val="none"/>
              </w:rPr>
              <w:t>声环境质量监测结果    单位：dB(A)</w:t>
            </w:r>
          </w:p>
          <w:tbl>
            <w:tblPr>
              <w:tblStyle w:val="34"/>
              <w:tblW w:w="826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52"/>
              <w:gridCol w:w="1652"/>
              <w:gridCol w:w="1652"/>
              <w:gridCol w:w="1652"/>
              <w:gridCol w:w="16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652" w:type="dxa"/>
                  <w:vMerge w:val="restart"/>
                  <w:vAlign w:val="center"/>
                </w:tcPr>
                <w:p>
                  <w:pPr>
                    <w:widowControl/>
                    <w:adjustRightInd w:val="0"/>
                    <w:snapToGrid w:val="0"/>
                    <w:jc w:val="center"/>
                    <w:rPr>
                      <w:color w:val="auto"/>
                      <w:szCs w:val="21"/>
                      <w:highlight w:val="none"/>
                    </w:rPr>
                  </w:pPr>
                  <w:r>
                    <w:rPr>
                      <w:color w:val="auto"/>
                      <w:szCs w:val="21"/>
                      <w:highlight w:val="none"/>
                    </w:rPr>
                    <w:t>监测项目</w:t>
                  </w:r>
                </w:p>
              </w:tc>
              <w:tc>
                <w:tcPr>
                  <w:tcW w:w="3304" w:type="dxa"/>
                  <w:gridSpan w:val="2"/>
                  <w:tcBorders>
                    <w:bottom w:val="single" w:color="auto" w:sz="4" w:space="0"/>
                  </w:tcBorders>
                  <w:vAlign w:val="center"/>
                </w:tcPr>
                <w:p>
                  <w:pPr>
                    <w:widowControl/>
                    <w:adjustRightInd w:val="0"/>
                    <w:snapToGrid w:val="0"/>
                    <w:jc w:val="center"/>
                    <w:rPr>
                      <w:color w:val="auto"/>
                      <w:szCs w:val="21"/>
                      <w:highlight w:val="none"/>
                    </w:rPr>
                  </w:pPr>
                  <w:r>
                    <w:rPr>
                      <w:rFonts w:hint="eastAsia"/>
                      <w:color w:val="auto"/>
                      <w:szCs w:val="21"/>
                      <w:highlight w:val="none"/>
                    </w:rPr>
                    <w:t>202</w:t>
                  </w:r>
                  <w:r>
                    <w:rPr>
                      <w:rFonts w:hint="eastAsia"/>
                      <w:color w:val="auto"/>
                      <w:szCs w:val="21"/>
                      <w:highlight w:val="none"/>
                      <w:lang w:val="en-US" w:eastAsia="zh-CN"/>
                    </w:rPr>
                    <w:t>1</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en-US" w:eastAsia="zh-CN"/>
                    </w:rPr>
                    <w:t>27</w:t>
                  </w:r>
                  <w:r>
                    <w:rPr>
                      <w:rFonts w:hint="eastAsia"/>
                      <w:color w:val="auto"/>
                      <w:szCs w:val="21"/>
                      <w:highlight w:val="none"/>
                    </w:rPr>
                    <w:t>日</w:t>
                  </w:r>
                </w:p>
              </w:tc>
              <w:tc>
                <w:tcPr>
                  <w:tcW w:w="3304" w:type="dxa"/>
                  <w:gridSpan w:val="2"/>
                  <w:tcBorders>
                    <w:bottom w:val="single" w:color="auto" w:sz="4" w:space="0"/>
                  </w:tcBorders>
                  <w:vAlign w:val="center"/>
                </w:tcPr>
                <w:p>
                  <w:pPr>
                    <w:widowControl/>
                    <w:adjustRightInd w:val="0"/>
                    <w:snapToGrid w:val="0"/>
                    <w:jc w:val="center"/>
                    <w:rPr>
                      <w:color w:val="auto"/>
                      <w:szCs w:val="21"/>
                      <w:highlight w:val="none"/>
                    </w:rPr>
                  </w:pPr>
                  <w:r>
                    <w:rPr>
                      <w:rFonts w:hint="eastAsia"/>
                      <w:color w:val="auto"/>
                      <w:szCs w:val="21"/>
                      <w:highlight w:val="none"/>
                    </w:rPr>
                    <w:t>标准限值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652" w:type="dxa"/>
                  <w:vMerge w:val="continue"/>
                  <w:vAlign w:val="center"/>
                </w:tcPr>
                <w:p>
                  <w:pPr>
                    <w:widowControl/>
                    <w:adjustRightInd w:val="0"/>
                    <w:snapToGrid w:val="0"/>
                    <w:jc w:val="center"/>
                    <w:rPr>
                      <w:color w:val="auto"/>
                      <w:szCs w:val="21"/>
                      <w:highlight w:val="none"/>
                    </w:rPr>
                  </w:pPr>
                </w:p>
              </w:tc>
              <w:tc>
                <w:tcPr>
                  <w:tcW w:w="1652" w:type="dxa"/>
                  <w:tcBorders>
                    <w:top w:val="single" w:color="auto" w:sz="4" w:space="0"/>
                    <w:right w:val="single" w:color="auto" w:sz="4" w:space="0"/>
                  </w:tcBorders>
                  <w:vAlign w:val="center"/>
                </w:tcPr>
                <w:p>
                  <w:pPr>
                    <w:widowControl/>
                    <w:adjustRightInd w:val="0"/>
                    <w:snapToGrid w:val="0"/>
                    <w:jc w:val="center"/>
                    <w:rPr>
                      <w:color w:val="auto"/>
                      <w:szCs w:val="21"/>
                      <w:highlight w:val="none"/>
                    </w:rPr>
                  </w:pPr>
                  <w:r>
                    <w:rPr>
                      <w:rFonts w:hint="eastAsia"/>
                      <w:color w:val="auto"/>
                      <w:szCs w:val="21"/>
                      <w:highlight w:val="none"/>
                    </w:rPr>
                    <w:t>昼间</w:t>
                  </w:r>
                </w:p>
              </w:tc>
              <w:tc>
                <w:tcPr>
                  <w:tcW w:w="1652" w:type="dxa"/>
                  <w:tcBorders>
                    <w:top w:val="single" w:color="auto" w:sz="4" w:space="0"/>
                    <w:left w:val="single" w:color="auto" w:sz="4" w:space="0"/>
                  </w:tcBorders>
                  <w:vAlign w:val="center"/>
                </w:tcPr>
                <w:p>
                  <w:pPr>
                    <w:widowControl/>
                    <w:adjustRightInd w:val="0"/>
                    <w:snapToGrid w:val="0"/>
                    <w:jc w:val="center"/>
                    <w:rPr>
                      <w:color w:val="auto"/>
                      <w:szCs w:val="21"/>
                      <w:highlight w:val="none"/>
                    </w:rPr>
                  </w:pPr>
                  <w:r>
                    <w:rPr>
                      <w:rFonts w:hint="eastAsia"/>
                      <w:color w:val="auto"/>
                      <w:szCs w:val="21"/>
                      <w:highlight w:val="none"/>
                    </w:rPr>
                    <w:t>夜间</w:t>
                  </w:r>
                </w:p>
              </w:tc>
              <w:tc>
                <w:tcPr>
                  <w:tcW w:w="1652" w:type="dxa"/>
                  <w:tcBorders>
                    <w:top w:val="single" w:color="auto" w:sz="4" w:space="0"/>
                    <w:right w:val="single" w:color="auto" w:sz="4" w:space="0"/>
                  </w:tcBorders>
                  <w:vAlign w:val="center"/>
                </w:tcPr>
                <w:p>
                  <w:pPr>
                    <w:widowControl/>
                    <w:adjustRightInd w:val="0"/>
                    <w:snapToGrid w:val="0"/>
                    <w:jc w:val="center"/>
                    <w:rPr>
                      <w:color w:val="auto"/>
                      <w:szCs w:val="21"/>
                      <w:highlight w:val="none"/>
                    </w:rPr>
                  </w:pPr>
                  <w:r>
                    <w:rPr>
                      <w:rFonts w:hint="eastAsia"/>
                      <w:color w:val="auto"/>
                      <w:szCs w:val="21"/>
                      <w:highlight w:val="none"/>
                    </w:rPr>
                    <w:t>昼间</w:t>
                  </w:r>
                </w:p>
              </w:tc>
              <w:tc>
                <w:tcPr>
                  <w:tcW w:w="1652" w:type="dxa"/>
                  <w:tcBorders>
                    <w:top w:val="single" w:color="auto" w:sz="4" w:space="0"/>
                    <w:left w:val="single" w:color="auto" w:sz="4" w:space="0"/>
                  </w:tcBorders>
                  <w:vAlign w:val="center"/>
                </w:tcPr>
                <w:p>
                  <w:pPr>
                    <w:widowControl/>
                    <w:adjustRightInd w:val="0"/>
                    <w:snapToGrid w:val="0"/>
                    <w:jc w:val="center"/>
                    <w:rPr>
                      <w:color w:val="auto"/>
                      <w:szCs w:val="21"/>
                      <w:highlight w:val="none"/>
                    </w:rPr>
                  </w:pPr>
                  <w:r>
                    <w:rPr>
                      <w:rFonts w:hint="eastAsia"/>
                      <w:color w:val="auto"/>
                      <w:szCs w:val="21"/>
                      <w:highlight w:val="none"/>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652" w:type="dxa"/>
                  <w:vAlign w:val="center"/>
                </w:tcPr>
                <w:p>
                  <w:pPr>
                    <w:jc w:val="center"/>
                    <w:rPr>
                      <w:color w:val="auto"/>
                      <w:szCs w:val="21"/>
                      <w:highlight w:val="none"/>
                    </w:rPr>
                  </w:pPr>
                  <w:r>
                    <w:rPr>
                      <w:rFonts w:hint="eastAsia"/>
                      <w:color w:val="auto"/>
                      <w:szCs w:val="21"/>
                      <w:highlight w:val="none"/>
                    </w:rPr>
                    <w:t>厂界北</w:t>
                  </w:r>
                </w:p>
              </w:tc>
              <w:tc>
                <w:tcPr>
                  <w:tcW w:w="1652" w:type="dxa"/>
                  <w:tcBorders>
                    <w:right w:val="single" w:color="auto" w:sz="4" w:space="0"/>
                  </w:tcBorders>
                  <w:vAlign w:val="center"/>
                </w:tcPr>
                <w:p>
                  <w:pPr>
                    <w:widowControl/>
                    <w:jc w:val="center"/>
                    <w:rPr>
                      <w:rFonts w:hint="default" w:eastAsia="宋体"/>
                      <w:color w:val="auto"/>
                      <w:szCs w:val="21"/>
                      <w:highlight w:val="none"/>
                      <w:lang w:val="en-US" w:eastAsia="zh-CN"/>
                    </w:rPr>
                  </w:pPr>
                  <w:r>
                    <w:rPr>
                      <w:rFonts w:hint="eastAsia"/>
                      <w:color w:val="auto"/>
                      <w:szCs w:val="21"/>
                      <w:highlight w:val="none"/>
                      <w:lang w:val="en-US" w:eastAsia="zh-CN"/>
                    </w:rPr>
                    <w:t>58</w:t>
                  </w:r>
                </w:p>
              </w:tc>
              <w:tc>
                <w:tcPr>
                  <w:tcW w:w="1652" w:type="dxa"/>
                  <w:tcBorders>
                    <w:left w:val="single" w:color="auto" w:sz="4" w:space="0"/>
                  </w:tcBorders>
                  <w:vAlign w:val="center"/>
                </w:tcPr>
                <w:p>
                  <w:pPr>
                    <w:widowControl/>
                    <w:jc w:val="center"/>
                    <w:rPr>
                      <w:rFonts w:hint="default" w:eastAsia="宋体"/>
                      <w:color w:val="auto"/>
                      <w:szCs w:val="21"/>
                      <w:highlight w:val="none"/>
                      <w:lang w:val="en-US" w:eastAsia="zh-CN"/>
                    </w:rPr>
                  </w:pPr>
                  <w:r>
                    <w:rPr>
                      <w:rFonts w:hint="eastAsia"/>
                      <w:color w:val="auto"/>
                      <w:szCs w:val="21"/>
                      <w:highlight w:val="none"/>
                      <w:lang w:val="en-US" w:eastAsia="zh-CN"/>
                    </w:rPr>
                    <w:t>42</w:t>
                  </w:r>
                </w:p>
              </w:tc>
              <w:tc>
                <w:tcPr>
                  <w:tcW w:w="1652" w:type="dxa"/>
                  <w:vMerge w:val="restart"/>
                  <w:tcBorders>
                    <w:right w:val="single" w:color="auto" w:sz="4" w:space="0"/>
                  </w:tcBorders>
                  <w:vAlign w:val="center"/>
                </w:tcPr>
                <w:p>
                  <w:pPr>
                    <w:widowControl/>
                    <w:adjustRightInd w:val="0"/>
                    <w:snapToGrid w:val="0"/>
                    <w:jc w:val="center"/>
                    <w:rPr>
                      <w:color w:val="auto"/>
                      <w:szCs w:val="21"/>
                      <w:highlight w:val="none"/>
                    </w:rPr>
                  </w:pPr>
                  <w:r>
                    <w:rPr>
                      <w:rFonts w:hint="eastAsia"/>
                      <w:color w:val="auto"/>
                      <w:szCs w:val="21"/>
                      <w:highlight w:val="none"/>
                    </w:rPr>
                    <w:t>60</w:t>
                  </w:r>
                </w:p>
              </w:tc>
              <w:tc>
                <w:tcPr>
                  <w:tcW w:w="1652" w:type="dxa"/>
                  <w:vMerge w:val="restart"/>
                  <w:tcBorders>
                    <w:left w:val="single" w:color="auto" w:sz="4" w:space="0"/>
                  </w:tcBorders>
                  <w:vAlign w:val="center"/>
                </w:tcPr>
                <w:p>
                  <w:pPr>
                    <w:widowControl/>
                    <w:adjustRightInd w:val="0"/>
                    <w:snapToGrid w:val="0"/>
                    <w:jc w:val="center"/>
                    <w:rPr>
                      <w:color w:val="auto"/>
                      <w:szCs w:val="21"/>
                      <w:highlight w:val="none"/>
                    </w:rPr>
                  </w:pPr>
                  <w:r>
                    <w:rPr>
                      <w:rFonts w:hint="eastAsia"/>
                      <w:color w:val="auto"/>
                      <w:szCs w:val="21"/>
                      <w:highlight w:val="none"/>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652" w:type="dxa"/>
                  <w:vAlign w:val="center"/>
                </w:tcPr>
                <w:p>
                  <w:pPr>
                    <w:jc w:val="center"/>
                    <w:rPr>
                      <w:color w:val="auto"/>
                      <w:szCs w:val="21"/>
                      <w:highlight w:val="none"/>
                    </w:rPr>
                  </w:pPr>
                  <w:r>
                    <w:rPr>
                      <w:rFonts w:hint="eastAsia"/>
                      <w:color w:val="auto"/>
                      <w:szCs w:val="21"/>
                      <w:highlight w:val="none"/>
                    </w:rPr>
                    <w:t>厂界东</w:t>
                  </w:r>
                </w:p>
              </w:tc>
              <w:tc>
                <w:tcPr>
                  <w:tcW w:w="1652" w:type="dxa"/>
                  <w:tcBorders>
                    <w:right w:val="single" w:color="auto" w:sz="4" w:space="0"/>
                  </w:tcBorders>
                  <w:vAlign w:val="center"/>
                </w:tcPr>
                <w:p>
                  <w:pPr>
                    <w:widowControl/>
                    <w:jc w:val="center"/>
                    <w:rPr>
                      <w:rFonts w:hint="default" w:eastAsia="宋体"/>
                      <w:color w:val="auto"/>
                      <w:szCs w:val="21"/>
                      <w:highlight w:val="none"/>
                      <w:lang w:val="en-US" w:eastAsia="zh-CN"/>
                    </w:rPr>
                  </w:pPr>
                  <w:r>
                    <w:rPr>
                      <w:rFonts w:hint="eastAsia"/>
                      <w:color w:val="auto"/>
                      <w:szCs w:val="21"/>
                      <w:highlight w:val="none"/>
                      <w:lang w:val="en-US" w:eastAsia="zh-CN"/>
                    </w:rPr>
                    <w:t>57</w:t>
                  </w:r>
                </w:p>
              </w:tc>
              <w:tc>
                <w:tcPr>
                  <w:tcW w:w="1652" w:type="dxa"/>
                  <w:tcBorders>
                    <w:left w:val="single" w:color="auto" w:sz="4" w:space="0"/>
                  </w:tcBorders>
                  <w:vAlign w:val="center"/>
                </w:tcPr>
                <w:p>
                  <w:pPr>
                    <w:widowControl/>
                    <w:jc w:val="center"/>
                    <w:rPr>
                      <w:rFonts w:hint="default" w:eastAsia="宋体"/>
                      <w:color w:val="auto"/>
                      <w:szCs w:val="21"/>
                      <w:highlight w:val="none"/>
                      <w:lang w:val="en-US" w:eastAsia="zh-CN"/>
                    </w:rPr>
                  </w:pPr>
                  <w:r>
                    <w:rPr>
                      <w:rFonts w:hint="eastAsia"/>
                      <w:color w:val="auto"/>
                      <w:szCs w:val="21"/>
                      <w:highlight w:val="none"/>
                      <w:lang w:val="en-US" w:eastAsia="zh-CN"/>
                    </w:rPr>
                    <w:t>43</w:t>
                  </w:r>
                </w:p>
              </w:tc>
              <w:tc>
                <w:tcPr>
                  <w:tcW w:w="1652" w:type="dxa"/>
                  <w:vMerge w:val="continue"/>
                  <w:tcBorders>
                    <w:right w:val="single" w:color="auto" w:sz="4" w:space="0"/>
                  </w:tcBorders>
                  <w:vAlign w:val="center"/>
                </w:tcPr>
                <w:p>
                  <w:pPr>
                    <w:widowControl/>
                    <w:adjustRightInd w:val="0"/>
                    <w:snapToGrid w:val="0"/>
                    <w:jc w:val="center"/>
                    <w:rPr>
                      <w:color w:val="auto"/>
                      <w:szCs w:val="21"/>
                      <w:highlight w:val="none"/>
                    </w:rPr>
                  </w:pPr>
                </w:p>
              </w:tc>
              <w:tc>
                <w:tcPr>
                  <w:tcW w:w="1652" w:type="dxa"/>
                  <w:vMerge w:val="continue"/>
                  <w:tcBorders>
                    <w:left w:val="single" w:color="auto" w:sz="4" w:space="0"/>
                  </w:tcBorders>
                  <w:vAlign w:val="center"/>
                </w:tcPr>
                <w:p>
                  <w:pPr>
                    <w:widowControl/>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652" w:type="dxa"/>
                  <w:vAlign w:val="center"/>
                </w:tcPr>
                <w:p>
                  <w:pPr>
                    <w:jc w:val="center"/>
                    <w:rPr>
                      <w:color w:val="auto"/>
                      <w:szCs w:val="21"/>
                      <w:highlight w:val="none"/>
                    </w:rPr>
                  </w:pPr>
                  <w:r>
                    <w:rPr>
                      <w:rFonts w:hint="eastAsia"/>
                      <w:color w:val="auto"/>
                      <w:szCs w:val="21"/>
                      <w:highlight w:val="none"/>
                    </w:rPr>
                    <w:t>厂界南</w:t>
                  </w:r>
                </w:p>
              </w:tc>
              <w:tc>
                <w:tcPr>
                  <w:tcW w:w="1652" w:type="dxa"/>
                  <w:tcBorders>
                    <w:right w:val="single" w:color="auto" w:sz="4" w:space="0"/>
                  </w:tcBorders>
                  <w:vAlign w:val="center"/>
                </w:tcPr>
                <w:p>
                  <w:pPr>
                    <w:widowControl/>
                    <w:jc w:val="center"/>
                    <w:rPr>
                      <w:rFonts w:hint="default" w:eastAsia="宋体"/>
                      <w:color w:val="auto"/>
                      <w:szCs w:val="21"/>
                      <w:highlight w:val="none"/>
                      <w:lang w:val="en-US" w:eastAsia="zh-CN"/>
                    </w:rPr>
                  </w:pPr>
                  <w:r>
                    <w:rPr>
                      <w:rFonts w:hint="eastAsia"/>
                      <w:color w:val="auto"/>
                      <w:szCs w:val="21"/>
                      <w:highlight w:val="none"/>
                      <w:lang w:val="en-US" w:eastAsia="zh-CN"/>
                    </w:rPr>
                    <w:t>58</w:t>
                  </w:r>
                </w:p>
              </w:tc>
              <w:tc>
                <w:tcPr>
                  <w:tcW w:w="1652" w:type="dxa"/>
                  <w:tcBorders>
                    <w:left w:val="single" w:color="auto" w:sz="4" w:space="0"/>
                  </w:tcBorders>
                  <w:vAlign w:val="center"/>
                </w:tcPr>
                <w:p>
                  <w:pPr>
                    <w:widowControl/>
                    <w:jc w:val="center"/>
                    <w:rPr>
                      <w:rFonts w:hint="default" w:eastAsia="宋体"/>
                      <w:color w:val="auto"/>
                      <w:szCs w:val="21"/>
                      <w:highlight w:val="none"/>
                      <w:lang w:val="en-US" w:eastAsia="zh-CN"/>
                    </w:rPr>
                  </w:pPr>
                  <w:r>
                    <w:rPr>
                      <w:rFonts w:hint="eastAsia"/>
                      <w:color w:val="auto"/>
                      <w:szCs w:val="21"/>
                      <w:highlight w:val="none"/>
                      <w:lang w:val="en-US" w:eastAsia="zh-CN"/>
                    </w:rPr>
                    <w:t>42</w:t>
                  </w:r>
                </w:p>
              </w:tc>
              <w:tc>
                <w:tcPr>
                  <w:tcW w:w="1652" w:type="dxa"/>
                  <w:vMerge w:val="continue"/>
                  <w:tcBorders>
                    <w:right w:val="single" w:color="auto" w:sz="4" w:space="0"/>
                  </w:tcBorders>
                  <w:vAlign w:val="center"/>
                </w:tcPr>
                <w:p>
                  <w:pPr>
                    <w:widowControl/>
                    <w:adjustRightInd w:val="0"/>
                    <w:snapToGrid w:val="0"/>
                    <w:jc w:val="center"/>
                    <w:rPr>
                      <w:color w:val="auto"/>
                      <w:szCs w:val="21"/>
                      <w:highlight w:val="none"/>
                    </w:rPr>
                  </w:pPr>
                </w:p>
              </w:tc>
              <w:tc>
                <w:tcPr>
                  <w:tcW w:w="1652" w:type="dxa"/>
                  <w:vMerge w:val="continue"/>
                  <w:tcBorders>
                    <w:left w:val="single" w:color="auto" w:sz="4" w:space="0"/>
                  </w:tcBorders>
                  <w:vAlign w:val="center"/>
                </w:tcPr>
                <w:p>
                  <w:pPr>
                    <w:widowControl/>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652" w:type="dxa"/>
                  <w:vAlign w:val="center"/>
                </w:tcPr>
                <w:p>
                  <w:pPr>
                    <w:jc w:val="center"/>
                    <w:rPr>
                      <w:color w:val="auto"/>
                      <w:szCs w:val="21"/>
                      <w:highlight w:val="none"/>
                    </w:rPr>
                  </w:pPr>
                  <w:r>
                    <w:rPr>
                      <w:rFonts w:hint="eastAsia"/>
                      <w:color w:val="auto"/>
                      <w:szCs w:val="21"/>
                      <w:highlight w:val="none"/>
                    </w:rPr>
                    <w:t>厂界西</w:t>
                  </w:r>
                </w:p>
              </w:tc>
              <w:tc>
                <w:tcPr>
                  <w:tcW w:w="1652" w:type="dxa"/>
                  <w:tcBorders>
                    <w:right w:val="single" w:color="auto" w:sz="4" w:space="0"/>
                  </w:tcBorders>
                  <w:vAlign w:val="center"/>
                </w:tcPr>
                <w:p>
                  <w:pPr>
                    <w:widowControl/>
                    <w:jc w:val="center"/>
                    <w:rPr>
                      <w:rFonts w:hint="default" w:eastAsia="宋体"/>
                      <w:color w:val="auto"/>
                      <w:szCs w:val="21"/>
                      <w:highlight w:val="none"/>
                      <w:lang w:val="en-US" w:eastAsia="zh-CN"/>
                    </w:rPr>
                  </w:pPr>
                  <w:r>
                    <w:rPr>
                      <w:rFonts w:hint="eastAsia"/>
                      <w:color w:val="auto"/>
                      <w:szCs w:val="21"/>
                      <w:highlight w:val="none"/>
                      <w:lang w:val="en-US" w:eastAsia="zh-CN"/>
                    </w:rPr>
                    <w:t>55</w:t>
                  </w:r>
                </w:p>
              </w:tc>
              <w:tc>
                <w:tcPr>
                  <w:tcW w:w="1652" w:type="dxa"/>
                  <w:tcBorders>
                    <w:left w:val="single" w:color="auto" w:sz="4" w:space="0"/>
                  </w:tcBorders>
                  <w:vAlign w:val="center"/>
                </w:tcPr>
                <w:p>
                  <w:pPr>
                    <w:widowControl/>
                    <w:jc w:val="center"/>
                    <w:rPr>
                      <w:rFonts w:hint="default" w:eastAsia="宋体"/>
                      <w:color w:val="auto"/>
                      <w:szCs w:val="21"/>
                      <w:highlight w:val="none"/>
                      <w:lang w:val="en-US" w:eastAsia="zh-CN"/>
                    </w:rPr>
                  </w:pPr>
                  <w:r>
                    <w:rPr>
                      <w:rFonts w:hint="eastAsia"/>
                      <w:color w:val="auto"/>
                      <w:szCs w:val="21"/>
                      <w:highlight w:val="none"/>
                      <w:lang w:val="en-US" w:eastAsia="zh-CN"/>
                    </w:rPr>
                    <w:t>44</w:t>
                  </w:r>
                </w:p>
              </w:tc>
              <w:tc>
                <w:tcPr>
                  <w:tcW w:w="1652" w:type="dxa"/>
                  <w:vMerge w:val="continue"/>
                  <w:tcBorders>
                    <w:right w:val="single" w:color="auto" w:sz="4" w:space="0"/>
                  </w:tcBorders>
                  <w:vAlign w:val="center"/>
                </w:tcPr>
                <w:p>
                  <w:pPr>
                    <w:widowControl/>
                    <w:adjustRightInd w:val="0"/>
                    <w:snapToGrid w:val="0"/>
                    <w:jc w:val="center"/>
                    <w:rPr>
                      <w:color w:val="auto"/>
                      <w:szCs w:val="21"/>
                      <w:highlight w:val="none"/>
                    </w:rPr>
                  </w:pPr>
                </w:p>
              </w:tc>
              <w:tc>
                <w:tcPr>
                  <w:tcW w:w="1652" w:type="dxa"/>
                  <w:vMerge w:val="continue"/>
                  <w:tcBorders>
                    <w:left w:val="single" w:color="auto" w:sz="4" w:space="0"/>
                  </w:tcBorders>
                  <w:vAlign w:val="center"/>
                </w:tcPr>
                <w:p>
                  <w:pPr>
                    <w:widowControl/>
                    <w:adjustRightInd w:val="0"/>
                    <w:snapToGrid w:val="0"/>
                    <w:jc w:val="center"/>
                    <w:rPr>
                      <w:color w:val="auto"/>
                      <w:szCs w:val="21"/>
                      <w:highlight w:val="none"/>
                    </w:rPr>
                  </w:pPr>
                </w:p>
              </w:tc>
            </w:tr>
          </w:tbl>
          <w:p>
            <w:pPr>
              <w:spacing w:line="336" w:lineRule="auto"/>
              <w:ind w:firstLine="480" w:firstLineChars="200"/>
              <w:rPr>
                <w:rFonts w:hAnsi="宋体"/>
                <w:color w:val="auto"/>
                <w:sz w:val="24"/>
                <w:highlight w:val="none"/>
              </w:rPr>
            </w:pPr>
            <w:r>
              <w:rPr>
                <w:rFonts w:hint="eastAsia" w:hAnsi="宋体"/>
                <w:color w:val="auto"/>
                <w:sz w:val="24"/>
                <w:highlight w:val="none"/>
              </w:rPr>
              <w:t>根据上表可知，监测期间厂界四侧噪声值均符合</w:t>
            </w:r>
            <w:r>
              <w:rPr>
                <w:rFonts w:hAnsi="宋体"/>
                <w:color w:val="auto"/>
                <w:sz w:val="24"/>
                <w:highlight w:val="none"/>
              </w:rPr>
              <w:t>《工业企业厂界</w:t>
            </w:r>
            <w:r>
              <w:rPr>
                <w:rFonts w:hint="eastAsia" w:hAnsi="宋体"/>
                <w:color w:val="auto"/>
                <w:sz w:val="24"/>
                <w:highlight w:val="none"/>
              </w:rPr>
              <w:t>环境</w:t>
            </w:r>
            <w:r>
              <w:rPr>
                <w:rFonts w:hAnsi="宋体"/>
                <w:color w:val="auto"/>
                <w:sz w:val="24"/>
                <w:highlight w:val="none"/>
              </w:rPr>
              <w:t>噪声</w:t>
            </w:r>
            <w:r>
              <w:rPr>
                <w:rFonts w:hint="eastAsia" w:hAnsi="宋体"/>
                <w:color w:val="auto"/>
                <w:sz w:val="24"/>
                <w:highlight w:val="none"/>
              </w:rPr>
              <w:t>排放</w:t>
            </w:r>
            <w:r>
              <w:rPr>
                <w:rFonts w:hAnsi="宋体"/>
                <w:color w:val="auto"/>
                <w:sz w:val="24"/>
                <w:highlight w:val="none"/>
              </w:rPr>
              <w:t>标准》（GB12348</w:t>
            </w:r>
            <w:r>
              <w:rPr>
                <w:rFonts w:hint="eastAsia" w:hAnsi="宋体"/>
                <w:color w:val="auto"/>
                <w:sz w:val="24"/>
                <w:highlight w:val="none"/>
              </w:rPr>
              <w:t>-2008</w:t>
            </w:r>
            <w:r>
              <w:rPr>
                <w:rFonts w:hAnsi="宋体"/>
                <w:color w:val="auto"/>
                <w:sz w:val="24"/>
                <w:highlight w:val="none"/>
              </w:rPr>
              <w:t>）</w:t>
            </w:r>
            <w:r>
              <w:rPr>
                <w:rFonts w:hint="eastAsia" w:hAnsi="宋体"/>
                <w:color w:val="auto"/>
                <w:sz w:val="24"/>
                <w:highlight w:val="none"/>
              </w:rPr>
              <w:t>2类区标准限值。</w:t>
            </w:r>
          </w:p>
          <w:p>
            <w:pPr>
              <w:pStyle w:val="42"/>
              <w:spacing w:line="360" w:lineRule="auto"/>
              <w:rPr>
                <w:color w:val="auto"/>
                <w:highlight w:val="none"/>
              </w:rPr>
            </w:pPr>
            <w:r>
              <w:rPr>
                <w:rFonts w:hint="eastAsia" w:hAnsi="宋体"/>
                <w:color w:val="auto"/>
                <w:highlight w:val="none"/>
              </w:rPr>
              <w:t xml:space="preserve">    </w:t>
            </w:r>
            <w:r>
              <w:rPr>
                <w:rFonts w:ascii="Times New Roman" w:cs="Times New Roman"/>
                <w:color w:val="auto"/>
                <w:highlight w:val="none"/>
              </w:rPr>
              <w:t>（4）</w:t>
            </w:r>
            <w:r>
              <w:rPr>
                <w:rFonts w:hint="eastAsia" w:ascii="Times New Roman" w:cs="Times New Roman"/>
                <w:color w:val="auto"/>
                <w:highlight w:val="none"/>
              </w:rPr>
              <w:t>固废</w:t>
            </w:r>
          </w:p>
          <w:p>
            <w:pPr>
              <w:pStyle w:val="42"/>
              <w:spacing w:line="360" w:lineRule="auto"/>
              <w:ind w:firstLine="480" w:firstLineChars="200"/>
              <w:jc w:val="both"/>
              <w:rPr>
                <w:rFonts w:hint="eastAsia" w:hAnsi="宋体" w:eastAsia="宋体"/>
                <w:bCs/>
                <w:color w:val="auto"/>
                <w:szCs w:val="21"/>
                <w:highlight w:val="none"/>
                <w:lang w:eastAsia="zh-CN"/>
              </w:rPr>
            </w:pPr>
            <w:r>
              <w:rPr>
                <w:rFonts w:hint="eastAsia" w:hAnsi="宋体"/>
                <w:bCs/>
                <w:color w:val="auto"/>
                <w:szCs w:val="21"/>
                <w:highlight w:val="none"/>
                <w:lang w:eastAsia="zh-CN"/>
              </w:rPr>
              <w:t>现有工程生活垃圾和固废产生量及处置措施如下：</w:t>
            </w:r>
          </w:p>
          <w:p>
            <w:pPr>
              <w:jc w:val="center"/>
              <w:rPr>
                <w:b/>
                <w:color w:val="auto"/>
                <w:sz w:val="24"/>
                <w:highlight w:val="none"/>
              </w:rPr>
            </w:pPr>
            <w:r>
              <w:rPr>
                <w:b/>
                <w:color w:val="auto"/>
                <w:szCs w:val="21"/>
                <w:highlight w:val="none"/>
              </w:rPr>
              <w:t>表</w:t>
            </w:r>
            <w:r>
              <w:rPr>
                <w:rFonts w:hint="eastAsia"/>
                <w:b/>
                <w:color w:val="auto"/>
                <w:szCs w:val="21"/>
                <w:highlight w:val="none"/>
              </w:rPr>
              <w:t>2</w:t>
            </w:r>
            <w:r>
              <w:rPr>
                <w:b/>
                <w:color w:val="auto"/>
                <w:szCs w:val="21"/>
                <w:highlight w:val="none"/>
              </w:rPr>
              <w:t>-</w:t>
            </w:r>
            <w:r>
              <w:rPr>
                <w:rFonts w:hint="eastAsia"/>
                <w:b/>
                <w:color w:val="auto"/>
                <w:szCs w:val="21"/>
                <w:highlight w:val="none"/>
              </w:rPr>
              <w:t>9</w:t>
            </w:r>
            <w:r>
              <w:rPr>
                <w:b/>
                <w:color w:val="auto"/>
                <w:szCs w:val="21"/>
                <w:highlight w:val="none"/>
              </w:rPr>
              <w:t xml:space="preserve">     </w:t>
            </w:r>
            <w:r>
              <w:rPr>
                <w:rFonts w:hint="eastAsia"/>
                <w:b/>
                <w:color w:val="auto"/>
                <w:szCs w:val="21"/>
                <w:highlight w:val="none"/>
              </w:rPr>
              <w:t>现有工程</w:t>
            </w:r>
            <w:r>
              <w:rPr>
                <w:rFonts w:hint="eastAsia"/>
                <w:b/>
                <w:color w:val="auto"/>
                <w:szCs w:val="21"/>
                <w:highlight w:val="none"/>
                <w:lang w:eastAsia="zh-CN"/>
              </w:rPr>
              <w:t>生活垃圾和固废产生及处置情况</w:t>
            </w:r>
            <w:r>
              <w:rPr>
                <w:rFonts w:hint="eastAsia"/>
                <w:b/>
                <w:color w:val="auto"/>
                <w:szCs w:val="21"/>
                <w:highlight w:val="none"/>
              </w:rPr>
              <w:t>汇总表</w:t>
            </w:r>
          </w:p>
          <w:tbl>
            <w:tblPr>
              <w:tblStyle w:val="34"/>
              <w:tblW w:w="829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463"/>
              <w:gridCol w:w="2427"/>
              <w:gridCol w:w="1550"/>
              <w:gridCol w:w="285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3" w:hRule="atLeast"/>
                <w:tblHeader/>
              </w:trPr>
              <w:tc>
                <w:tcPr>
                  <w:tcW w:w="1463" w:type="dxa"/>
                  <w:vAlign w:val="center"/>
                </w:tcPr>
                <w:p>
                  <w:pPr>
                    <w:jc w:val="center"/>
                    <w:rPr>
                      <w:color w:val="auto"/>
                      <w:szCs w:val="21"/>
                      <w:highlight w:val="none"/>
                    </w:rPr>
                  </w:pPr>
                  <w:r>
                    <w:rPr>
                      <w:color w:val="auto"/>
                      <w:szCs w:val="21"/>
                      <w:highlight w:val="none"/>
                    </w:rPr>
                    <w:t>类别</w:t>
                  </w:r>
                </w:p>
              </w:tc>
              <w:tc>
                <w:tcPr>
                  <w:tcW w:w="2427" w:type="dxa"/>
                  <w:vAlign w:val="center"/>
                </w:tcPr>
                <w:p>
                  <w:pPr>
                    <w:jc w:val="center"/>
                    <w:rPr>
                      <w:color w:val="auto"/>
                      <w:szCs w:val="21"/>
                      <w:highlight w:val="none"/>
                    </w:rPr>
                  </w:pPr>
                  <w:r>
                    <w:rPr>
                      <w:color w:val="auto"/>
                      <w:szCs w:val="21"/>
                      <w:highlight w:val="none"/>
                    </w:rPr>
                    <w:t>污染物</w:t>
                  </w:r>
                </w:p>
              </w:tc>
              <w:tc>
                <w:tcPr>
                  <w:tcW w:w="1550" w:type="dxa"/>
                  <w:vAlign w:val="center"/>
                </w:tcPr>
                <w:p>
                  <w:pPr>
                    <w:jc w:val="center"/>
                    <w:rPr>
                      <w:color w:val="auto"/>
                      <w:szCs w:val="21"/>
                      <w:highlight w:val="none"/>
                    </w:rPr>
                  </w:pPr>
                  <w:r>
                    <w:rPr>
                      <w:rFonts w:hint="eastAsia"/>
                      <w:color w:val="auto"/>
                      <w:szCs w:val="21"/>
                      <w:highlight w:val="none"/>
                      <w:lang w:eastAsia="zh-CN"/>
                    </w:rPr>
                    <w:t>产生</w:t>
                  </w:r>
                  <w:r>
                    <w:rPr>
                      <w:color w:val="auto"/>
                      <w:szCs w:val="21"/>
                      <w:highlight w:val="none"/>
                    </w:rPr>
                    <w:t>量</w:t>
                  </w:r>
                </w:p>
              </w:tc>
              <w:tc>
                <w:tcPr>
                  <w:tcW w:w="2850" w:type="dxa"/>
                  <w:vAlign w:val="center"/>
                </w:tcPr>
                <w:p>
                  <w:pPr>
                    <w:jc w:val="center"/>
                    <w:rPr>
                      <w:rFonts w:hint="eastAsia"/>
                      <w:color w:val="auto"/>
                      <w:szCs w:val="21"/>
                      <w:highlight w:val="none"/>
                      <w:lang w:eastAsia="zh-CN"/>
                    </w:rPr>
                  </w:pPr>
                  <w:r>
                    <w:rPr>
                      <w:rFonts w:hint="eastAsia"/>
                      <w:color w:val="auto"/>
                      <w:szCs w:val="21"/>
                      <w:highlight w:val="none"/>
                      <w:lang w:eastAsia="zh-CN"/>
                    </w:rPr>
                    <w:t>处置措施及去向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Align w:val="center"/>
                </w:tcPr>
                <w:p>
                  <w:pPr>
                    <w:jc w:val="center"/>
                    <w:rPr>
                      <w:rFonts w:hint="eastAsia" w:eastAsia="宋体"/>
                      <w:color w:val="auto"/>
                      <w:szCs w:val="21"/>
                      <w:highlight w:val="none"/>
                      <w:lang w:eastAsia="zh-CN"/>
                    </w:rPr>
                  </w:pPr>
                  <w:r>
                    <w:rPr>
                      <w:rFonts w:hint="eastAsia"/>
                      <w:color w:val="auto"/>
                      <w:szCs w:val="21"/>
                      <w:highlight w:val="none"/>
                      <w:lang w:eastAsia="zh-CN"/>
                    </w:rPr>
                    <w:t>生活垃圾</w:t>
                  </w:r>
                </w:p>
              </w:tc>
              <w:tc>
                <w:tcPr>
                  <w:tcW w:w="2427" w:type="dxa"/>
                  <w:vAlign w:val="center"/>
                </w:tcPr>
                <w:p>
                  <w:pPr>
                    <w:pStyle w:val="42"/>
                    <w:autoSpaceDE/>
                    <w:autoSpaceDN/>
                    <w:jc w:val="center"/>
                    <w:rPr>
                      <w:rFonts w:hint="eastAsia" w:ascii="Times New Roman" w:eastAsia="宋体" w:cs="Times New Roman"/>
                      <w:color w:val="auto"/>
                      <w:szCs w:val="21"/>
                      <w:highlight w:val="none"/>
                      <w:lang w:eastAsia="zh-CN"/>
                    </w:rPr>
                  </w:pPr>
                  <w:r>
                    <w:rPr>
                      <w:rFonts w:hint="eastAsia" w:ascii="Times New Roman" w:cs="Times New Roman"/>
                      <w:color w:val="auto"/>
                      <w:sz w:val="21"/>
                      <w:szCs w:val="21"/>
                      <w:highlight w:val="none"/>
                      <w:lang w:eastAsia="zh-CN"/>
                    </w:rPr>
                    <w:t>生活垃圾</w:t>
                  </w:r>
                </w:p>
              </w:tc>
              <w:tc>
                <w:tcPr>
                  <w:tcW w:w="1550" w:type="dxa"/>
                  <w:vAlign w:val="center"/>
                </w:tcPr>
                <w:p>
                  <w:pPr>
                    <w:pStyle w:val="87"/>
                    <w:spacing w:beforeLines="0" w:afterLines="0" w:line="240" w:lineRule="auto"/>
                    <w:rPr>
                      <w:rFonts w:ascii="Times New Roman"/>
                      <w:color w:val="auto"/>
                      <w:szCs w:val="21"/>
                      <w:highlight w:val="none"/>
                    </w:rPr>
                  </w:pPr>
                  <w:r>
                    <w:rPr>
                      <w:rFonts w:hint="eastAsia" w:ascii="Times New Roman" w:eastAsia="等线"/>
                      <w:bCs/>
                      <w:color w:val="auto"/>
                      <w:szCs w:val="21"/>
                      <w:highlight w:val="none"/>
                      <w:lang w:val="en-US" w:eastAsia="zh-CN"/>
                    </w:rPr>
                    <w:t>3.42</w:t>
                  </w:r>
                  <w:r>
                    <w:rPr>
                      <w:rFonts w:hint="eastAsia" w:ascii="Times New Roman" w:eastAsia="等线"/>
                      <w:bCs/>
                      <w:color w:val="auto"/>
                      <w:szCs w:val="21"/>
                      <w:highlight w:val="none"/>
                    </w:rPr>
                    <w:t>t</w:t>
                  </w:r>
                  <w:r>
                    <w:rPr>
                      <w:rFonts w:ascii="Times New Roman" w:eastAsia="等线"/>
                      <w:bCs/>
                      <w:color w:val="auto"/>
                      <w:szCs w:val="21"/>
                      <w:highlight w:val="none"/>
                    </w:rPr>
                    <w:t>/a</w:t>
                  </w:r>
                </w:p>
              </w:tc>
              <w:tc>
                <w:tcPr>
                  <w:tcW w:w="2850" w:type="dxa"/>
                  <w:vAlign w:val="center"/>
                </w:tcPr>
                <w:p>
                  <w:pPr>
                    <w:pStyle w:val="87"/>
                    <w:spacing w:beforeLines="0" w:afterLines="0" w:line="240" w:lineRule="auto"/>
                    <w:rPr>
                      <w:rFonts w:hint="eastAsia" w:ascii="Times New Roman" w:eastAsia="等线"/>
                      <w:bCs/>
                      <w:color w:val="auto"/>
                      <w:szCs w:val="21"/>
                      <w:highlight w:val="none"/>
                    </w:rPr>
                  </w:pPr>
                  <w:r>
                    <w:rPr>
                      <w:rFonts w:ascii="Times New Roman" w:cs="Times New Roman"/>
                      <w:bCs/>
                      <w:color w:val="auto"/>
                      <w:szCs w:val="21"/>
                      <w:highlight w:val="none"/>
                    </w:rPr>
                    <w:t>垃圾</w:t>
                  </w:r>
                  <w:r>
                    <w:rPr>
                      <w:rFonts w:hint="eastAsia" w:ascii="Times New Roman" w:cs="Times New Roman"/>
                      <w:bCs/>
                      <w:color w:val="auto"/>
                      <w:szCs w:val="21"/>
                      <w:highlight w:val="none"/>
                    </w:rPr>
                    <w:t>桶</w:t>
                  </w:r>
                  <w:r>
                    <w:rPr>
                      <w:rFonts w:ascii="Times New Roman" w:cs="Times New Roman"/>
                      <w:bCs/>
                      <w:color w:val="auto"/>
                      <w:szCs w:val="21"/>
                      <w:highlight w:val="none"/>
                    </w:rPr>
                    <w:t>收集</w:t>
                  </w:r>
                  <w:r>
                    <w:rPr>
                      <w:rFonts w:hint="eastAsia" w:ascii="Times New Roman" w:cs="Times New Roman"/>
                      <w:bCs/>
                      <w:color w:val="auto"/>
                      <w:szCs w:val="21"/>
                      <w:highlight w:val="none"/>
                    </w:rPr>
                    <w:t>后送至就近垃圾收集点，交由环卫部门处理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restart"/>
                  <w:vAlign w:val="center"/>
                </w:tcPr>
                <w:p>
                  <w:pPr>
                    <w:jc w:val="center"/>
                    <w:rPr>
                      <w:rFonts w:hint="eastAsia" w:eastAsia="宋体"/>
                      <w:color w:val="auto"/>
                      <w:szCs w:val="21"/>
                      <w:highlight w:val="none"/>
                      <w:lang w:eastAsia="zh-CN"/>
                    </w:rPr>
                  </w:pPr>
                  <w:r>
                    <w:rPr>
                      <w:rFonts w:hint="eastAsia"/>
                      <w:color w:val="auto"/>
                      <w:szCs w:val="21"/>
                      <w:highlight w:val="none"/>
                      <w:lang w:eastAsia="zh-CN"/>
                    </w:rPr>
                    <w:t>固废</w:t>
                  </w:r>
                </w:p>
              </w:tc>
              <w:tc>
                <w:tcPr>
                  <w:tcW w:w="2427" w:type="dxa"/>
                  <w:vAlign w:val="center"/>
                </w:tcPr>
                <w:p>
                  <w:pPr>
                    <w:pStyle w:val="87"/>
                    <w:spacing w:beforeLines="0" w:afterLines="0" w:line="240" w:lineRule="auto"/>
                    <w:rPr>
                      <w:rFonts w:ascii="Times New Roman"/>
                      <w:color w:val="auto"/>
                      <w:szCs w:val="21"/>
                      <w:highlight w:val="none"/>
                    </w:rPr>
                  </w:pPr>
                  <w:r>
                    <w:rPr>
                      <w:rFonts w:ascii="Times New Roman"/>
                      <w:bCs/>
                      <w:color w:val="auto"/>
                      <w:szCs w:val="21"/>
                      <w:highlight w:val="none"/>
                    </w:rPr>
                    <w:t>废坯、废砖</w:t>
                  </w:r>
                  <w:r>
                    <w:rPr>
                      <w:rFonts w:hint="eastAsia" w:ascii="Times New Roman"/>
                      <w:bCs/>
                      <w:color w:val="auto"/>
                      <w:szCs w:val="21"/>
                      <w:highlight w:val="none"/>
                    </w:rPr>
                    <w:t>及脱硫石膏</w:t>
                  </w:r>
                </w:p>
              </w:tc>
              <w:tc>
                <w:tcPr>
                  <w:tcW w:w="1550" w:type="dxa"/>
                  <w:vAlign w:val="center"/>
                </w:tcPr>
                <w:p>
                  <w:pPr>
                    <w:pStyle w:val="87"/>
                    <w:spacing w:beforeLines="0" w:afterLines="0" w:line="240" w:lineRule="auto"/>
                    <w:rPr>
                      <w:rFonts w:ascii="Times New Roman"/>
                      <w:color w:val="auto"/>
                      <w:szCs w:val="21"/>
                      <w:highlight w:val="none"/>
                    </w:rPr>
                  </w:pPr>
                  <w:r>
                    <w:rPr>
                      <w:rFonts w:hint="eastAsia" w:ascii="Times New Roman"/>
                      <w:snapToGrid w:val="0"/>
                      <w:color w:val="auto"/>
                      <w:kern w:val="21"/>
                      <w:szCs w:val="21"/>
                      <w:highlight w:val="none"/>
                    </w:rPr>
                    <w:t>450</w:t>
                  </w:r>
                  <w:r>
                    <w:rPr>
                      <w:rFonts w:ascii="Times New Roman"/>
                      <w:snapToGrid w:val="0"/>
                      <w:color w:val="auto"/>
                      <w:kern w:val="21"/>
                      <w:szCs w:val="21"/>
                      <w:highlight w:val="none"/>
                    </w:rPr>
                    <w:t>t/a</w:t>
                  </w:r>
                </w:p>
              </w:tc>
              <w:tc>
                <w:tcPr>
                  <w:tcW w:w="2850" w:type="dxa"/>
                  <w:vAlign w:val="center"/>
                </w:tcPr>
                <w:p>
                  <w:pPr>
                    <w:pStyle w:val="87"/>
                    <w:spacing w:beforeLines="0" w:afterLines="0" w:line="240" w:lineRule="auto"/>
                    <w:rPr>
                      <w:rFonts w:hint="eastAsia" w:ascii="Times New Roman" w:eastAsia="宋体"/>
                      <w:snapToGrid w:val="0"/>
                      <w:color w:val="auto"/>
                      <w:kern w:val="21"/>
                      <w:szCs w:val="21"/>
                      <w:highlight w:val="none"/>
                      <w:lang w:eastAsia="zh-CN"/>
                    </w:rPr>
                  </w:pPr>
                  <w:r>
                    <w:rPr>
                      <w:rFonts w:hint="eastAsia" w:ascii="Times New Roman" w:cs="Times New Roman"/>
                      <w:bCs/>
                      <w:color w:val="auto"/>
                      <w:szCs w:val="21"/>
                      <w:highlight w:val="none"/>
                    </w:rPr>
                    <w:t>收集</w:t>
                  </w:r>
                  <w:r>
                    <w:rPr>
                      <w:rFonts w:ascii="Times New Roman" w:cs="Times New Roman"/>
                      <w:bCs/>
                      <w:color w:val="auto"/>
                      <w:szCs w:val="21"/>
                      <w:highlight w:val="none"/>
                    </w:rPr>
                    <w:t>破碎后回用于</w:t>
                  </w:r>
                  <w:r>
                    <w:rPr>
                      <w:rFonts w:hint="eastAsia" w:ascii="Times New Roman" w:cs="Times New Roman"/>
                      <w:bCs/>
                      <w:color w:val="auto"/>
                      <w:szCs w:val="21"/>
                      <w:highlight w:val="none"/>
                      <w:lang w:eastAsia="zh-CN"/>
                    </w:rPr>
                    <w:t>制砖工序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continue"/>
                  <w:vAlign w:val="center"/>
                </w:tcPr>
                <w:p>
                  <w:pPr>
                    <w:jc w:val="center"/>
                    <w:rPr>
                      <w:color w:val="auto"/>
                      <w:szCs w:val="21"/>
                      <w:highlight w:val="none"/>
                    </w:rPr>
                  </w:pPr>
                </w:p>
              </w:tc>
              <w:tc>
                <w:tcPr>
                  <w:tcW w:w="2427" w:type="dxa"/>
                  <w:vAlign w:val="center"/>
                </w:tcPr>
                <w:p>
                  <w:pPr>
                    <w:topLinePunct/>
                    <w:adjustRightInd w:val="0"/>
                    <w:snapToGrid w:val="0"/>
                    <w:jc w:val="center"/>
                    <w:rPr>
                      <w:color w:val="auto"/>
                      <w:szCs w:val="21"/>
                      <w:highlight w:val="none"/>
                    </w:rPr>
                  </w:pPr>
                  <w:r>
                    <w:rPr>
                      <w:rFonts w:hint="eastAsia"/>
                      <w:color w:val="auto"/>
                      <w:szCs w:val="21"/>
                      <w:highlight w:val="none"/>
                    </w:rPr>
                    <w:t>废润滑油、含油手套及棉纱等</w:t>
                  </w:r>
                </w:p>
              </w:tc>
              <w:tc>
                <w:tcPr>
                  <w:tcW w:w="1550" w:type="dxa"/>
                  <w:vAlign w:val="center"/>
                </w:tcPr>
                <w:p>
                  <w:pPr>
                    <w:pStyle w:val="87"/>
                    <w:spacing w:beforeLines="0" w:afterLines="0" w:line="240" w:lineRule="auto"/>
                    <w:rPr>
                      <w:rFonts w:ascii="Times New Roman"/>
                      <w:color w:val="auto"/>
                      <w:szCs w:val="21"/>
                      <w:highlight w:val="none"/>
                    </w:rPr>
                  </w:pPr>
                  <w:r>
                    <w:rPr>
                      <w:rFonts w:hint="eastAsia" w:ascii="Times New Roman" w:eastAsia="等线"/>
                      <w:snapToGrid w:val="0"/>
                      <w:color w:val="auto"/>
                      <w:kern w:val="21"/>
                      <w:szCs w:val="21"/>
                      <w:highlight w:val="none"/>
                    </w:rPr>
                    <w:t>0.5</w:t>
                  </w:r>
                  <w:r>
                    <w:rPr>
                      <w:rFonts w:ascii="Times New Roman" w:eastAsia="等线"/>
                      <w:color w:val="auto"/>
                      <w:szCs w:val="21"/>
                      <w:highlight w:val="none"/>
                    </w:rPr>
                    <w:t>t</w:t>
                  </w:r>
                  <w:r>
                    <w:rPr>
                      <w:rFonts w:ascii="Times New Roman" w:eastAsia="等线"/>
                      <w:bCs/>
                      <w:color w:val="auto"/>
                      <w:szCs w:val="21"/>
                      <w:highlight w:val="none"/>
                    </w:rPr>
                    <w:t>/a</w:t>
                  </w:r>
                </w:p>
              </w:tc>
              <w:tc>
                <w:tcPr>
                  <w:tcW w:w="2850" w:type="dxa"/>
                  <w:vAlign w:val="center"/>
                </w:tcPr>
                <w:p>
                  <w:pPr>
                    <w:pStyle w:val="87"/>
                    <w:spacing w:beforeLines="0" w:afterLines="0" w:line="240" w:lineRule="auto"/>
                    <w:rPr>
                      <w:rFonts w:hint="eastAsia" w:ascii="Times New Roman" w:eastAsia="等线"/>
                      <w:snapToGrid w:val="0"/>
                      <w:color w:val="auto"/>
                      <w:kern w:val="21"/>
                      <w:szCs w:val="21"/>
                      <w:highlight w:val="none"/>
                    </w:rPr>
                  </w:pPr>
                  <w:r>
                    <w:rPr>
                      <w:rFonts w:hint="eastAsia" w:ascii="Times New Roman" w:cs="Times New Roman"/>
                      <w:bCs/>
                      <w:color w:val="auto"/>
                      <w:szCs w:val="21"/>
                      <w:highlight w:val="none"/>
                    </w:rPr>
                    <w:t>危废暂存间暂存后，定期交由</w:t>
                  </w:r>
                  <w:r>
                    <w:rPr>
                      <w:rFonts w:hint="eastAsia" w:ascii="Times New Roman" w:cs="Times New Roman"/>
                      <w:bCs/>
                      <w:color w:val="auto"/>
                      <w:szCs w:val="21"/>
                      <w:highlight w:val="none"/>
                      <w:lang w:eastAsia="zh-CN"/>
                    </w:rPr>
                    <w:t>有资质单位</w:t>
                  </w:r>
                  <w:r>
                    <w:rPr>
                      <w:rFonts w:hint="eastAsia" w:ascii="Times New Roman" w:cs="Times New Roman"/>
                      <w:bCs/>
                      <w:color w:val="auto"/>
                      <w:szCs w:val="21"/>
                      <w:highlight w:val="none"/>
                    </w:rPr>
                    <w:t>处置</w:t>
                  </w:r>
                </w:p>
              </w:tc>
            </w:tr>
          </w:tbl>
          <w:p>
            <w:pPr>
              <w:pStyle w:val="42"/>
              <w:spacing w:line="360" w:lineRule="auto"/>
              <w:ind w:firstLine="480" w:firstLineChars="200"/>
              <w:jc w:val="both"/>
              <w:rPr>
                <w:rFonts w:ascii="Times New Roman" w:cs="Times New Roman"/>
                <w:b/>
                <w:color w:val="auto"/>
                <w:szCs w:val="21"/>
                <w:highlight w:val="none"/>
              </w:rPr>
            </w:pPr>
            <w:r>
              <w:rPr>
                <w:rFonts w:hint="eastAsia" w:ascii="Times New Roman" w:cs="Times New Roman"/>
                <w:bCs/>
                <w:color w:val="auto"/>
                <w:szCs w:val="21"/>
                <w:highlight w:val="none"/>
              </w:rPr>
              <w:t>综上，厂区现有工程污染物排放情况汇总如下：</w:t>
            </w:r>
          </w:p>
          <w:p>
            <w:pPr>
              <w:jc w:val="center"/>
              <w:rPr>
                <w:b/>
                <w:color w:val="auto"/>
                <w:sz w:val="24"/>
                <w:highlight w:val="none"/>
              </w:rPr>
            </w:pPr>
            <w:r>
              <w:rPr>
                <w:b/>
                <w:color w:val="auto"/>
                <w:szCs w:val="21"/>
                <w:highlight w:val="none"/>
              </w:rPr>
              <w:t>表</w:t>
            </w:r>
            <w:r>
              <w:rPr>
                <w:rFonts w:hint="eastAsia"/>
                <w:b/>
                <w:color w:val="auto"/>
                <w:szCs w:val="21"/>
                <w:highlight w:val="none"/>
              </w:rPr>
              <w:t>2</w:t>
            </w:r>
            <w:r>
              <w:rPr>
                <w:b/>
                <w:color w:val="auto"/>
                <w:szCs w:val="21"/>
                <w:highlight w:val="none"/>
              </w:rPr>
              <w:t>-</w:t>
            </w:r>
            <w:r>
              <w:rPr>
                <w:rFonts w:hint="eastAsia"/>
                <w:b/>
                <w:color w:val="auto"/>
                <w:szCs w:val="21"/>
                <w:highlight w:val="none"/>
                <w:lang w:val="en-US" w:eastAsia="zh-CN"/>
              </w:rPr>
              <w:t>10</w:t>
            </w:r>
            <w:r>
              <w:rPr>
                <w:b/>
                <w:color w:val="auto"/>
                <w:szCs w:val="21"/>
                <w:highlight w:val="none"/>
              </w:rPr>
              <w:t xml:space="preserve">     </w:t>
            </w:r>
            <w:r>
              <w:rPr>
                <w:rFonts w:hint="eastAsia"/>
                <w:b/>
                <w:color w:val="auto"/>
                <w:szCs w:val="21"/>
                <w:highlight w:val="none"/>
              </w:rPr>
              <w:t>现有工程污染物</w:t>
            </w:r>
            <w:r>
              <w:rPr>
                <w:b/>
                <w:color w:val="auto"/>
                <w:szCs w:val="21"/>
                <w:highlight w:val="none"/>
              </w:rPr>
              <w:t>排放</w:t>
            </w:r>
            <w:r>
              <w:rPr>
                <w:rFonts w:hint="eastAsia"/>
                <w:b/>
                <w:color w:val="auto"/>
                <w:szCs w:val="21"/>
                <w:highlight w:val="none"/>
              </w:rPr>
              <w:t>量汇总表</w:t>
            </w:r>
          </w:p>
          <w:tbl>
            <w:tblPr>
              <w:tblStyle w:val="34"/>
              <w:tblW w:w="830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463"/>
              <w:gridCol w:w="4487"/>
              <w:gridCol w:w="235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3" w:hRule="atLeast"/>
                <w:tblHeader/>
              </w:trPr>
              <w:tc>
                <w:tcPr>
                  <w:tcW w:w="1463" w:type="dxa"/>
                  <w:vAlign w:val="center"/>
                </w:tcPr>
                <w:p>
                  <w:pPr>
                    <w:jc w:val="center"/>
                    <w:rPr>
                      <w:color w:val="auto"/>
                      <w:szCs w:val="21"/>
                      <w:highlight w:val="none"/>
                    </w:rPr>
                  </w:pPr>
                  <w:r>
                    <w:rPr>
                      <w:color w:val="auto"/>
                      <w:szCs w:val="21"/>
                      <w:highlight w:val="none"/>
                    </w:rPr>
                    <w:t>类别</w:t>
                  </w:r>
                </w:p>
              </w:tc>
              <w:tc>
                <w:tcPr>
                  <w:tcW w:w="4487" w:type="dxa"/>
                  <w:vAlign w:val="center"/>
                </w:tcPr>
                <w:p>
                  <w:pPr>
                    <w:jc w:val="center"/>
                    <w:rPr>
                      <w:color w:val="auto"/>
                      <w:szCs w:val="21"/>
                      <w:highlight w:val="none"/>
                    </w:rPr>
                  </w:pPr>
                  <w:r>
                    <w:rPr>
                      <w:color w:val="auto"/>
                      <w:szCs w:val="21"/>
                      <w:highlight w:val="none"/>
                    </w:rPr>
                    <w:t>污染物</w:t>
                  </w:r>
                </w:p>
              </w:tc>
              <w:tc>
                <w:tcPr>
                  <w:tcW w:w="2350" w:type="dxa"/>
                  <w:vAlign w:val="center"/>
                </w:tcPr>
                <w:p>
                  <w:pPr>
                    <w:jc w:val="center"/>
                    <w:rPr>
                      <w:color w:val="auto"/>
                      <w:szCs w:val="21"/>
                      <w:highlight w:val="none"/>
                    </w:rPr>
                  </w:pPr>
                  <w:r>
                    <w:rPr>
                      <w:color w:val="auto"/>
                      <w:szCs w:val="21"/>
                      <w:highlight w:val="none"/>
                    </w:rPr>
                    <w:t>排放量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restart"/>
                  <w:vAlign w:val="center"/>
                </w:tcPr>
                <w:p>
                  <w:pPr>
                    <w:jc w:val="center"/>
                    <w:rPr>
                      <w:color w:val="auto"/>
                      <w:szCs w:val="21"/>
                      <w:highlight w:val="none"/>
                    </w:rPr>
                  </w:pPr>
                  <w:r>
                    <w:rPr>
                      <w:color w:val="auto"/>
                      <w:szCs w:val="21"/>
                      <w:highlight w:val="none"/>
                    </w:rPr>
                    <w:t>废气</w:t>
                  </w:r>
                </w:p>
              </w:tc>
              <w:tc>
                <w:tcPr>
                  <w:tcW w:w="4487" w:type="dxa"/>
                  <w:vAlign w:val="center"/>
                </w:tcPr>
                <w:p>
                  <w:pPr>
                    <w:pStyle w:val="42"/>
                    <w:autoSpaceDE/>
                    <w:autoSpaceDN/>
                    <w:jc w:val="center"/>
                    <w:rPr>
                      <w:rFonts w:ascii="Times New Roman" w:cs="Times New Roman"/>
                      <w:color w:val="auto"/>
                      <w:szCs w:val="21"/>
                      <w:highlight w:val="none"/>
                    </w:rPr>
                  </w:pPr>
                  <w:r>
                    <w:rPr>
                      <w:rFonts w:hint="eastAsia" w:ascii="Times New Roman" w:cs="Times New Roman"/>
                      <w:color w:val="auto"/>
                      <w:sz w:val="21"/>
                      <w:szCs w:val="21"/>
                      <w:highlight w:val="none"/>
                    </w:rPr>
                    <w:t>颗粒物</w:t>
                  </w:r>
                </w:p>
              </w:tc>
              <w:tc>
                <w:tcPr>
                  <w:tcW w:w="2350" w:type="dxa"/>
                  <w:vAlign w:val="center"/>
                </w:tcPr>
                <w:p>
                  <w:pPr>
                    <w:pStyle w:val="87"/>
                    <w:spacing w:beforeLines="0" w:afterLines="0" w:line="240" w:lineRule="auto"/>
                    <w:rPr>
                      <w:rFonts w:ascii="Times New Roman"/>
                      <w:color w:val="auto"/>
                      <w:szCs w:val="21"/>
                      <w:highlight w:val="none"/>
                    </w:rPr>
                  </w:pPr>
                  <w:r>
                    <w:rPr>
                      <w:rFonts w:hint="eastAsia" w:ascii="Times New Roman" w:eastAsia="等线"/>
                      <w:bCs/>
                      <w:color w:val="auto"/>
                      <w:szCs w:val="21"/>
                      <w:highlight w:val="none"/>
                    </w:rPr>
                    <w:t>1.07t</w:t>
                  </w:r>
                  <w:r>
                    <w:rPr>
                      <w:rFonts w:ascii="Times New Roman" w:eastAsia="等线"/>
                      <w:bCs/>
                      <w:color w:val="auto"/>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continue"/>
                  <w:vAlign w:val="center"/>
                </w:tcPr>
                <w:p>
                  <w:pPr>
                    <w:jc w:val="center"/>
                    <w:rPr>
                      <w:color w:val="auto"/>
                      <w:szCs w:val="21"/>
                      <w:highlight w:val="none"/>
                    </w:rPr>
                  </w:pPr>
                </w:p>
              </w:tc>
              <w:tc>
                <w:tcPr>
                  <w:tcW w:w="4487" w:type="dxa"/>
                  <w:vAlign w:val="center"/>
                </w:tcPr>
                <w:p>
                  <w:pPr>
                    <w:pStyle w:val="42"/>
                    <w:autoSpaceDE/>
                    <w:autoSpaceDN/>
                    <w:jc w:val="center"/>
                    <w:rPr>
                      <w:rFonts w:ascii="Times New Roman" w:cs="Times New Roman"/>
                      <w:color w:val="auto"/>
                      <w:szCs w:val="21"/>
                      <w:highlight w:val="none"/>
                    </w:rPr>
                  </w:pPr>
                  <w:r>
                    <w:rPr>
                      <w:rFonts w:hint="eastAsia" w:ascii="Times New Roman" w:cs="Times New Roman"/>
                      <w:color w:val="auto"/>
                      <w:sz w:val="21"/>
                      <w:szCs w:val="21"/>
                      <w:highlight w:val="none"/>
                    </w:rPr>
                    <w:t>二氧化硫</w:t>
                  </w:r>
                </w:p>
              </w:tc>
              <w:tc>
                <w:tcPr>
                  <w:tcW w:w="2350" w:type="dxa"/>
                  <w:vAlign w:val="center"/>
                </w:tcPr>
                <w:p>
                  <w:pPr>
                    <w:pStyle w:val="87"/>
                    <w:spacing w:beforeLines="0" w:afterLines="0" w:line="240" w:lineRule="auto"/>
                    <w:rPr>
                      <w:rFonts w:ascii="Times New Roman"/>
                      <w:color w:val="auto"/>
                      <w:szCs w:val="21"/>
                      <w:highlight w:val="none"/>
                    </w:rPr>
                  </w:pPr>
                  <w:r>
                    <w:rPr>
                      <w:rFonts w:ascii="Times New Roman" w:eastAsia="等线"/>
                      <w:bCs/>
                      <w:color w:val="auto"/>
                      <w:szCs w:val="21"/>
                      <w:highlight w:val="none"/>
                    </w:rPr>
                    <w:t>29.21t/a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continue"/>
                  <w:vAlign w:val="center"/>
                </w:tcPr>
                <w:p>
                  <w:pPr>
                    <w:jc w:val="center"/>
                    <w:rPr>
                      <w:color w:val="auto"/>
                      <w:szCs w:val="21"/>
                      <w:highlight w:val="none"/>
                    </w:rPr>
                  </w:pPr>
                </w:p>
              </w:tc>
              <w:tc>
                <w:tcPr>
                  <w:tcW w:w="4487" w:type="dxa"/>
                  <w:vAlign w:val="center"/>
                </w:tcPr>
                <w:p>
                  <w:pPr>
                    <w:pStyle w:val="42"/>
                    <w:autoSpaceDE/>
                    <w:autoSpaceDN/>
                    <w:jc w:val="center"/>
                    <w:rPr>
                      <w:rFonts w:ascii="Times New Roman" w:cs="Times New Roman"/>
                      <w:color w:val="auto"/>
                      <w:szCs w:val="21"/>
                      <w:highlight w:val="none"/>
                    </w:rPr>
                  </w:pPr>
                  <w:r>
                    <w:rPr>
                      <w:rFonts w:hint="eastAsia" w:ascii="Times New Roman" w:cs="Times New Roman"/>
                      <w:color w:val="auto"/>
                      <w:sz w:val="21"/>
                      <w:szCs w:val="21"/>
                      <w:highlight w:val="none"/>
                    </w:rPr>
                    <w:t>氮氧化物</w:t>
                  </w:r>
                </w:p>
              </w:tc>
              <w:tc>
                <w:tcPr>
                  <w:tcW w:w="2350" w:type="dxa"/>
                  <w:vAlign w:val="center"/>
                </w:tcPr>
                <w:p>
                  <w:pPr>
                    <w:pStyle w:val="87"/>
                    <w:spacing w:beforeLines="0" w:afterLines="0" w:line="240" w:lineRule="auto"/>
                    <w:rPr>
                      <w:rFonts w:ascii="Times New Roman" w:eastAsia="等线"/>
                      <w:color w:val="auto"/>
                      <w:szCs w:val="21"/>
                      <w:highlight w:val="none"/>
                    </w:rPr>
                  </w:pPr>
                  <w:r>
                    <w:rPr>
                      <w:rFonts w:ascii="Times New Roman" w:eastAsia="等线"/>
                      <w:color w:val="auto"/>
                      <w:szCs w:val="21"/>
                      <w:highlight w:val="none"/>
                    </w:rPr>
                    <w:t>16.57t/a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continue"/>
                  <w:vAlign w:val="center"/>
                </w:tcPr>
                <w:p>
                  <w:pPr>
                    <w:jc w:val="center"/>
                    <w:rPr>
                      <w:color w:val="auto"/>
                      <w:szCs w:val="21"/>
                      <w:highlight w:val="none"/>
                    </w:rPr>
                  </w:pPr>
                </w:p>
              </w:tc>
              <w:tc>
                <w:tcPr>
                  <w:tcW w:w="4487" w:type="dxa"/>
                  <w:vAlign w:val="center"/>
                </w:tcPr>
                <w:p>
                  <w:pPr>
                    <w:pStyle w:val="42"/>
                    <w:autoSpaceDE/>
                    <w:autoSpaceDN/>
                    <w:jc w:val="center"/>
                    <w:rPr>
                      <w:rFonts w:ascii="Times New Roman" w:cs="Times New Roman"/>
                      <w:color w:val="auto"/>
                      <w:szCs w:val="21"/>
                      <w:highlight w:val="none"/>
                    </w:rPr>
                  </w:pPr>
                  <w:r>
                    <w:rPr>
                      <w:rFonts w:hint="eastAsia" w:ascii="Times New Roman" w:cs="Times New Roman"/>
                      <w:color w:val="auto"/>
                      <w:sz w:val="21"/>
                      <w:szCs w:val="21"/>
                      <w:highlight w:val="none"/>
                    </w:rPr>
                    <w:t>氟化物</w:t>
                  </w:r>
                </w:p>
              </w:tc>
              <w:tc>
                <w:tcPr>
                  <w:tcW w:w="2350" w:type="dxa"/>
                  <w:vAlign w:val="center"/>
                </w:tcPr>
                <w:p>
                  <w:pPr>
                    <w:pStyle w:val="87"/>
                    <w:spacing w:beforeLines="0" w:afterLines="0" w:line="240" w:lineRule="auto"/>
                    <w:rPr>
                      <w:rFonts w:ascii="Times New Roman" w:eastAsia="等线"/>
                      <w:color w:val="auto"/>
                      <w:szCs w:val="21"/>
                      <w:highlight w:val="none"/>
                    </w:rPr>
                  </w:pPr>
                  <w:r>
                    <w:rPr>
                      <w:rFonts w:ascii="Times New Roman" w:eastAsia="等线"/>
                      <w:color w:val="auto"/>
                      <w:szCs w:val="21"/>
                      <w:highlight w:val="none"/>
                    </w:rPr>
                    <w:t>0.73t/a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Align w:val="center"/>
                </w:tcPr>
                <w:p>
                  <w:pPr>
                    <w:jc w:val="center"/>
                    <w:rPr>
                      <w:color w:val="auto"/>
                      <w:szCs w:val="21"/>
                      <w:highlight w:val="none"/>
                    </w:rPr>
                  </w:pPr>
                  <w:r>
                    <w:rPr>
                      <w:color w:val="auto"/>
                      <w:szCs w:val="21"/>
                      <w:highlight w:val="none"/>
                    </w:rPr>
                    <w:t>废水</w:t>
                  </w:r>
                </w:p>
              </w:tc>
              <w:tc>
                <w:tcPr>
                  <w:tcW w:w="4487" w:type="dxa"/>
                  <w:vAlign w:val="center"/>
                </w:tcPr>
                <w:p>
                  <w:pPr>
                    <w:jc w:val="center"/>
                    <w:rPr>
                      <w:color w:val="auto"/>
                      <w:szCs w:val="21"/>
                      <w:highlight w:val="none"/>
                    </w:rPr>
                  </w:pPr>
                  <w:r>
                    <w:rPr>
                      <w:color w:val="auto"/>
                      <w:szCs w:val="21"/>
                      <w:highlight w:val="none"/>
                    </w:rPr>
                    <w:t>生活污水</w:t>
                  </w:r>
                </w:p>
              </w:tc>
              <w:tc>
                <w:tcPr>
                  <w:tcW w:w="2350" w:type="dxa"/>
                  <w:vAlign w:val="center"/>
                </w:tcPr>
                <w:p>
                  <w:pPr>
                    <w:pStyle w:val="87"/>
                    <w:spacing w:beforeLines="0" w:afterLines="0" w:line="240" w:lineRule="auto"/>
                    <w:rPr>
                      <w:rFonts w:ascii="Times New Roman"/>
                      <w:color w:val="auto"/>
                      <w:szCs w:val="21"/>
                      <w:highlight w:val="none"/>
                    </w:rPr>
                  </w:pPr>
                  <w:r>
                    <w:rPr>
                      <w:rFonts w:hint="eastAsia" w:ascii="Times New Roman" w:eastAsia="等线"/>
                      <w:snapToGrid w:val="0"/>
                      <w:color w:val="auto"/>
                      <w:kern w:val="21"/>
                      <w:szCs w:val="21"/>
                      <w:highlight w:val="none"/>
                    </w:rPr>
                    <w:t>144</w:t>
                  </w:r>
                  <w:r>
                    <w:rPr>
                      <w:rFonts w:ascii="Times New Roman" w:eastAsia="等线"/>
                      <w:color w:val="auto"/>
                      <w:szCs w:val="21"/>
                      <w:highlight w:val="none"/>
                    </w:rPr>
                    <w:t>t</w:t>
                  </w:r>
                  <w:r>
                    <w:rPr>
                      <w:rFonts w:ascii="Times New Roman" w:eastAsia="等线"/>
                      <w:bCs/>
                      <w:color w:val="auto"/>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restart"/>
                  <w:vAlign w:val="center"/>
                </w:tcPr>
                <w:p>
                  <w:pPr>
                    <w:jc w:val="center"/>
                    <w:rPr>
                      <w:color w:val="auto"/>
                      <w:szCs w:val="21"/>
                      <w:highlight w:val="none"/>
                    </w:rPr>
                  </w:pPr>
                  <w:r>
                    <w:rPr>
                      <w:color w:val="auto"/>
                      <w:szCs w:val="21"/>
                      <w:highlight w:val="none"/>
                    </w:rPr>
                    <w:t>固体废物</w:t>
                  </w:r>
                </w:p>
              </w:tc>
              <w:tc>
                <w:tcPr>
                  <w:tcW w:w="4487" w:type="dxa"/>
                  <w:vAlign w:val="center"/>
                </w:tcPr>
                <w:p>
                  <w:pPr>
                    <w:pStyle w:val="87"/>
                    <w:spacing w:beforeLines="0" w:afterLines="0" w:line="240" w:lineRule="auto"/>
                    <w:rPr>
                      <w:rFonts w:ascii="Times New Roman"/>
                      <w:color w:val="auto"/>
                      <w:szCs w:val="21"/>
                      <w:highlight w:val="none"/>
                    </w:rPr>
                  </w:pPr>
                  <w:r>
                    <w:rPr>
                      <w:rFonts w:ascii="Times New Roman"/>
                      <w:bCs/>
                      <w:color w:val="auto"/>
                      <w:szCs w:val="21"/>
                      <w:highlight w:val="none"/>
                    </w:rPr>
                    <w:t>废坯、废砖</w:t>
                  </w:r>
                  <w:r>
                    <w:rPr>
                      <w:rFonts w:hint="eastAsia" w:ascii="Times New Roman"/>
                      <w:bCs/>
                      <w:color w:val="auto"/>
                      <w:szCs w:val="21"/>
                      <w:highlight w:val="none"/>
                    </w:rPr>
                    <w:t>及脱硫石膏</w:t>
                  </w:r>
                </w:p>
              </w:tc>
              <w:tc>
                <w:tcPr>
                  <w:tcW w:w="2350" w:type="dxa"/>
                  <w:vAlign w:val="center"/>
                </w:tcPr>
                <w:p>
                  <w:pPr>
                    <w:pStyle w:val="87"/>
                    <w:spacing w:beforeLines="0" w:afterLines="0" w:line="240" w:lineRule="auto"/>
                    <w:rPr>
                      <w:rFonts w:ascii="Times New Roman"/>
                      <w:color w:val="auto"/>
                      <w:szCs w:val="21"/>
                      <w:highlight w:val="none"/>
                    </w:rPr>
                  </w:pPr>
                  <w:r>
                    <w:rPr>
                      <w:rFonts w:hint="eastAsia" w:ascii="Times New Roman"/>
                      <w:snapToGrid w:val="0"/>
                      <w:color w:val="auto"/>
                      <w:kern w:val="21"/>
                      <w:szCs w:val="21"/>
                      <w:highlight w:val="none"/>
                    </w:rPr>
                    <w:t>450</w:t>
                  </w:r>
                  <w:r>
                    <w:rPr>
                      <w:rFonts w:ascii="Times New Roman"/>
                      <w:snapToGrid w:val="0"/>
                      <w:color w:val="auto"/>
                      <w:kern w:val="21"/>
                      <w:szCs w:val="21"/>
                      <w:highlight w:val="none"/>
                    </w:rPr>
                    <w:t>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continue"/>
                  <w:vAlign w:val="center"/>
                </w:tcPr>
                <w:p>
                  <w:pPr>
                    <w:jc w:val="center"/>
                    <w:rPr>
                      <w:color w:val="auto"/>
                      <w:szCs w:val="21"/>
                      <w:highlight w:val="none"/>
                    </w:rPr>
                  </w:pPr>
                </w:p>
              </w:tc>
              <w:tc>
                <w:tcPr>
                  <w:tcW w:w="4487" w:type="dxa"/>
                  <w:vAlign w:val="center"/>
                </w:tcPr>
                <w:p>
                  <w:pPr>
                    <w:pStyle w:val="87"/>
                    <w:spacing w:beforeLines="0" w:afterLines="0" w:line="240" w:lineRule="auto"/>
                    <w:rPr>
                      <w:rFonts w:ascii="Times New Roman"/>
                      <w:color w:val="auto"/>
                      <w:szCs w:val="21"/>
                      <w:highlight w:val="none"/>
                    </w:rPr>
                  </w:pPr>
                  <w:r>
                    <w:rPr>
                      <w:rFonts w:hint="eastAsia" w:ascii="Times New Roman"/>
                      <w:snapToGrid w:val="0"/>
                      <w:color w:val="auto"/>
                      <w:kern w:val="21"/>
                      <w:szCs w:val="21"/>
                      <w:highlight w:val="none"/>
                    </w:rPr>
                    <w:t>生活垃圾</w:t>
                  </w:r>
                </w:p>
              </w:tc>
              <w:tc>
                <w:tcPr>
                  <w:tcW w:w="2350" w:type="dxa"/>
                  <w:vAlign w:val="center"/>
                </w:tcPr>
                <w:p>
                  <w:pPr>
                    <w:pStyle w:val="87"/>
                    <w:spacing w:beforeLines="0" w:afterLines="0" w:line="240" w:lineRule="auto"/>
                    <w:rPr>
                      <w:rFonts w:ascii="Times New Roman"/>
                      <w:color w:val="auto"/>
                      <w:szCs w:val="21"/>
                      <w:highlight w:val="none"/>
                    </w:rPr>
                  </w:pPr>
                  <w:r>
                    <w:rPr>
                      <w:rFonts w:hint="eastAsia" w:ascii="Times New Roman"/>
                      <w:snapToGrid w:val="0"/>
                      <w:color w:val="auto"/>
                      <w:kern w:val="21"/>
                      <w:szCs w:val="21"/>
                      <w:highlight w:val="none"/>
                    </w:rPr>
                    <w:t>3.42</w:t>
                  </w:r>
                  <w:r>
                    <w:rPr>
                      <w:rFonts w:ascii="Times New Roman"/>
                      <w:snapToGrid w:val="0"/>
                      <w:color w:val="auto"/>
                      <w:kern w:val="21"/>
                      <w:szCs w:val="21"/>
                      <w:highlight w:val="none"/>
                    </w:rPr>
                    <w:t>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1463" w:type="dxa"/>
                  <w:vMerge w:val="continue"/>
                  <w:vAlign w:val="center"/>
                </w:tcPr>
                <w:p>
                  <w:pPr>
                    <w:jc w:val="center"/>
                    <w:rPr>
                      <w:color w:val="auto"/>
                      <w:szCs w:val="21"/>
                      <w:highlight w:val="none"/>
                    </w:rPr>
                  </w:pPr>
                </w:p>
              </w:tc>
              <w:tc>
                <w:tcPr>
                  <w:tcW w:w="4487" w:type="dxa"/>
                  <w:vAlign w:val="center"/>
                </w:tcPr>
                <w:p>
                  <w:pPr>
                    <w:topLinePunct/>
                    <w:adjustRightInd w:val="0"/>
                    <w:snapToGrid w:val="0"/>
                    <w:jc w:val="center"/>
                    <w:rPr>
                      <w:color w:val="auto"/>
                      <w:szCs w:val="21"/>
                      <w:highlight w:val="none"/>
                    </w:rPr>
                  </w:pPr>
                  <w:r>
                    <w:rPr>
                      <w:rFonts w:hint="eastAsia"/>
                      <w:color w:val="auto"/>
                      <w:szCs w:val="21"/>
                      <w:highlight w:val="none"/>
                    </w:rPr>
                    <w:t>废润滑油、含油手套及棉纱等</w:t>
                  </w:r>
                </w:p>
              </w:tc>
              <w:tc>
                <w:tcPr>
                  <w:tcW w:w="2350" w:type="dxa"/>
                  <w:vAlign w:val="center"/>
                </w:tcPr>
                <w:p>
                  <w:pPr>
                    <w:pStyle w:val="87"/>
                    <w:spacing w:beforeLines="0" w:afterLines="0" w:line="240" w:lineRule="auto"/>
                    <w:rPr>
                      <w:rFonts w:ascii="Times New Roman"/>
                      <w:color w:val="auto"/>
                      <w:szCs w:val="21"/>
                      <w:highlight w:val="none"/>
                    </w:rPr>
                  </w:pPr>
                  <w:r>
                    <w:rPr>
                      <w:rFonts w:hint="eastAsia" w:ascii="Times New Roman" w:eastAsia="等线"/>
                      <w:snapToGrid w:val="0"/>
                      <w:color w:val="auto"/>
                      <w:kern w:val="21"/>
                      <w:szCs w:val="21"/>
                      <w:highlight w:val="none"/>
                    </w:rPr>
                    <w:t>0.5</w:t>
                  </w:r>
                  <w:r>
                    <w:rPr>
                      <w:rFonts w:ascii="Times New Roman" w:eastAsia="等线"/>
                      <w:color w:val="auto"/>
                      <w:szCs w:val="21"/>
                      <w:highlight w:val="none"/>
                    </w:rPr>
                    <w:t>t</w:t>
                  </w:r>
                  <w:r>
                    <w:rPr>
                      <w:rFonts w:ascii="Times New Roman" w:eastAsia="等线"/>
                      <w:bCs/>
                      <w:color w:val="auto"/>
                      <w:szCs w:val="21"/>
                      <w:highlight w:val="none"/>
                    </w:rPr>
                    <w:t>/a</w:t>
                  </w:r>
                </w:p>
              </w:tc>
            </w:tr>
          </w:tbl>
          <w:p>
            <w:pPr>
              <w:pStyle w:val="42"/>
              <w:spacing w:line="360" w:lineRule="auto"/>
              <w:ind w:firstLine="480" w:firstLineChars="200"/>
              <w:rPr>
                <w:rFonts w:ascii="Times New Roman" w:cs="Times New Roman"/>
                <w:color w:val="auto"/>
                <w:highlight w:val="none"/>
              </w:rPr>
            </w:pPr>
            <w:r>
              <w:rPr>
                <w:rFonts w:hint="eastAsia" w:ascii="Times New Roman" w:cs="Times New Roman"/>
                <w:color w:val="auto"/>
                <w:highlight w:val="none"/>
              </w:rPr>
              <w:t>3、</w:t>
            </w:r>
            <w:r>
              <w:rPr>
                <w:rFonts w:hint="eastAsia"/>
                <w:bCs/>
                <w:color w:val="auto"/>
                <w:kern w:val="2"/>
                <w:highlight w:val="none"/>
              </w:rPr>
              <w:t>与项目有关的原有环境污染问题</w:t>
            </w:r>
          </w:p>
          <w:p>
            <w:pPr>
              <w:pStyle w:val="42"/>
              <w:spacing w:line="360" w:lineRule="auto"/>
              <w:ind w:firstLine="480" w:firstLineChars="200"/>
              <w:jc w:val="both"/>
              <w:rPr>
                <w:rFonts w:ascii="Times New Roman" w:cs="Times New Roman"/>
                <w:bCs/>
                <w:color w:val="auto"/>
                <w:szCs w:val="21"/>
                <w:highlight w:val="none"/>
              </w:rPr>
            </w:pPr>
            <w:r>
              <w:rPr>
                <w:rFonts w:hint="eastAsia" w:ascii="Times New Roman" w:cs="Times New Roman"/>
                <w:bCs/>
                <w:color w:val="auto"/>
                <w:szCs w:val="21"/>
                <w:highlight w:val="none"/>
              </w:rPr>
              <w:t>根据例行监测报告和现有工程竣工环保验收专家意见可知，现有工程运行期间废气和噪声可达标排放，生活垃圾和固废均可妥善处理（危废间地面已按要求进行防渗、做好了分区标识以及台账记录等）</w:t>
            </w:r>
            <w:r>
              <w:rPr>
                <w:rFonts w:hint="eastAsia" w:ascii="Times New Roman" w:cs="Times New Roman"/>
                <w:bCs/>
                <w:color w:val="auto"/>
                <w:szCs w:val="21"/>
                <w:highlight w:val="none"/>
              </w:rPr>
              <w:t>，脱硫塔用水为循环水、生活污水综合利用。此外，本次扩建场地现状为空地，因此无与项目有关的原有环境污染问题。</w:t>
            </w:r>
          </w:p>
          <w:p>
            <w:pPr>
              <w:pStyle w:val="42"/>
              <w:spacing w:line="360" w:lineRule="auto"/>
              <w:ind w:firstLine="480" w:firstLineChars="200"/>
              <w:jc w:val="both"/>
              <w:rPr>
                <w:rFonts w:ascii="Times New Roman" w:cs="Times New Roman"/>
                <w:bCs/>
                <w:color w:val="auto"/>
                <w:szCs w:val="21"/>
                <w:highlight w:val="none"/>
              </w:rPr>
            </w:pPr>
          </w:p>
          <w:p>
            <w:pPr>
              <w:pStyle w:val="42"/>
              <w:jc w:val="both"/>
              <w:rPr>
                <w:rFonts w:hAnsi="宋体"/>
                <w:bCs/>
                <w:color w:val="auto"/>
                <w:szCs w:val="21"/>
                <w:highlight w:val="none"/>
              </w:rPr>
            </w:pPr>
          </w:p>
          <w:p>
            <w:pPr>
              <w:pStyle w:val="42"/>
              <w:jc w:val="both"/>
              <w:rPr>
                <w:rFonts w:hAnsi="宋体"/>
                <w:bCs/>
                <w:color w:val="auto"/>
                <w:szCs w:val="21"/>
                <w:highlight w:val="none"/>
              </w:rPr>
            </w:pPr>
          </w:p>
          <w:p>
            <w:pPr>
              <w:pStyle w:val="42"/>
              <w:jc w:val="both"/>
              <w:rPr>
                <w:rFonts w:hAnsi="宋体"/>
                <w:bCs/>
                <w:color w:val="auto"/>
                <w:szCs w:val="21"/>
                <w:highlight w:val="none"/>
              </w:rPr>
            </w:pPr>
          </w:p>
          <w:p>
            <w:pPr>
              <w:pStyle w:val="42"/>
              <w:jc w:val="both"/>
              <w:rPr>
                <w:rFonts w:hAnsi="宋体"/>
                <w:bCs/>
                <w:color w:val="auto"/>
                <w:szCs w:val="21"/>
                <w:highlight w:val="none"/>
              </w:rPr>
            </w:pPr>
          </w:p>
          <w:p>
            <w:pPr>
              <w:pStyle w:val="42"/>
              <w:jc w:val="both"/>
              <w:rPr>
                <w:rFonts w:hAnsi="宋体"/>
                <w:bCs/>
                <w:color w:val="auto"/>
                <w:szCs w:val="21"/>
                <w:highlight w:val="none"/>
              </w:rPr>
            </w:pPr>
          </w:p>
          <w:p>
            <w:pPr>
              <w:pStyle w:val="42"/>
              <w:jc w:val="both"/>
              <w:rPr>
                <w:rFonts w:hAnsi="宋体"/>
                <w:bCs/>
                <w:color w:val="auto"/>
                <w:szCs w:val="21"/>
                <w:highlight w:val="none"/>
              </w:rPr>
            </w:pPr>
          </w:p>
          <w:p>
            <w:pPr>
              <w:pStyle w:val="42"/>
              <w:jc w:val="both"/>
              <w:rPr>
                <w:rFonts w:hAnsi="宋体"/>
                <w:bCs/>
                <w:color w:val="auto"/>
                <w:szCs w:val="21"/>
                <w:highlight w:val="none"/>
              </w:rPr>
            </w:pPr>
          </w:p>
          <w:p>
            <w:pPr>
              <w:pStyle w:val="42"/>
              <w:jc w:val="both"/>
              <w:rPr>
                <w:rFonts w:hAnsi="宋体"/>
                <w:bCs/>
                <w:color w:val="auto"/>
                <w:szCs w:val="21"/>
                <w:highlight w:val="none"/>
              </w:rPr>
            </w:pPr>
          </w:p>
          <w:p>
            <w:pPr>
              <w:pStyle w:val="42"/>
              <w:jc w:val="both"/>
              <w:rPr>
                <w:rFonts w:hAnsi="宋体"/>
                <w:bCs/>
                <w:color w:val="auto"/>
                <w:szCs w:val="21"/>
                <w:highlight w:val="none"/>
              </w:rPr>
            </w:pPr>
          </w:p>
        </w:tc>
      </w:tr>
    </w:tbl>
    <w:p>
      <w:pPr>
        <w:pStyle w:val="29"/>
        <w:spacing w:before="0" w:beforeAutospacing="0" w:after="0" w:afterAutospacing="0"/>
        <w:jc w:val="center"/>
        <w:rPr>
          <w:rFonts w:ascii="黑体" w:hAnsi="黑体" w:eastAsia="黑体"/>
          <w:snapToGrid w:val="0"/>
          <w:color w:val="auto"/>
          <w:sz w:val="36"/>
          <w:szCs w:val="36"/>
          <w:highlight w:val="none"/>
        </w:rPr>
        <w:sectPr>
          <w:pgSz w:w="11906" w:h="16838"/>
          <w:pgMar w:top="1701" w:right="1531" w:bottom="1701" w:left="1531" w:header="851" w:footer="851" w:gutter="0"/>
          <w:cols w:space="720" w:num="1"/>
          <w:docGrid w:linePitch="312" w:charSpace="0"/>
        </w:sectPr>
      </w:pPr>
    </w:p>
    <w:p>
      <w:pPr>
        <w:pStyle w:val="29"/>
        <w:spacing w:before="0" w:beforeAutospacing="0" w:after="0" w:afterAutospacing="0"/>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三、区域环境质量现状、环境保护目标及评价标准</w:t>
      </w:r>
    </w:p>
    <w:tbl>
      <w:tblPr>
        <w:tblStyle w:val="34"/>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3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1" w:hRule="atLeast"/>
          <w:jc w:val="center"/>
        </w:trPr>
        <w:tc>
          <w:tcPr>
            <w:tcW w:w="678" w:type="dxa"/>
            <w:vAlign w:val="center"/>
          </w:tcPr>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sz w:val="24"/>
                <w:highlight w:val="none"/>
              </w:rPr>
            </w:pPr>
            <w:r>
              <w:rPr>
                <w:rFonts w:hint="eastAsia"/>
                <w:color w:val="auto"/>
                <w:sz w:val="24"/>
                <w:highlight w:val="none"/>
              </w:rPr>
              <w:t>区</w:t>
            </w:r>
          </w:p>
          <w:p>
            <w:pPr>
              <w:adjustRightInd w:val="0"/>
              <w:snapToGrid w:val="0"/>
              <w:jc w:val="center"/>
              <w:rPr>
                <w:color w:val="auto"/>
                <w:sz w:val="24"/>
                <w:highlight w:val="none"/>
              </w:rPr>
            </w:pPr>
            <w:r>
              <w:rPr>
                <w:rFonts w:hint="eastAsia"/>
                <w:color w:val="auto"/>
                <w:sz w:val="24"/>
                <w:highlight w:val="none"/>
              </w:rPr>
              <w:t>域</w:t>
            </w:r>
          </w:p>
          <w:p>
            <w:pPr>
              <w:adjustRightInd w:val="0"/>
              <w:snapToGrid w:val="0"/>
              <w:jc w:val="center"/>
              <w:rPr>
                <w:color w:val="auto"/>
                <w:sz w:val="24"/>
                <w:highlight w:val="none"/>
              </w:rPr>
            </w:pPr>
            <w:r>
              <w:rPr>
                <w:rFonts w:hint="eastAsia"/>
                <w:color w:val="auto"/>
                <w:sz w:val="24"/>
                <w:highlight w:val="none"/>
              </w:rPr>
              <w:t>环</w:t>
            </w:r>
          </w:p>
          <w:p>
            <w:pPr>
              <w:adjustRightInd w:val="0"/>
              <w:snapToGrid w:val="0"/>
              <w:jc w:val="center"/>
              <w:rPr>
                <w:color w:val="auto"/>
                <w:sz w:val="24"/>
                <w:highlight w:val="none"/>
              </w:rPr>
            </w:pPr>
            <w:r>
              <w:rPr>
                <w:rFonts w:hint="eastAsia"/>
                <w:color w:val="auto"/>
                <w:sz w:val="24"/>
                <w:highlight w:val="none"/>
              </w:rPr>
              <w:t>境</w:t>
            </w:r>
          </w:p>
          <w:p>
            <w:pPr>
              <w:adjustRightInd w:val="0"/>
              <w:snapToGrid w:val="0"/>
              <w:jc w:val="center"/>
              <w:rPr>
                <w:color w:val="auto"/>
                <w:sz w:val="24"/>
                <w:highlight w:val="none"/>
              </w:rPr>
            </w:pPr>
            <w:r>
              <w:rPr>
                <w:rFonts w:hint="eastAsia"/>
                <w:color w:val="auto"/>
                <w:sz w:val="24"/>
                <w:highlight w:val="none"/>
              </w:rPr>
              <w:t>质</w:t>
            </w:r>
          </w:p>
          <w:p>
            <w:pPr>
              <w:adjustRightInd w:val="0"/>
              <w:snapToGrid w:val="0"/>
              <w:jc w:val="center"/>
              <w:rPr>
                <w:color w:val="auto"/>
                <w:sz w:val="24"/>
                <w:highlight w:val="none"/>
              </w:rPr>
            </w:pPr>
            <w:r>
              <w:rPr>
                <w:rFonts w:hint="eastAsia"/>
                <w:color w:val="auto"/>
                <w:sz w:val="24"/>
                <w:highlight w:val="none"/>
              </w:rPr>
              <w:t>量</w:t>
            </w:r>
          </w:p>
          <w:p>
            <w:pPr>
              <w:adjustRightInd w:val="0"/>
              <w:snapToGrid w:val="0"/>
              <w:jc w:val="center"/>
              <w:rPr>
                <w:color w:val="auto"/>
                <w:sz w:val="24"/>
                <w:highlight w:val="none"/>
              </w:rPr>
            </w:pPr>
            <w:r>
              <w:rPr>
                <w:rFonts w:hint="eastAsia"/>
                <w:color w:val="auto"/>
                <w:sz w:val="24"/>
                <w:highlight w:val="none"/>
              </w:rPr>
              <w:t>现</w:t>
            </w:r>
          </w:p>
          <w:p>
            <w:pPr>
              <w:adjustRightInd w:val="0"/>
              <w:snapToGrid w:val="0"/>
              <w:jc w:val="center"/>
              <w:rPr>
                <w:color w:val="auto"/>
                <w:sz w:val="24"/>
                <w:highlight w:val="none"/>
              </w:rPr>
            </w:pPr>
            <w:r>
              <w:rPr>
                <w:rFonts w:hint="eastAsia"/>
                <w:color w:val="auto"/>
                <w:sz w:val="24"/>
                <w:highlight w:val="none"/>
              </w:rPr>
              <w:t>状</w:t>
            </w: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highlight w:val="none"/>
              </w:rPr>
            </w:pPr>
          </w:p>
          <w:p>
            <w:pPr>
              <w:adjustRightInd w:val="0"/>
              <w:snapToGrid w:val="0"/>
              <w:jc w:val="center"/>
              <w:rPr>
                <w:color w:val="auto"/>
                <w:sz w:val="24"/>
                <w:highlight w:val="none"/>
              </w:rPr>
            </w:pPr>
            <w:r>
              <w:rPr>
                <w:rFonts w:hint="eastAsia"/>
                <w:color w:val="auto"/>
                <w:sz w:val="24"/>
                <w:highlight w:val="none"/>
              </w:rPr>
              <w:t>区域</w:t>
            </w:r>
          </w:p>
          <w:p>
            <w:pPr>
              <w:adjustRightInd w:val="0"/>
              <w:snapToGrid w:val="0"/>
              <w:jc w:val="center"/>
              <w:rPr>
                <w:color w:val="auto"/>
                <w:sz w:val="24"/>
                <w:highlight w:val="none"/>
              </w:rPr>
            </w:pPr>
            <w:r>
              <w:rPr>
                <w:rFonts w:hint="eastAsia"/>
                <w:color w:val="auto"/>
                <w:sz w:val="24"/>
                <w:highlight w:val="none"/>
              </w:rPr>
              <w:t>环境</w:t>
            </w:r>
          </w:p>
          <w:p>
            <w:pPr>
              <w:adjustRightInd w:val="0"/>
              <w:snapToGrid w:val="0"/>
              <w:jc w:val="center"/>
              <w:rPr>
                <w:color w:val="auto"/>
                <w:sz w:val="24"/>
                <w:highlight w:val="none"/>
              </w:rPr>
            </w:pPr>
            <w:r>
              <w:rPr>
                <w:rFonts w:hint="eastAsia"/>
                <w:color w:val="auto"/>
                <w:sz w:val="24"/>
                <w:highlight w:val="none"/>
              </w:rPr>
              <w:t>质量</w:t>
            </w:r>
          </w:p>
          <w:p>
            <w:pPr>
              <w:adjustRightInd w:val="0"/>
              <w:snapToGrid w:val="0"/>
              <w:jc w:val="center"/>
              <w:rPr>
                <w:color w:val="auto"/>
                <w:sz w:val="24"/>
                <w:highlight w:val="none"/>
              </w:rPr>
            </w:pPr>
            <w:r>
              <w:rPr>
                <w:rFonts w:hint="eastAsia"/>
                <w:color w:val="auto"/>
                <w:sz w:val="24"/>
                <w:highlight w:val="none"/>
              </w:rPr>
              <w:t>现状</w:t>
            </w:r>
          </w:p>
          <w:p>
            <w:pPr>
              <w:adjustRightInd w:val="0"/>
              <w:snapToGrid w:val="0"/>
              <w:rPr>
                <w:color w:val="auto"/>
                <w:highlight w:val="none"/>
              </w:rPr>
            </w:pPr>
          </w:p>
          <w:p>
            <w:pPr>
              <w:adjustRightInd w:val="0"/>
              <w:snapToGrid w:val="0"/>
              <w:jc w:val="center"/>
              <w:rPr>
                <w:color w:val="auto"/>
                <w:highlight w:val="none"/>
              </w:rPr>
            </w:pPr>
          </w:p>
          <w:p>
            <w:pPr>
              <w:adjustRightInd w:val="0"/>
              <w:snapToGrid w:val="0"/>
              <w:rPr>
                <w:color w:val="auto"/>
                <w:highlight w:val="none"/>
              </w:rPr>
            </w:pPr>
          </w:p>
          <w:p>
            <w:pPr>
              <w:pStyle w:val="42"/>
              <w:rPr>
                <w:rFonts w:hAnsi="宋体"/>
                <w:color w:val="auto"/>
                <w:szCs w:val="21"/>
                <w:highlight w:val="none"/>
              </w:rPr>
            </w:pPr>
          </w:p>
          <w:p>
            <w:pPr>
              <w:pStyle w:val="42"/>
              <w:rPr>
                <w:rFonts w:hAnsi="宋体"/>
                <w:color w:val="auto"/>
                <w:szCs w:val="21"/>
                <w:highlight w:val="none"/>
              </w:rPr>
            </w:pPr>
          </w:p>
          <w:p>
            <w:pPr>
              <w:pStyle w:val="42"/>
              <w:rPr>
                <w:rFonts w:hAnsi="宋体"/>
                <w:color w:val="auto"/>
                <w:szCs w:val="21"/>
                <w:highlight w:val="none"/>
              </w:rPr>
            </w:pPr>
          </w:p>
          <w:p>
            <w:pPr>
              <w:pStyle w:val="42"/>
              <w:rPr>
                <w:rFonts w:hAnsi="宋体"/>
                <w:color w:val="auto"/>
                <w:szCs w:val="21"/>
                <w:highlight w:val="none"/>
              </w:rPr>
            </w:pPr>
          </w:p>
          <w:p>
            <w:pPr>
              <w:pStyle w:val="42"/>
              <w:rPr>
                <w:rFonts w:hAnsi="宋体"/>
                <w:color w:val="auto"/>
                <w:szCs w:val="21"/>
                <w:highlight w:val="none"/>
              </w:rPr>
            </w:pPr>
          </w:p>
        </w:tc>
        <w:tc>
          <w:tcPr>
            <w:tcW w:w="8312" w:type="dxa"/>
          </w:tcPr>
          <w:p>
            <w:pPr>
              <w:spacing w:line="360" w:lineRule="auto"/>
              <w:ind w:firstLine="482" w:firstLineChars="200"/>
              <w:rPr>
                <w:b/>
                <w:bCs/>
                <w:color w:val="auto"/>
                <w:sz w:val="24"/>
                <w:highlight w:val="none"/>
              </w:rPr>
            </w:pPr>
            <w:r>
              <w:rPr>
                <w:rFonts w:hint="eastAsia"/>
                <w:b/>
                <w:bCs/>
                <w:color w:val="auto"/>
                <w:sz w:val="24"/>
                <w:highlight w:val="none"/>
              </w:rPr>
              <w:t>（一）</w:t>
            </w:r>
            <w:r>
              <w:rPr>
                <w:b/>
                <w:bCs/>
                <w:color w:val="auto"/>
                <w:sz w:val="24"/>
                <w:highlight w:val="none"/>
              </w:rPr>
              <w:t>环境空气质量现状</w:t>
            </w:r>
          </w:p>
          <w:p>
            <w:pPr>
              <w:spacing w:line="360" w:lineRule="auto"/>
              <w:ind w:firstLine="482" w:firstLineChars="200"/>
              <w:rPr>
                <w:b/>
                <w:bCs/>
                <w:color w:val="auto"/>
                <w:sz w:val="24"/>
                <w:highlight w:val="none"/>
              </w:rPr>
            </w:pPr>
            <w:r>
              <w:rPr>
                <w:b/>
                <w:bCs/>
                <w:color w:val="auto"/>
                <w:sz w:val="24"/>
                <w:highlight w:val="none"/>
              </w:rPr>
              <w:t>1、达标区判定</w:t>
            </w:r>
          </w:p>
          <w:p>
            <w:pPr>
              <w:adjustRightInd w:val="0"/>
              <w:snapToGrid w:val="0"/>
              <w:spacing w:line="360" w:lineRule="auto"/>
              <w:ind w:firstLine="480" w:firstLineChars="200"/>
              <w:rPr>
                <w:color w:val="auto"/>
                <w:sz w:val="24"/>
                <w:highlight w:val="none"/>
              </w:rPr>
            </w:pPr>
            <w:r>
              <w:rPr>
                <w:color w:val="auto"/>
                <w:sz w:val="24"/>
                <w:highlight w:val="none"/>
              </w:rPr>
              <w:t>项目评价区域内环境空气质量执行《环境空气质量标准》(GB 3095-2012)中二级标准。本次评价按照《环境空气质量评价技术规范（试行）》(HJ 663-2013)中各评价项目的年评价指标进行判定。年评价指标中的年均浓度和相应百分位数24h平均或8h平均质量浓度满足《环境空气质量标准》(GB 3095-2012)中浓度限值要求的即为达标。</w:t>
            </w:r>
          </w:p>
          <w:p>
            <w:pPr>
              <w:snapToGrid w:val="0"/>
              <w:spacing w:line="360" w:lineRule="auto"/>
              <w:ind w:firstLine="480" w:firstLineChars="200"/>
              <w:rPr>
                <w:color w:val="auto"/>
                <w:sz w:val="24"/>
                <w:highlight w:val="none"/>
              </w:rPr>
            </w:pPr>
            <w:r>
              <w:rPr>
                <w:rFonts w:hint="eastAsia"/>
                <w:color w:val="auto"/>
                <w:sz w:val="24"/>
                <w:highlight w:val="none"/>
              </w:rPr>
              <w:t>根据《环保快报（2023-9）2022年12月及1~12月全省环境空气质量状况》，</w:t>
            </w:r>
            <w:r>
              <w:rPr>
                <w:rFonts w:hint="eastAsia"/>
                <w:color w:val="auto"/>
                <w:sz w:val="24"/>
                <w:highlight w:val="none"/>
                <w:lang w:eastAsia="zh-CN"/>
              </w:rPr>
              <w:t>洋</w:t>
            </w:r>
            <w:r>
              <w:rPr>
                <w:rFonts w:hint="eastAsia"/>
                <w:color w:val="auto"/>
                <w:sz w:val="24"/>
                <w:highlight w:val="none"/>
              </w:rPr>
              <w:t>县空气优良天数355天，本次引用书院中学、洋县政府监测站的监测数据来评价</w:t>
            </w:r>
            <w:r>
              <w:rPr>
                <w:color w:val="auto"/>
                <w:sz w:val="24"/>
                <w:highlight w:val="none"/>
              </w:rPr>
              <w:t>项目所在区域内环境质量现状</w:t>
            </w:r>
            <w:r>
              <w:rPr>
                <w:rFonts w:hint="eastAsia"/>
                <w:color w:val="auto"/>
                <w:sz w:val="24"/>
                <w:highlight w:val="none"/>
              </w:rPr>
              <w:t>，</w:t>
            </w:r>
            <w:r>
              <w:rPr>
                <w:color w:val="auto"/>
                <w:sz w:val="24"/>
                <w:highlight w:val="none"/>
              </w:rPr>
              <w:t>见表</w:t>
            </w:r>
            <w:r>
              <w:rPr>
                <w:rFonts w:hint="eastAsia"/>
                <w:color w:val="auto"/>
                <w:sz w:val="24"/>
                <w:highlight w:val="none"/>
              </w:rPr>
              <w:t>3-1</w:t>
            </w:r>
            <w:r>
              <w:rPr>
                <w:color w:val="auto"/>
                <w:sz w:val="24"/>
                <w:highlight w:val="none"/>
              </w:rPr>
              <w:t>。</w:t>
            </w:r>
          </w:p>
          <w:p>
            <w:pPr>
              <w:tabs>
                <w:tab w:val="left" w:leader="middleDot" w:pos="8399"/>
              </w:tabs>
              <w:ind w:firstLine="420"/>
              <w:jc w:val="center"/>
              <w:rPr>
                <w:b/>
                <w:color w:val="auto"/>
                <w:szCs w:val="21"/>
                <w:highlight w:val="none"/>
              </w:rPr>
            </w:pPr>
            <w:r>
              <w:rPr>
                <w:rFonts w:hint="eastAsia"/>
                <w:b/>
                <w:color w:val="auto"/>
                <w:szCs w:val="21"/>
                <w:highlight w:val="none"/>
              </w:rPr>
              <w:t>表3-1  项目所在区域环境质量现状评价表</w:t>
            </w:r>
          </w:p>
          <w:tbl>
            <w:tblPr>
              <w:tblStyle w:val="34"/>
              <w:tblW w:w="80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118"/>
              <w:gridCol w:w="1110"/>
              <w:gridCol w:w="960"/>
              <w:gridCol w:w="876"/>
              <w:gridCol w:w="11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Align w:val="center"/>
                </w:tcPr>
                <w:p>
                  <w:pPr>
                    <w:pStyle w:val="42"/>
                    <w:jc w:val="center"/>
                    <w:rPr>
                      <w:rFonts w:ascii="Times New Roman" w:cs="Times New Roman"/>
                      <w:b/>
                      <w:bCs/>
                      <w:color w:val="auto"/>
                      <w:sz w:val="21"/>
                      <w:szCs w:val="21"/>
                      <w:highlight w:val="none"/>
                    </w:rPr>
                  </w:pPr>
                  <w:r>
                    <w:rPr>
                      <w:rFonts w:ascii="Times New Roman" w:cs="Times New Roman"/>
                      <w:b/>
                      <w:bCs/>
                      <w:color w:val="auto"/>
                      <w:sz w:val="21"/>
                      <w:szCs w:val="21"/>
                      <w:highlight w:val="none"/>
                    </w:rPr>
                    <w:t>污染物</w:t>
                  </w:r>
                </w:p>
              </w:tc>
              <w:tc>
                <w:tcPr>
                  <w:tcW w:w="3118" w:type="dxa"/>
                  <w:vAlign w:val="center"/>
                </w:tcPr>
                <w:p>
                  <w:pPr>
                    <w:pStyle w:val="42"/>
                    <w:jc w:val="center"/>
                    <w:rPr>
                      <w:rFonts w:ascii="Times New Roman" w:cs="Times New Roman"/>
                      <w:b/>
                      <w:bCs/>
                      <w:color w:val="auto"/>
                      <w:sz w:val="21"/>
                      <w:szCs w:val="21"/>
                      <w:highlight w:val="none"/>
                    </w:rPr>
                  </w:pPr>
                  <w:r>
                    <w:rPr>
                      <w:rFonts w:ascii="Times New Roman" w:cs="Times New Roman"/>
                      <w:b/>
                      <w:bCs/>
                      <w:color w:val="auto"/>
                      <w:sz w:val="21"/>
                      <w:szCs w:val="21"/>
                      <w:highlight w:val="none"/>
                    </w:rPr>
                    <w:t>年评价指标</w:t>
                  </w:r>
                </w:p>
              </w:tc>
              <w:tc>
                <w:tcPr>
                  <w:tcW w:w="1110" w:type="dxa"/>
                  <w:vAlign w:val="center"/>
                </w:tcPr>
                <w:p>
                  <w:pPr>
                    <w:pStyle w:val="42"/>
                    <w:jc w:val="center"/>
                    <w:rPr>
                      <w:rFonts w:ascii="Times New Roman" w:cs="Times New Roman"/>
                      <w:b/>
                      <w:bCs/>
                      <w:color w:val="auto"/>
                      <w:sz w:val="21"/>
                      <w:szCs w:val="21"/>
                      <w:highlight w:val="none"/>
                    </w:rPr>
                  </w:pPr>
                  <w:r>
                    <w:rPr>
                      <w:rFonts w:ascii="Times New Roman" w:cs="Times New Roman"/>
                      <w:b/>
                      <w:bCs/>
                      <w:color w:val="auto"/>
                      <w:sz w:val="21"/>
                      <w:szCs w:val="21"/>
                      <w:highlight w:val="none"/>
                    </w:rPr>
                    <w:t>现状浓度/(μg/m</w:t>
                  </w:r>
                  <w:r>
                    <w:rPr>
                      <w:rFonts w:ascii="Times New Roman" w:cs="Times New Roman"/>
                      <w:b/>
                      <w:bCs/>
                      <w:color w:val="auto"/>
                      <w:sz w:val="21"/>
                      <w:szCs w:val="21"/>
                      <w:highlight w:val="none"/>
                      <w:vertAlign w:val="superscript"/>
                    </w:rPr>
                    <w:t>3</w:t>
                  </w:r>
                  <w:r>
                    <w:rPr>
                      <w:rFonts w:ascii="Times New Roman" w:cs="Times New Roman"/>
                      <w:b/>
                      <w:bCs/>
                      <w:color w:val="auto"/>
                      <w:sz w:val="21"/>
                      <w:szCs w:val="21"/>
                      <w:highlight w:val="none"/>
                    </w:rPr>
                    <w:t>)</w:t>
                  </w:r>
                </w:p>
              </w:tc>
              <w:tc>
                <w:tcPr>
                  <w:tcW w:w="960" w:type="dxa"/>
                  <w:vAlign w:val="center"/>
                </w:tcPr>
                <w:p>
                  <w:pPr>
                    <w:pStyle w:val="42"/>
                    <w:jc w:val="center"/>
                    <w:rPr>
                      <w:rFonts w:ascii="Times New Roman" w:cs="Times New Roman"/>
                      <w:b/>
                      <w:bCs/>
                      <w:color w:val="auto"/>
                      <w:sz w:val="21"/>
                      <w:szCs w:val="21"/>
                      <w:highlight w:val="none"/>
                    </w:rPr>
                  </w:pPr>
                  <w:r>
                    <w:rPr>
                      <w:rFonts w:ascii="Times New Roman" w:cs="Times New Roman"/>
                      <w:b/>
                      <w:bCs/>
                      <w:color w:val="auto"/>
                      <w:sz w:val="21"/>
                      <w:szCs w:val="21"/>
                      <w:highlight w:val="none"/>
                    </w:rPr>
                    <w:t>标准值/(μg/m</w:t>
                  </w:r>
                  <w:r>
                    <w:rPr>
                      <w:rFonts w:ascii="Times New Roman" w:cs="Times New Roman"/>
                      <w:b/>
                      <w:bCs/>
                      <w:color w:val="auto"/>
                      <w:sz w:val="21"/>
                      <w:szCs w:val="21"/>
                      <w:highlight w:val="none"/>
                      <w:vertAlign w:val="superscript"/>
                    </w:rPr>
                    <w:t>3</w:t>
                  </w:r>
                  <w:r>
                    <w:rPr>
                      <w:rFonts w:ascii="Times New Roman" w:cs="Times New Roman"/>
                      <w:b/>
                      <w:bCs/>
                      <w:color w:val="auto"/>
                      <w:sz w:val="21"/>
                      <w:szCs w:val="21"/>
                      <w:highlight w:val="none"/>
                    </w:rPr>
                    <w:t>)</w:t>
                  </w:r>
                </w:p>
              </w:tc>
              <w:tc>
                <w:tcPr>
                  <w:tcW w:w="876" w:type="dxa"/>
                  <w:vAlign w:val="center"/>
                </w:tcPr>
                <w:p>
                  <w:pPr>
                    <w:pStyle w:val="42"/>
                    <w:jc w:val="center"/>
                    <w:rPr>
                      <w:rFonts w:ascii="Times New Roman" w:cs="Times New Roman"/>
                      <w:b/>
                      <w:bCs/>
                      <w:color w:val="auto"/>
                      <w:sz w:val="21"/>
                      <w:szCs w:val="21"/>
                      <w:highlight w:val="none"/>
                    </w:rPr>
                  </w:pPr>
                  <w:r>
                    <w:rPr>
                      <w:rFonts w:ascii="Times New Roman" w:cs="Times New Roman"/>
                      <w:b/>
                      <w:bCs/>
                      <w:color w:val="auto"/>
                      <w:sz w:val="21"/>
                      <w:szCs w:val="21"/>
                      <w:highlight w:val="none"/>
                    </w:rPr>
                    <w:t>占标率</w:t>
                  </w:r>
                </w:p>
              </w:tc>
              <w:tc>
                <w:tcPr>
                  <w:tcW w:w="1110" w:type="dxa"/>
                  <w:vAlign w:val="center"/>
                </w:tcPr>
                <w:p>
                  <w:pPr>
                    <w:pStyle w:val="42"/>
                    <w:jc w:val="center"/>
                    <w:rPr>
                      <w:rFonts w:ascii="Times New Roman" w:cs="Times New Roman"/>
                      <w:b/>
                      <w:bCs/>
                      <w:color w:val="auto"/>
                      <w:sz w:val="21"/>
                      <w:szCs w:val="21"/>
                      <w:highlight w:val="none"/>
                    </w:rPr>
                  </w:pPr>
                  <w:r>
                    <w:rPr>
                      <w:rFonts w:ascii="Times New Roman" w:cs="Times New Roman"/>
                      <w:b/>
                      <w:bCs/>
                      <w:color w:val="auto"/>
                      <w:sz w:val="21"/>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Merge w:val="restart"/>
                  <w:vAlign w:val="center"/>
                </w:tcPr>
                <w:p>
                  <w:pPr>
                    <w:widowControl/>
                    <w:jc w:val="center"/>
                    <w:textAlignment w:val="center"/>
                    <w:rPr>
                      <w:color w:val="auto"/>
                      <w:szCs w:val="21"/>
                      <w:highlight w:val="none"/>
                    </w:rPr>
                  </w:pPr>
                  <w:r>
                    <w:rPr>
                      <w:color w:val="auto"/>
                      <w:kern w:val="0"/>
                      <w:szCs w:val="21"/>
                      <w:highlight w:val="none"/>
                    </w:rPr>
                    <w:t>PM</w:t>
                  </w:r>
                  <w:r>
                    <w:rPr>
                      <w:color w:val="auto"/>
                      <w:kern w:val="0"/>
                      <w:szCs w:val="21"/>
                      <w:highlight w:val="none"/>
                      <w:vertAlign w:val="subscript"/>
                    </w:rPr>
                    <w:t>10</w:t>
                  </w:r>
                </w:p>
              </w:tc>
              <w:tc>
                <w:tcPr>
                  <w:tcW w:w="3118" w:type="dxa"/>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年平均质量浓度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45</w:t>
                  </w:r>
                </w:p>
              </w:tc>
              <w:tc>
                <w:tcPr>
                  <w:tcW w:w="960" w:type="dxa"/>
                  <w:vAlign w:val="center"/>
                </w:tcPr>
                <w:p>
                  <w:pPr>
                    <w:widowControl/>
                    <w:jc w:val="center"/>
                    <w:textAlignment w:val="center"/>
                    <w:rPr>
                      <w:color w:val="auto"/>
                      <w:szCs w:val="21"/>
                      <w:highlight w:val="none"/>
                    </w:rPr>
                  </w:pPr>
                  <w:r>
                    <w:rPr>
                      <w:color w:val="auto"/>
                      <w:kern w:val="0"/>
                      <w:szCs w:val="21"/>
                      <w:highlight w:val="none"/>
                    </w:rPr>
                    <w:t>70</w:t>
                  </w:r>
                </w:p>
              </w:tc>
              <w:tc>
                <w:tcPr>
                  <w:tcW w:w="876" w:type="dxa"/>
                  <w:vAlign w:val="center"/>
                </w:tcPr>
                <w:p>
                  <w:pPr>
                    <w:widowControl/>
                    <w:jc w:val="center"/>
                    <w:textAlignment w:val="center"/>
                    <w:rPr>
                      <w:color w:val="auto"/>
                      <w:szCs w:val="21"/>
                      <w:highlight w:val="none"/>
                    </w:rPr>
                  </w:pPr>
                  <w:r>
                    <w:rPr>
                      <w:color w:val="auto"/>
                      <w:kern w:val="0"/>
                      <w:szCs w:val="21"/>
                      <w:highlight w:val="none"/>
                    </w:rPr>
                    <w:t>64.29%</w:t>
                  </w:r>
                </w:p>
              </w:tc>
              <w:tc>
                <w:tcPr>
                  <w:tcW w:w="1110" w:type="dxa"/>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Merge w:val="continue"/>
                  <w:vAlign w:val="center"/>
                </w:tcPr>
                <w:p>
                  <w:pPr>
                    <w:pStyle w:val="42"/>
                    <w:jc w:val="center"/>
                    <w:rPr>
                      <w:rFonts w:ascii="Times New Roman" w:cs="Times New Roman"/>
                      <w:color w:val="auto"/>
                      <w:sz w:val="21"/>
                      <w:szCs w:val="21"/>
                      <w:highlight w:val="none"/>
                    </w:rPr>
                  </w:pPr>
                </w:p>
              </w:tc>
              <w:tc>
                <w:tcPr>
                  <w:tcW w:w="3118" w:type="dxa"/>
                  <w:vAlign w:val="center"/>
                </w:tcPr>
                <w:p>
                  <w:pPr>
                    <w:widowControl/>
                    <w:jc w:val="center"/>
                    <w:textAlignment w:val="center"/>
                    <w:rPr>
                      <w:color w:val="auto"/>
                      <w:szCs w:val="21"/>
                      <w:highlight w:val="none"/>
                    </w:rPr>
                  </w:pPr>
                  <w:r>
                    <w:rPr>
                      <w:rStyle w:val="138"/>
                      <w:color w:val="auto"/>
                      <w:sz w:val="21"/>
                      <w:szCs w:val="21"/>
                      <w:highlight w:val="none"/>
                    </w:rPr>
                    <w:t>95%</w:t>
                  </w:r>
                  <w:r>
                    <w:rPr>
                      <w:rFonts w:hint="eastAsia" w:ascii="宋体" w:hAnsi="宋体" w:cs="宋体"/>
                      <w:color w:val="auto"/>
                      <w:kern w:val="0"/>
                      <w:szCs w:val="21"/>
                      <w:highlight w:val="none"/>
                    </w:rPr>
                    <w:t>保证率日平均质量浓度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93.4</w:t>
                  </w:r>
                </w:p>
              </w:tc>
              <w:tc>
                <w:tcPr>
                  <w:tcW w:w="960" w:type="dxa"/>
                  <w:vAlign w:val="center"/>
                </w:tcPr>
                <w:p>
                  <w:pPr>
                    <w:widowControl/>
                    <w:jc w:val="center"/>
                    <w:textAlignment w:val="center"/>
                    <w:rPr>
                      <w:color w:val="auto"/>
                      <w:szCs w:val="21"/>
                      <w:highlight w:val="none"/>
                    </w:rPr>
                  </w:pPr>
                  <w:r>
                    <w:rPr>
                      <w:color w:val="auto"/>
                      <w:kern w:val="0"/>
                      <w:szCs w:val="21"/>
                      <w:highlight w:val="none"/>
                    </w:rPr>
                    <w:t>150</w:t>
                  </w:r>
                </w:p>
              </w:tc>
              <w:tc>
                <w:tcPr>
                  <w:tcW w:w="876" w:type="dxa"/>
                  <w:vAlign w:val="center"/>
                </w:tcPr>
                <w:p>
                  <w:pPr>
                    <w:widowControl/>
                    <w:jc w:val="center"/>
                    <w:textAlignment w:val="center"/>
                    <w:rPr>
                      <w:color w:val="auto"/>
                      <w:szCs w:val="21"/>
                      <w:highlight w:val="none"/>
                    </w:rPr>
                  </w:pPr>
                  <w:r>
                    <w:rPr>
                      <w:color w:val="auto"/>
                      <w:kern w:val="0"/>
                      <w:szCs w:val="21"/>
                      <w:highlight w:val="none"/>
                    </w:rPr>
                    <w:t>62.27%</w:t>
                  </w:r>
                </w:p>
              </w:tc>
              <w:tc>
                <w:tcPr>
                  <w:tcW w:w="1110" w:type="dxa"/>
                  <w:vAlign w:val="center"/>
                </w:tcPr>
                <w:p>
                  <w:pPr>
                    <w:widowControl/>
                    <w:jc w:val="center"/>
                    <w:textAlignment w:val="center"/>
                    <w:rPr>
                      <w:color w:val="auto"/>
                      <w:kern w:val="0"/>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Merge w:val="restart"/>
                  <w:vAlign w:val="center"/>
                </w:tcPr>
                <w:p>
                  <w:pPr>
                    <w:widowControl/>
                    <w:jc w:val="center"/>
                    <w:textAlignment w:val="center"/>
                    <w:rPr>
                      <w:color w:val="auto"/>
                      <w:szCs w:val="21"/>
                      <w:highlight w:val="none"/>
                    </w:rPr>
                  </w:pPr>
                  <w:r>
                    <w:rPr>
                      <w:color w:val="auto"/>
                      <w:kern w:val="0"/>
                      <w:szCs w:val="21"/>
                      <w:highlight w:val="none"/>
                    </w:rPr>
                    <w:t>PM</w:t>
                  </w:r>
                  <w:r>
                    <w:rPr>
                      <w:color w:val="auto"/>
                      <w:kern w:val="0"/>
                      <w:szCs w:val="21"/>
                      <w:highlight w:val="none"/>
                      <w:vertAlign w:val="subscript"/>
                    </w:rPr>
                    <w:t>2.5</w:t>
                  </w:r>
                </w:p>
              </w:tc>
              <w:tc>
                <w:tcPr>
                  <w:tcW w:w="3118" w:type="dxa"/>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年平均质量浓度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27</w:t>
                  </w:r>
                </w:p>
              </w:tc>
              <w:tc>
                <w:tcPr>
                  <w:tcW w:w="960" w:type="dxa"/>
                  <w:vAlign w:val="center"/>
                </w:tcPr>
                <w:p>
                  <w:pPr>
                    <w:widowControl/>
                    <w:jc w:val="center"/>
                    <w:textAlignment w:val="center"/>
                    <w:rPr>
                      <w:color w:val="auto"/>
                      <w:szCs w:val="21"/>
                      <w:highlight w:val="none"/>
                    </w:rPr>
                  </w:pPr>
                  <w:r>
                    <w:rPr>
                      <w:color w:val="auto"/>
                      <w:kern w:val="0"/>
                      <w:szCs w:val="21"/>
                      <w:highlight w:val="none"/>
                    </w:rPr>
                    <w:t>35</w:t>
                  </w:r>
                </w:p>
              </w:tc>
              <w:tc>
                <w:tcPr>
                  <w:tcW w:w="876" w:type="dxa"/>
                  <w:vAlign w:val="center"/>
                </w:tcPr>
                <w:p>
                  <w:pPr>
                    <w:widowControl/>
                    <w:jc w:val="center"/>
                    <w:textAlignment w:val="center"/>
                    <w:rPr>
                      <w:color w:val="auto"/>
                      <w:szCs w:val="21"/>
                      <w:highlight w:val="none"/>
                    </w:rPr>
                  </w:pPr>
                  <w:r>
                    <w:rPr>
                      <w:color w:val="auto"/>
                      <w:kern w:val="0"/>
                      <w:szCs w:val="21"/>
                      <w:highlight w:val="none"/>
                    </w:rPr>
                    <w:t>77.14%</w:t>
                  </w:r>
                </w:p>
              </w:tc>
              <w:tc>
                <w:tcPr>
                  <w:tcW w:w="1110" w:type="dxa"/>
                  <w:vAlign w:val="center"/>
                </w:tcPr>
                <w:p>
                  <w:pPr>
                    <w:widowControl/>
                    <w:jc w:val="center"/>
                    <w:textAlignment w:val="center"/>
                    <w:rPr>
                      <w:color w:val="auto"/>
                      <w:kern w:val="0"/>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Merge w:val="continue"/>
                  <w:vAlign w:val="center"/>
                </w:tcPr>
                <w:p>
                  <w:pPr>
                    <w:pStyle w:val="42"/>
                    <w:jc w:val="center"/>
                    <w:rPr>
                      <w:rFonts w:ascii="Times New Roman" w:cs="Times New Roman"/>
                      <w:color w:val="auto"/>
                      <w:sz w:val="21"/>
                      <w:szCs w:val="21"/>
                      <w:highlight w:val="none"/>
                    </w:rPr>
                  </w:pPr>
                </w:p>
              </w:tc>
              <w:tc>
                <w:tcPr>
                  <w:tcW w:w="3118" w:type="dxa"/>
                  <w:vAlign w:val="center"/>
                </w:tcPr>
                <w:p>
                  <w:pPr>
                    <w:widowControl/>
                    <w:jc w:val="center"/>
                    <w:textAlignment w:val="center"/>
                    <w:rPr>
                      <w:color w:val="auto"/>
                      <w:szCs w:val="21"/>
                      <w:highlight w:val="none"/>
                    </w:rPr>
                  </w:pPr>
                  <w:r>
                    <w:rPr>
                      <w:rStyle w:val="138"/>
                      <w:color w:val="auto"/>
                      <w:sz w:val="21"/>
                      <w:szCs w:val="21"/>
                      <w:highlight w:val="none"/>
                    </w:rPr>
                    <w:t>95%</w:t>
                  </w:r>
                  <w:r>
                    <w:rPr>
                      <w:rFonts w:hint="eastAsia" w:ascii="宋体" w:hAnsi="宋体" w:cs="宋体"/>
                      <w:color w:val="auto"/>
                      <w:kern w:val="0"/>
                      <w:szCs w:val="21"/>
                      <w:highlight w:val="none"/>
                    </w:rPr>
                    <w:t>保证率日平均质量浓度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61.4</w:t>
                  </w:r>
                </w:p>
              </w:tc>
              <w:tc>
                <w:tcPr>
                  <w:tcW w:w="960" w:type="dxa"/>
                  <w:vAlign w:val="center"/>
                </w:tcPr>
                <w:p>
                  <w:pPr>
                    <w:widowControl/>
                    <w:jc w:val="center"/>
                    <w:textAlignment w:val="center"/>
                    <w:rPr>
                      <w:color w:val="auto"/>
                      <w:szCs w:val="21"/>
                      <w:highlight w:val="none"/>
                    </w:rPr>
                  </w:pPr>
                  <w:r>
                    <w:rPr>
                      <w:color w:val="auto"/>
                      <w:kern w:val="0"/>
                      <w:szCs w:val="21"/>
                      <w:highlight w:val="none"/>
                    </w:rPr>
                    <w:t>75</w:t>
                  </w:r>
                </w:p>
              </w:tc>
              <w:tc>
                <w:tcPr>
                  <w:tcW w:w="876" w:type="dxa"/>
                  <w:vAlign w:val="center"/>
                </w:tcPr>
                <w:p>
                  <w:pPr>
                    <w:widowControl/>
                    <w:jc w:val="center"/>
                    <w:textAlignment w:val="center"/>
                    <w:rPr>
                      <w:color w:val="auto"/>
                      <w:szCs w:val="21"/>
                      <w:highlight w:val="none"/>
                    </w:rPr>
                  </w:pPr>
                  <w:r>
                    <w:rPr>
                      <w:color w:val="auto"/>
                      <w:kern w:val="0"/>
                      <w:szCs w:val="21"/>
                      <w:highlight w:val="none"/>
                    </w:rPr>
                    <w:t>81.87%</w:t>
                  </w:r>
                </w:p>
              </w:tc>
              <w:tc>
                <w:tcPr>
                  <w:tcW w:w="1110" w:type="dxa"/>
                  <w:vAlign w:val="center"/>
                </w:tcPr>
                <w:p>
                  <w:pPr>
                    <w:widowControl/>
                    <w:jc w:val="center"/>
                    <w:textAlignment w:val="center"/>
                    <w:rPr>
                      <w:color w:val="auto"/>
                      <w:kern w:val="0"/>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Merge w:val="restart"/>
                  <w:vAlign w:val="center"/>
                </w:tcPr>
                <w:p>
                  <w:pPr>
                    <w:widowControl/>
                    <w:jc w:val="center"/>
                    <w:textAlignment w:val="center"/>
                    <w:rPr>
                      <w:color w:val="auto"/>
                      <w:szCs w:val="21"/>
                      <w:highlight w:val="none"/>
                    </w:rPr>
                  </w:pPr>
                  <w:r>
                    <w:rPr>
                      <w:color w:val="auto"/>
                      <w:kern w:val="0"/>
                      <w:szCs w:val="21"/>
                      <w:highlight w:val="none"/>
                    </w:rPr>
                    <w:t>SO</w:t>
                  </w:r>
                  <w:r>
                    <w:rPr>
                      <w:color w:val="auto"/>
                      <w:kern w:val="0"/>
                      <w:szCs w:val="21"/>
                      <w:highlight w:val="none"/>
                      <w:vertAlign w:val="subscript"/>
                    </w:rPr>
                    <w:t>2</w:t>
                  </w:r>
                </w:p>
              </w:tc>
              <w:tc>
                <w:tcPr>
                  <w:tcW w:w="3118" w:type="dxa"/>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年平均质量浓度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8</w:t>
                  </w:r>
                </w:p>
              </w:tc>
              <w:tc>
                <w:tcPr>
                  <w:tcW w:w="960" w:type="dxa"/>
                  <w:vAlign w:val="center"/>
                </w:tcPr>
                <w:p>
                  <w:pPr>
                    <w:widowControl/>
                    <w:jc w:val="center"/>
                    <w:textAlignment w:val="center"/>
                    <w:rPr>
                      <w:color w:val="auto"/>
                      <w:szCs w:val="21"/>
                      <w:highlight w:val="none"/>
                    </w:rPr>
                  </w:pPr>
                  <w:r>
                    <w:rPr>
                      <w:color w:val="auto"/>
                      <w:kern w:val="0"/>
                      <w:szCs w:val="21"/>
                      <w:highlight w:val="none"/>
                    </w:rPr>
                    <w:t>60</w:t>
                  </w:r>
                </w:p>
              </w:tc>
              <w:tc>
                <w:tcPr>
                  <w:tcW w:w="876" w:type="dxa"/>
                  <w:vAlign w:val="center"/>
                </w:tcPr>
                <w:p>
                  <w:pPr>
                    <w:widowControl/>
                    <w:jc w:val="center"/>
                    <w:textAlignment w:val="center"/>
                    <w:rPr>
                      <w:color w:val="auto"/>
                      <w:szCs w:val="21"/>
                      <w:highlight w:val="none"/>
                    </w:rPr>
                  </w:pPr>
                  <w:r>
                    <w:rPr>
                      <w:color w:val="auto"/>
                      <w:kern w:val="0"/>
                      <w:szCs w:val="21"/>
                      <w:highlight w:val="none"/>
                    </w:rPr>
                    <w:t>13.33%</w:t>
                  </w:r>
                </w:p>
              </w:tc>
              <w:tc>
                <w:tcPr>
                  <w:tcW w:w="1110" w:type="dxa"/>
                  <w:vAlign w:val="center"/>
                </w:tcPr>
                <w:p>
                  <w:pPr>
                    <w:widowControl/>
                    <w:jc w:val="center"/>
                    <w:textAlignment w:val="center"/>
                    <w:rPr>
                      <w:color w:val="auto"/>
                      <w:kern w:val="0"/>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Merge w:val="continue"/>
                  <w:vAlign w:val="center"/>
                </w:tcPr>
                <w:p>
                  <w:pPr>
                    <w:pStyle w:val="42"/>
                    <w:jc w:val="center"/>
                    <w:rPr>
                      <w:rFonts w:ascii="Times New Roman" w:cs="Times New Roman"/>
                      <w:color w:val="auto"/>
                      <w:sz w:val="21"/>
                      <w:szCs w:val="21"/>
                      <w:highlight w:val="none"/>
                    </w:rPr>
                  </w:pPr>
                </w:p>
              </w:tc>
              <w:tc>
                <w:tcPr>
                  <w:tcW w:w="3118" w:type="dxa"/>
                  <w:vAlign w:val="center"/>
                </w:tcPr>
                <w:p>
                  <w:pPr>
                    <w:widowControl/>
                    <w:jc w:val="center"/>
                    <w:textAlignment w:val="center"/>
                    <w:rPr>
                      <w:color w:val="auto"/>
                      <w:szCs w:val="21"/>
                      <w:highlight w:val="none"/>
                    </w:rPr>
                  </w:pPr>
                  <w:r>
                    <w:rPr>
                      <w:rStyle w:val="138"/>
                      <w:color w:val="auto"/>
                      <w:sz w:val="21"/>
                      <w:szCs w:val="21"/>
                      <w:highlight w:val="none"/>
                    </w:rPr>
                    <w:t>98%</w:t>
                  </w:r>
                  <w:r>
                    <w:rPr>
                      <w:rFonts w:hint="eastAsia" w:ascii="宋体" w:hAnsi="宋体" w:cs="宋体"/>
                      <w:color w:val="auto"/>
                      <w:kern w:val="0"/>
                      <w:szCs w:val="21"/>
                      <w:highlight w:val="none"/>
                    </w:rPr>
                    <w:t>保证率日平均质量浓度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15.4</w:t>
                  </w:r>
                </w:p>
              </w:tc>
              <w:tc>
                <w:tcPr>
                  <w:tcW w:w="960" w:type="dxa"/>
                  <w:vAlign w:val="center"/>
                </w:tcPr>
                <w:p>
                  <w:pPr>
                    <w:widowControl/>
                    <w:jc w:val="center"/>
                    <w:textAlignment w:val="center"/>
                    <w:rPr>
                      <w:color w:val="auto"/>
                      <w:szCs w:val="21"/>
                      <w:highlight w:val="none"/>
                    </w:rPr>
                  </w:pPr>
                  <w:r>
                    <w:rPr>
                      <w:color w:val="auto"/>
                      <w:kern w:val="0"/>
                      <w:szCs w:val="21"/>
                      <w:highlight w:val="none"/>
                    </w:rPr>
                    <w:t>150</w:t>
                  </w:r>
                </w:p>
              </w:tc>
              <w:tc>
                <w:tcPr>
                  <w:tcW w:w="876" w:type="dxa"/>
                  <w:vAlign w:val="center"/>
                </w:tcPr>
                <w:p>
                  <w:pPr>
                    <w:widowControl/>
                    <w:jc w:val="center"/>
                    <w:textAlignment w:val="center"/>
                    <w:rPr>
                      <w:color w:val="auto"/>
                      <w:szCs w:val="21"/>
                      <w:highlight w:val="none"/>
                    </w:rPr>
                  </w:pPr>
                  <w:r>
                    <w:rPr>
                      <w:color w:val="auto"/>
                      <w:kern w:val="0"/>
                      <w:szCs w:val="21"/>
                      <w:highlight w:val="none"/>
                    </w:rPr>
                    <w:t>10.27%</w:t>
                  </w:r>
                </w:p>
              </w:tc>
              <w:tc>
                <w:tcPr>
                  <w:tcW w:w="1110" w:type="dxa"/>
                  <w:vAlign w:val="center"/>
                </w:tcPr>
                <w:p>
                  <w:pPr>
                    <w:widowControl/>
                    <w:jc w:val="center"/>
                    <w:textAlignment w:val="center"/>
                    <w:rPr>
                      <w:color w:val="auto"/>
                      <w:kern w:val="0"/>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Merge w:val="restart"/>
                  <w:vAlign w:val="center"/>
                </w:tcPr>
                <w:p>
                  <w:pPr>
                    <w:widowControl/>
                    <w:jc w:val="center"/>
                    <w:textAlignment w:val="center"/>
                    <w:rPr>
                      <w:color w:val="auto"/>
                      <w:szCs w:val="21"/>
                      <w:highlight w:val="none"/>
                    </w:rPr>
                  </w:pPr>
                  <w:r>
                    <w:rPr>
                      <w:color w:val="auto"/>
                      <w:kern w:val="0"/>
                      <w:szCs w:val="21"/>
                      <w:highlight w:val="none"/>
                    </w:rPr>
                    <w:t>NO</w:t>
                  </w:r>
                  <w:r>
                    <w:rPr>
                      <w:color w:val="auto"/>
                      <w:kern w:val="0"/>
                      <w:szCs w:val="21"/>
                      <w:highlight w:val="none"/>
                      <w:vertAlign w:val="subscript"/>
                    </w:rPr>
                    <w:t>2</w:t>
                  </w:r>
                </w:p>
              </w:tc>
              <w:tc>
                <w:tcPr>
                  <w:tcW w:w="3118" w:type="dxa"/>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年平均质量浓度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14</w:t>
                  </w:r>
                </w:p>
              </w:tc>
              <w:tc>
                <w:tcPr>
                  <w:tcW w:w="960" w:type="dxa"/>
                  <w:vAlign w:val="center"/>
                </w:tcPr>
                <w:p>
                  <w:pPr>
                    <w:widowControl/>
                    <w:jc w:val="center"/>
                    <w:textAlignment w:val="center"/>
                    <w:rPr>
                      <w:color w:val="auto"/>
                      <w:szCs w:val="21"/>
                      <w:highlight w:val="none"/>
                    </w:rPr>
                  </w:pPr>
                  <w:r>
                    <w:rPr>
                      <w:color w:val="auto"/>
                      <w:kern w:val="0"/>
                      <w:szCs w:val="21"/>
                      <w:highlight w:val="none"/>
                    </w:rPr>
                    <w:t>40</w:t>
                  </w:r>
                </w:p>
              </w:tc>
              <w:tc>
                <w:tcPr>
                  <w:tcW w:w="876" w:type="dxa"/>
                  <w:vAlign w:val="center"/>
                </w:tcPr>
                <w:p>
                  <w:pPr>
                    <w:widowControl/>
                    <w:jc w:val="center"/>
                    <w:textAlignment w:val="center"/>
                    <w:rPr>
                      <w:color w:val="auto"/>
                      <w:szCs w:val="21"/>
                      <w:highlight w:val="none"/>
                    </w:rPr>
                  </w:pPr>
                  <w:r>
                    <w:rPr>
                      <w:color w:val="auto"/>
                      <w:kern w:val="0"/>
                      <w:szCs w:val="21"/>
                      <w:highlight w:val="none"/>
                    </w:rPr>
                    <w:t>35.00%</w:t>
                  </w:r>
                </w:p>
              </w:tc>
              <w:tc>
                <w:tcPr>
                  <w:tcW w:w="1110" w:type="dxa"/>
                  <w:vAlign w:val="center"/>
                </w:tcPr>
                <w:p>
                  <w:pPr>
                    <w:widowControl/>
                    <w:jc w:val="center"/>
                    <w:textAlignment w:val="center"/>
                    <w:rPr>
                      <w:color w:val="auto"/>
                      <w:kern w:val="0"/>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Merge w:val="continue"/>
                  <w:vAlign w:val="center"/>
                </w:tcPr>
                <w:p>
                  <w:pPr>
                    <w:pStyle w:val="42"/>
                    <w:jc w:val="center"/>
                    <w:rPr>
                      <w:rFonts w:ascii="Times New Roman" w:cs="Times New Roman"/>
                      <w:color w:val="auto"/>
                      <w:sz w:val="21"/>
                      <w:szCs w:val="21"/>
                      <w:highlight w:val="none"/>
                    </w:rPr>
                  </w:pPr>
                </w:p>
              </w:tc>
              <w:tc>
                <w:tcPr>
                  <w:tcW w:w="3118" w:type="dxa"/>
                  <w:vAlign w:val="center"/>
                </w:tcPr>
                <w:p>
                  <w:pPr>
                    <w:widowControl/>
                    <w:jc w:val="center"/>
                    <w:textAlignment w:val="center"/>
                    <w:rPr>
                      <w:color w:val="auto"/>
                      <w:szCs w:val="21"/>
                      <w:highlight w:val="none"/>
                    </w:rPr>
                  </w:pPr>
                  <w:r>
                    <w:rPr>
                      <w:rStyle w:val="138"/>
                      <w:color w:val="auto"/>
                      <w:sz w:val="21"/>
                      <w:szCs w:val="21"/>
                      <w:highlight w:val="none"/>
                    </w:rPr>
                    <w:t>98%</w:t>
                  </w:r>
                  <w:r>
                    <w:rPr>
                      <w:rFonts w:hint="eastAsia" w:ascii="宋体" w:hAnsi="宋体" w:cs="宋体"/>
                      <w:color w:val="auto"/>
                      <w:kern w:val="0"/>
                      <w:szCs w:val="21"/>
                      <w:highlight w:val="none"/>
                    </w:rPr>
                    <w:t>保证率日平均质量浓度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34.4</w:t>
                  </w:r>
                </w:p>
              </w:tc>
              <w:tc>
                <w:tcPr>
                  <w:tcW w:w="960" w:type="dxa"/>
                  <w:vAlign w:val="center"/>
                </w:tcPr>
                <w:p>
                  <w:pPr>
                    <w:widowControl/>
                    <w:jc w:val="center"/>
                    <w:textAlignment w:val="center"/>
                    <w:rPr>
                      <w:color w:val="auto"/>
                      <w:szCs w:val="21"/>
                      <w:highlight w:val="none"/>
                    </w:rPr>
                  </w:pPr>
                  <w:r>
                    <w:rPr>
                      <w:color w:val="auto"/>
                      <w:kern w:val="0"/>
                      <w:szCs w:val="21"/>
                      <w:highlight w:val="none"/>
                    </w:rPr>
                    <w:t>80</w:t>
                  </w:r>
                </w:p>
              </w:tc>
              <w:tc>
                <w:tcPr>
                  <w:tcW w:w="876" w:type="dxa"/>
                  <w:vAlign w:val="center"/>
                </w:tcPr>
                <w:p>
                  <w:pPr>
                    <w:widowControl/>
                    <w:jc w:val="center"/>
                    <w:textAlignment w:val="center"/>
                    <w:rPr>
                      <w:color w:val="auto"/>
                      <w:szCs w:val="21"/>
                      <w:highlight w:val="none"/>
                    </w:rPr>
                  </w:pPr>
                  <w:r>
                    <w:rPr>
                      <w:color w:val="auto"/>
                      <w:kern w:val="0"/>
                      <w:szCs w:val="21"/>
                      <w:highlight w:val="none"/>
                    </w:rPr>
                    <w:t>43.00%</w:t>
                  </w:r>
                </w:p>
              </w:tc>
              <w:tc>
                <w:tcPr>
                  <w:tcW w:w="1110" w:type="dxa"/>
                  <w:vAlign w:val="center"/>
                </w:tcPr>
                <w:p>
                  <w:pPr>
                    <w:widowControl/>
                    <w:jc w:val="center"/>
                    <w:textAlignment w:val="center"/>
                    <w:rPr>
                      <w:color w:val="auto"/>
                      <w:kern w:val="0"/>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Align w:val="center"/>
                </w:tcPr>
                <w:p>
                  <w:pPr>
                    <w:widowControl/>
                    <w:jc w:val="center"/>
                    <w:textAlignment w:val="center"/>
                    <w:rPr>
                      <w:color w:val="auto"/>
                      <w:szCs w:val="21"/>
                      <w:highlight w:val="none"/>
                    </w:rPr>
                  </w:pPr>
                  <w:r>
                    <w:rPr>
                      <w:color w:val="auto"/>
                      <w:kern w:val="0"/>
                      <w:szCs w:val="21"/>
                      <w:highlight w:val="none"/>
                    </w:rPr>
                    <w:t>CO</w:t>
                  </w:r>
                </w:p>
              </w:tc>
              <w:tc>
                <w:tcPr>
                  <w:tcW w:w="3118" w:type="dxa"/>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保证率日平均第</w:t>
                  </w:r>
                  <w:r>
                    <w:rPr>
                      <w:rStyle w:val="138"/>
                      <w:color w:val="auto"/>
                      <w:sz w:val="21"/>
                      <w:szCs w:val="21"/>
                      <w:highlight w:val="none"/>
                    </w:rPr>
                    <w:t>95</w:t>
                  </w:r>
                  <w:r>
                    <w:rPr>
                      <w:rFonts w:hint="eastAsia" w:ascii="宋体" w:hAnsi="宋体" w:cs="宋体"/>
                      <w:color w:val="auto"/>
                      <w:kern w:val="0"/>
                      <w:szCs w:val="21"/>
                      <w:highlight w:val="none"/>
                    </w:rPr>
                    <w:t>百分位数</w:t>
                  </w:r>
                </w:p>
              </w:tc>
              <w:tc>
                <w:tcPr>
                  <w:tcW w:w="1110" w:type="dxa"/>
                  <w:vAlign w:val="center"/>
                </w:tcPr>
                <w:p>
                  <w:pPr>
                    <w:widowControl/>
                    <w:jc w:val="center"/>
                    <w:textAlignment w:val="center"/>
                    <w:rPr>
                      <w:color w:val="auto"/>
                      <w:szCs w:val="21"/>
                      <w:highlight w:val="none"/>
                    </w:rPr>
                  </w:pPr>
                  <w:r>
                    <w:rPr>
                      <w:color w:val="auto"/>
                      <w:kern w:val="0"/>
                      <w:szCs w:val="21"/>
                      <w:highlight w:val="none"/>
                    </w:rPr>
                    <w:t>1200</w:t>
                  </w:r>
                </w:p>
              </w:tc>
              <w:tc>
                <w:tcPr>
                  <w:tcW w:w="960" w:type="dxa"/>
                  <w:vAlign w:val="center"/>
                </w:tcPr>
                <w:p>
                  <w:pPr>
                    <w:widowControl/>
                    <w:jc w:val="center"/>
                    <w:textAlignment w:val="center"/>
                    <w:rPr>
                      <w:color w:val="auto"/>
                      <w:szCs w:val="21"/>
                      <w:highlight w:val="none"/>
                    </w:rPr>
                  </w:pPr>
                  <w:r>
                    <w:rPr>
                      <w:color w:val="auto"/>
                      <w:kern w:val="0"/>
                      <w:szCs w:val="21"/>
                      <w:highlight w:val="none"/>
                    </w:rPr>
                    <w:t>4000</w:t>
                  </w:r>
                </w:p>
              </w:tc>
              <w:tc>
                <w:tcPr>
                  <w:tcW w:w="876" w:type="dxa"/>
                  <w:vAlign w:val="center"/>
                </w:tcPr>
                <w:p>
                  <w:pPr>
                    <w:widowControl/>
                    <w:jc w:val="center"/>
                    <w:textAlignment w:val="center"/>
                    <w:rPr>
                      <w:color w:val="auto"/>
                      <w:szCs w:val="21"/>
                      <w:highlight w:val="none"/>
                    </w:rPr>
                  </w:pPr>
                  <w:r>
                    <w:rPr>
                      <w:color w:val="auto"/>
                      <w:kern w:val="0"/>
                      <w:szCs w:val="21"/>
                      <w:highlight w:val="none"/>
                    </w:rPr>
                    <w:t>30.00%</w:t>
                  </w:r>
                </w:p>
              </w:tc>
              <w:tc>
                <w:tcPr>
                  <w:tcW w:w="1110" w:type="dxa"/>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6" w:type="dxa"/>
                  <w:vAlign w:val="center"/>
                </w:tcPr>
                <w:p>
                  <w:pPr>
                    <w:widowControl/>
                    <w:jc w:val="center"/>
                    <w:textAlignment w:val="center"/>
                    <w:rPr>
                      <w:color w:val="auto"/>
                      <w:szCs w:val="21"/>
                      <w:highlight w:val="none"/>
                    </w:rPr>
                  </w:pPr>
                  <w:r>
                    <w:rPr>
                      <w:color w:val="auto"/>
                      <w:kern w:val="0"/>
                      <w:szCs w:val="21"/>
                      <w:highlight w:val="none"/>
                    </w:rPr>
                    <w:t>O</w:t>
                  </w:r>
                  <w:r>
                    <w:rPr>
                      <w:color w:val="auto"/>
                      <w:kern w:val="0"/>
                      <w:szCs w:val="21"/>
                      <w:highlight w:val="none"/>
                      <w:vertAlign w:val="subscript"/>
                    </w:rPr>
                    <w:t>3</w:t>
                  </w:r>
                </w:p>
              </w:tc>
              <w:tc>
                <w:tcPr>
                  <w:tcW w:w="3118" w:type="dxa"/>
                  <w:vAlign w:val="center"/>
                </w:tcPr>
                <w:p>
                  <w:pPr>
                    <w:widowControl/>
                    <w:jc w:val="center"/>
                    <w:textAlignment w:val="center"/>
                    <w:rPr>
                      <w:color w:val="auto"/>
                      <w:szCs w:val="21"/>
                      <w:highlight w:val="none"/>
                    </w:rPr>
                  </w:pPr>
                  <w:r>
                    <w:rPr>
                      <w:rStyle w:val="138"/>
                      <w:color w:val="auto"/>
                      <w:sz w:val="21"/>
                      <w:szCs w:val="21"/>
                      <w:highlight w:val="none"/>
                    </w:rPr>
                    <w:t>90%</w:t>
                  </w:r>
                  <w:r>
                    <w:rPr>
                      <w:rFonts w:hint="eastAsia" w:ascii="宋体" w:hAnsi="宋体" w:cs="宋体"/>
                      <w:color w:val="auto"/>
                      <w:kern w:val="0"/>
                      <w:szCs w:val="21"/>
                      <w:highlight w:val="none"/>
                    </w:rPr>
                    <w:t>保证率</w:t>
                  </w:r>
                  <w:r>
                    <w:rPr>
                      <w:rStyle w:val="138"/>
                      <w:color w:val="auto"/>
                      <w:sz w:val="21"/>
                      <w:szCs w:val="21"/>
                      <w:highlight w:val="none"/>
                    </w:rPr>
                    <w:t>8</w:t>
                  </w:r>
                  <w:r>
                    <w:rPr>
                      <w:rFonts w:hint="eastAsia" w:ascii="宋体" w:hAnsi="宋体" w:cs="宋体"/>
                      <w:color w:val="auto"/>
                      <w:kern w:val="0"/>
                      <w:szCs w:val="21"/>
                      <w:highlight w:val="none"/>
                    </w:rPr>
                    <w:t>小时平均质量浓度</w:t>
                  </w:r>
                </w:p>
              </w:tc>
              <w:tc>
                <w:tcPr>
                  <w:tcW w:w="1110" w:type="dxa"/>
                  <w:vAlign w:val="center"/>
                </w:tcPr>
                <w:p>
                  <w:pPr>
                    <w:widowControl/>
                    <w:jc w:val="center"/>
                    <w:textAlignment w:val="center"/>
                    <w:rPr>
                      <w:color w:val="auto"/>
                      <w:szCs w:val="21"/>
                      <w:highlight w:val="none"/>
                    </w:rPr>
                  </w:pPr>
                  <w:r>
                    <w:rPr>
                      <w:color w:val="auto"/>
                      <w:kern w:val="0"/>
                      <w:szCs w:val="21"/>
                      <w:highlight w:val="none"/>
                    </w:rPr>
                    <w:t>122</w:t>
                  </w:r>
                </w:p>
              </w:tc>
              <w:tc>
                <w:tcPr>
                  <w:tcW w:w="960" w:type="dxa"/>
                  <w:vAlign w:val="center"/>
                </w:tcPr>
                <w:p>
                  <w:pPr>
                    <w:widowControl/>
                    <w:jc w:val="center"/>
                    <w:textAlignment w:val="center"/>
                    <w:rPr>
                      <w:color w:val="auto"/>
                      <w:szCs w:val="21"/>
                      <w:highlight w:val="none"/>
                    </w:rPr>
                  </w:pPr>
                  <w:r>
                    <w:rPr>
                      <w:color w:val="auto"/>
                      <w:kern w:val="0"/>
                      <w:szCs w:val="21"/>
                      <w:highlight w:val="none"/>
                    </w:rPr>
                    <w:t>160</w:t>
                  </w:r>
                </w:p>
              </w:tc>
              <w:tc>
                <w:tcPr>
                  <w:tcW w:w="876" w:type="dxa"/>
                  <w:vAlign w:val="center"/>
                </w:tcPr>
                <w:p>
                  <w:pPr>
                    <w:widowControl/>
                    <w:jc w:val="center"/>
                    <w:textAlignment w:val="center"/>
                    <w:rPr>
                      <w:color w:val="auto"/>
                      <w:szCs w:val="21"/>
                      <w:highlight w:val="none"/>
                    </w:rPr>
                  </w:pPr>
                  <w:r>
                    <w:rPr>
                      <w:color w:val="auto"/>
                      <w:kern w:val="0"/>
                      <w:szCs w:val="21"/>
                      <w:highlight w:val="none"/>
                    </w:rPr>
                    <w:t>76.25%</w:t>
                  </w:r>
                </w:p>
              </w:tc>
              <w:tc>
                <w:tcPr>
                  <w:tcW w:w="1110" w:type="dxa"/>
                  <w:vAlign w:val="center"/>
                </w:tcPr>
                <w:p>
                  <w:pPr>
                    <w:widowControl/>
                    <w:jc w:val="center"/>
                    <w:textAlignment w:val="center"/>
                    <w:rPr>
                      <w:color w:val="auto"/>
                      <w:szCs w:val="21"/>
                      <w:highlight w:val="none"/>
                    </w:rPr>
                  </w:pPr>
                  <w:r>
                    <w:rPr>
                      <w:rFonts w:hint="eastAsia" w:ascii="宋体" w:hAnsi="宋体" w:cs="宋体"/>
                      <w:color w:val="auto"/>
                      <w:kern w:val="0"/>
                      <w:szCs w:val="21"/>
                      <w:highlight w:val="none"/>
                    </w:rPr>
                    <w:t>达标</w:t>
                  </w:r>
                </w:p>
              </w:tc>
            </w:tr>
          </w:tbl>
          <w:p>
            <w:pPr>
              <w:snapToGrid w:val="0"/>
              <w:spacing w:line="360" w:lineRule="auto"/>
              <w:ind w:firstLine="480" w:firstLineChars="200"/>
              <w:rPr>
                <w:color w:val="auto"/>
                <w:sz w:val="24"/>
                <w:highlight w:val="none"/>
              </w:rPr>
            </w:pPr>
            <w:r>
              <w:rPr>
                <w:rFonts w:hint="eastAsia"/>
                <w:color w:val="auto"/>
                <w:sz w:val="24"/>
                <w:highlight w:val="none"/>
              </w:rPr>
              <w:t>从20</w:t>
            </w:r>
            <w:r>
              <w:rPr>
                <w:color w:val="auto"/>
                <w:sz w:val="24"/>
                <w:highlight w:val="none"/>
              </w:rPr>
              <w:t>2</w:t>
            </w:r>
            <w:r>
              <w:rPr>
                <w:rFonts w:hint="eastAsia"/>
                <w:color w:val="auto"/>
                <w:sz w:val="24"/>
                <w:highlight w:val="none"/>
              </w:rPr>
              <w:t>2年环境空气质量监测数据来看，按照《环境影响评价技术导则—大气环境》（HJ 2.2-2018）中各评价指标进行判定，洋县为达标区。</w:t>
            </w:r>
          </w:p>
          <w:p>
            <w:pPr>
              <w:adjustRightInd w:val="0"/>
              <w:snapToGrid w:val="0"/>
              <w:spacing w:line="360" w:lineRule="auto"/>
              <w:ind w:firstLine="482" w:firstLineChars="200"/>
              <w:rPr>
                <w:color w:val="auto"/>
                <w:sz w:val="24"/>
                <w:highlight w:val="none"/>
              </w:rPr>
            </w:pPr>
            <w:r>
              <w:rPr>
                <w:b/>
                <w:bCs/>
                <w:color w:val="auto"/>
                <w:sz w:val="24"/>
                <w:highlight w:val="none"/>
              </w:rPr>
              <w:t>2、</w:t>
            </w:r>
            <w:r>
              <w:rPr>
                <w:rFonts w:hint="eastAsia"/>
                <w:b/>
                <w:bCs/>
                <w:color w:val="auto"/>
                <w:sz w:val="24"/>
                <w:highlight w:val="none"/>
              </w:rPr>
              <w:t>特征</w:t>
            </w:r>
            <w:r>
              <w:rPr>
                <w:b/>
                <w:bCs/>
                <w:color w:val="auto"/>
                <w:sz w:val="24"/>
                <w:highlight w:val="none"/>
              </w:rPr>
              <w:t>污染物</w:t>
            </w:r>
          </w:p>
          <w:p>
            <w:pPr>
              <w:adjustRightInd w:val="0"/>
              <w:snapToGrid w:val="0"/>
              <w:spacing w:line="360" w:lineRule="auto"/>
              <w:ind w:firstLine="480" w:firstLineChars="200"/>
              <w:rPr>
                <w:color w:val="auto"/>
                <w:sz w:val="24"/>
                <w:highlight w:val="none"/>
              </w:rPr>
            </w:pPr>
            <w:r>
              <w:rPr>
                <w:color w:val="auto"/>
                <w:sz w:val="24"/>
                <w:highlight w:val="none"/>
              </w:rPr>
              <w:t>本项目</w:t>
            </w:r>
            <w:r>
              <w:rPr>
                <w:rFonts w:hint="eastAsia"/>
                <w:color w:val="auto"/>
                <w:sz w:val="24"/>
                <w:highlight w:val="none"/>
              </w:rPr>
              <w:t>运营期特征</w:t>
            </w:r>
            <w:r>
              <w:rPr>
                <w:color w:val="auto"/>
                <w:sz w:val="24"/>
                <w:highlight w:val="none"/>
              </w:rPr>
              <w:t>污染物为</w:t>
            </w:r>
            <w:r>
              <w:rPr>
                <w:rFonts w:hint="eastAsia"/>
                <w:color w:val="auto"/>
                <w:sz w:val="24"/>
                <w:highlight w:val="none"/>
              </w:rPr>
              <w:t>TSP</w:t>
            </w:r>
            <w:r>
              <w:rPr>
                <w:color w:val="auto"/>
                <w:sz w:val="24"/>
                <w:highlight w:val="none"/>
              </w:rPr>
              <w:t>，建设单位委托</w:t>
            </w:r>
            <w:r>
              <w:rPr>
                <w:rFonts w:hint="eastAsia"/>
                <w:color w:val="auto"/>
                <w:sz w:val="24"/>
                <w:highlight w:val="none"/>
              </w:rPr>
              <w:t>汉环集团陕西名鸿检测技术有限公司</w:t>
            </w:r>
            <w:r>
              <w:rPr>
                <w:color w:val="auto"/>
                <w:sz w:val="24"/>
                <w:highlight w:val="none"/>
              </w:rPr>
              <w:t>对</w:t>
            </w:r>
            <w:r>
              <w:rPr>
                <w:rFonts w:hint="eastAsia"/>
                <w:color w:val="auto"/>
                <w:sz w:val="24"/>
                <w:highlight w:val="none"/>
              </w:rPr>
              <w:t>大气环境质量现状</w:t>
            </w:r>
            <w:r>
              <w:rPr>
                <w:color w:val="auto"/>
                <w:sz w:val="24"/>
                <w:highlight w:val="none"/>
              </w:rPr>
              <w:t>进行了监</w:t>
            </w:r>
            <w:r>
              <w:rPr>
                <w:rFonts w:hint="eastAsia"/>
                <w:color w:val="auto"/>
                <w:sz w:val="24"/>
                <w:highlight w:val="none"/>
              </w:rPr>
              <w:t>测，监测时间为2023年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20</w:t>
            </w:r>
            <w:r>
              <w:rPr>
                <w:rFonts w:hint="eastAsia"/>
                <w:color w:val="auto"/>
                <w:sz w:val="24"/>
                <w:highlight w:val="none"/>
              </w:rPr>
              <w:t>日-</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22</w:t>
            </w:r>
            <w:r>
              <w:rPr>
                <w:rFonts w:hint="eastAsia"/>
                <w:color w:val="auto"/>
                <w:sz w:val="24"/>
                <w:highlight w:val="none"/>
              </w:rPr>
              <w:t>日，监测点位布点见附图5，</w:t>
            </w:r>
            <w:r>
              <w:rPr>
                <w:color w:val="auto"/>
                <w:sz w:val="24"/>
                <w:highlight w:val="none"/>
              </w:rPr>
              <w:t>结果如下：</w:t>
            </w:r>
          </w:p>
          <w:p>
            <w:pPr>
              <w:tabs>
                <w:tab w:val="left" w:leader="middleDot" w:pos="8399"/>
              </w:tabs>
              <w:ind w:firstLine="422"/>
              <w:jc w:val="center"/>
              <w:rPr>
                <w:b/>
                <w:bCs/>
                <w:color w:val="auto"/>
                <w:highlight w:val="none"/>
              </w:rPr>
            </w:pPr>
            <w:r>
              <w:rPr>
                <w:b/>
                <w:bCs/>
                <w:color w:val="auto"/>
                <w:highlight w:val="none"/>
              </w:rPr>
              <w:t>表</w:t>
            </w:r>
            <w:r>
              <w:rPr>
                <w:rFonts w:hint="eastAsia"/>
                <w:b/>
                <w:bCs/>
                <w:color w:val="auto"/>
                <w:highlight w:val="none"/>
              </w:rPr>
              <w:t>3-2</w:t>
            </w:r>
            <w:r>
              <w:rPr>
                <w:b/>
                <w:bCs/>
                <w:color w:val="auto"/>
                <w:highlight w:val="none"/>
              </w:rPr>
              <w:t xml:space="preserve">  </w:t>
            </w:r>
            <w:r>
              <w:rPr>
                <w:rFonts w:hint="eastAsia"/>
                <w:b/>
                <w:bCs/>
                <w:color w:val="auto"/>
                <w:highlight w:val="none"/>
              </w:rPr>
              <w:t>其他污染物补充监测点位基本信息表</w:t>
            </w:r>
          </w:p>
          <w:tbl>
            <w:tblPr>
              <w:tblStyle w:val="34"/>
              <w:tblW w:w="806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237"/>
              <w:gridCol w:w="1164"/>
              <w:gridCol w:w="886"/>
              <w:gridCol w:w="1514"/>
              <w:gridCol w:w="1076"/>
              <w:gridCol w:w="109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096" w:type="dxa"/>
                  <w:vMerge w:val="restart"/>
                  <w:tcBorders>
                    <w:tl2br w:val="nil"/>
                    <w:tr2bl w:val="nil"/>
                  </w:tcBorders>
                  <w:vAlign w:val="center"/>
                </w:tcPr>
                <w:p>
                  <w:pPr>
                    <w:pStyle w:val="10"/>
                    <w:ind w:firstLine="0"/>
                    <w:jc w:val="center"/>
                    <w:rPr>
                      <w:b/>
                      <w:bCs w:val="0"/>
                      <w:color w:val="auto"/>
                      <w:sz w:val="21"/>
                      <w:szCs w:val="21"/>
                      <w:highlight w:val="none"/>
                    </w:rPr>
                  </w:pPr>
                  <w:r>
                    <w:rPr>
                      <w:rFonts w:hint="eastAsia"/>
                      <w:b/>
                      <w:bCs w:val="0"/>
                      <w:color w:val="auto"/>
                      <w:sz w:val="21"/>
                      <w:szCs w:val="21"/>
                      <w:highlight w:val="none"/>
                    </w:rPr>
                    <w:t>监测点</w:t>
                  </w:r>
                </w:p>
                <w:p>
                  <w:pPr>
                    <w:pStyle w:val="10"/>
                    <w:ind w:firstLine="0"/>
                    <w:jc w:val="center"/>
                    <w:rPr>
                      <w:b/>
                      <w:bCs w:val="0"/>
                      <w:color w:val="auto"/>
                      <w:sz w:val="21"/>
                      <w:szCs w:val="21"/>
                      <w:highlight w:val="none"/>
                    </w:rPr>
                  </w:pPr>
                  <w:r>
                    <w:rPr>
                      <w:rFonts w:hint="eastAsia"/>
                      <w:b/>
                      <w:bCs w:val="0"/>
                      <w:color w:val="auto"/>
                      <w:sz w:val="21"/>
                      <w:szCs w:val="21"/>
                      <w:highlight w:val="none"/>
                    </w:rPr>
                    <w:t>名称</w:t>
                  </w:r>
                </w:p>
              </w:tc>
              <w:tc>
                <w:tcPr>
                  <w:tcW w:w="2401" w:type="dxa"/>
                  <w:gridSpan w:val="2"/>
                  <w:tcBorders>
                    <w:tl2br w:val="nil"/>
                    <w:tr2bl w:val="nil"/>
                  </w:tcBorders>
                  <w:vAlign w:val="center"/>
                </w:tcPr>
                <w:p>
                  <w:pPr>
                    <w:pStyle w:val="10"/>
                    <w:ind w:firstLine="0"/>
                    <w:jc w:val="center"/>
                    <w:rPr>
                      <w:b/>
                      <w:bCs w:val="0"/>
                      <w:color w:val="auto"/>
                      <w:sz w:val="21"/>
                      <w:szCs w:val="21"/>
                      <w:highlight w:val="none"/>
                    </w:rPr>
                  </w:pPr>
                  <w:r>
                    <w:rPr>
                      <w:rFonts w:hint="eastAsia"/>
                      <w:b/>
                      <w:bCs w:val="0"/>
                      <w:color w:val="auto"/>
                      <w:sz w:val="21"/>
                      <w:szCs w:val="21"/>
                      <w:highlight w:val="none"/>
                    </w:rPr>
                    <w:t>监测点坐标/m</w:t>
                  </w:r>
                </w:p>
              </w:tc>
              <w:tc>
                <w:tcPr>
                  <w:tcW w:w="886" w:type="dxa"/>
                  <w:vMerge w:val="restart"/>
                  <w:tcBorders>
                    <w:tl2br w:val="nil"/>
                    <w:tr2bl w:val="nil"/>
                  </w:tcBorders>
                  <w:vAlign w:val="center"/>
                </w:tcPr>
                <w:p>
                  <w:pPr>
                    <w:pStyle w:val="10"/>
                    <w:ind w:firstLine="0"/>
                    <w:jc w:val="center"/>
                    <w:rPr>
                      <w:b/>
                      <w:bCs w:val="0"/>
                      <w:color w:val="auto"/>
                      <w:sz w:val="21"/>
                      <w:szCs w:val="21"/>
                      <w:highlight w:val="none"/>
                    </w:rPr>
                  </w:pPr>
                  <w:r>
                    <w:rPr>
                      <w:rFonts w:hint="eastAsia"/>
                      <w:b/>
                      <w:bCs w:val="0"/>
                      <w:color w:val="auto"/>
                      <w:sz w:val="21"/>
                      <w:szCs w:val="21"/>
                      <w:highlight w:val="none"/>
                    </w:rPr>
                    <w:t>监测</w:t>
                  </w:r>
                </w:p>
                <w:p>
                  <w:pPr>
                    <w:pStyle w:val="10"/>
                    <w:ind w:firstLine="0"/>
                    <w:jc w:val="center"/>
                    <w:rPr>
                      <w:b/>
                      <w:bCs w:val="0"/>
                      <w:color w:val="auto"/>
                      <w:sz w:val="21"/>
                      <w:szCs w:val="21"/>
                      <w:highlight w:val="none"/>
                    </w:rPr>
                  </w:pPr>
                  <w:r>
                    <w:rPr>
                      <w:rFonts w:hint="eastAsia"/>
                      <w:b/>
                      <w:bCs w:val="0"/>
                      <w:color w:val="auto"/>
                      <w:sz w:val="21"/>
                      <w:szCs w:val="21"/>
                      <w:highlight w:val="none"/>
                    </w:rPr>
                    <w:t>因子</w:t>
                  </w:r>
                </w:p>
              </w:tc>
              <w:tc>
                <w:tcPr>
                  <w:tcW w:w="1514" w:type="dxa"/>
                  <w:vMerge w:val="restart"/>
                  <w:tcBorders>
                    <w:tl2br w:val="nil"/>
                    <w:tr2bl w:val="nil"/>
                  </w:tcBorders>
                  <w:vAlign w:val="center"/>
                </w:tcPr>
                <w:p>
                  <w:pPr>
                    <w:pStyle w:val="10"/>
                    <w:ind w:firstLine="0"/>
                    <w:jc w:val="center"/>
                    <w:rPr>
                      <w:b/>
                      <w:bCs w:val="0"/>
                      <w:color w:val="auto"/>
                      <w:sz w:val="21"/>
                      <w:szCs w:val="21"/>
                      <w:highlight w:val="none"/>
                    </w:rPr>
                  </w:pPr>
                  <w:r>
                    <w:rPr>
                      <w:rFonts w:hint="eastAsia"/>
                      <w:b/>
                      <w:bCs w:val="0"/>
                      <w:color w:val="auto"/>
                      <w:sz w:val="21"/>
                      <w:szCs w:val="21"/>
                      <w:highlight w:val="none"/>
                    </w:rPr>
                    <w:t>监测时段</w:t>
                  </w:r>
                </w:p>
              </w:tc>
              <w:tc>
                <w:tcPr>
                  <w:tcW w:w="1076" w:type="dxa"/>
                  <w:vMerge w:val="restart"/>
                  <w:tcBorders>
                    <w:tl2br w:val="nil"/>
                    <w:tr2bl w:val="nil"/>
                  </w:tcBorders>
                  <w:vAlign w:val="center"/>
                </w:tcPr>
                <w:p>
                  <w:pPr>
                    <w:pStyle w:val="10"/>
                    <w:ind w:firstLine="0"/>
                    <w:jc w:val="center"/>
                    <w:rPr>
                      <w:b/>
                      <w:bCs w:val="0"/>
                      <w:color w:val="auto"/>
                      <w:sz w:val="21"/>
                      <w:szCs w:val="21"/>
                      <w:highlight w:val="none"/>
                    </w:rPr>
                  </w:pPr>
                  <w:r>
                    <w:rPr>
                      <w:rFonts w:hint="eastAsia"/>
                      <w:b/>
                      <w:bCs w:val="0"/>
                      <w:color w:val="auto"/>
                      <w:sz w:val="21"/>
                      <w:szCs w:val="21"/>
                      <w:highlight w:val="none"/>
                    </w:rPr>
                    <w:t>相对厂址的方位</w:t>
                  </w:r>
                </w:p>
              </w:tc>
              <w:tc>
                <w:tcPr>
                  <w:tcW w:w="1095" w:type="dxa"/>
                  <w:vMerge w:val="restart"/>
                  <w:tcBorders>
                    <w:tl2br w:val="nil"/>
                    <w:tr2bl w:val="nil"/>
                  </w:tcBorders>
                  <w:vAlign w:val="center"/>
                </w:tcPr>
                <w:p>
                  <w:pPr>
                    <w:pStyle w:val="10"/>
                    <w:ind w:firstLine="0"/>
                    <w:jc w:val="center"/>
                    <w:rPr>
                      <w:b/>
                      <w:bCs w:val="0"/>
                      <w:color w:val="auto"/>
                      <w:sz w:val="21"/>
                      <w:szCs w:val="21"/>
                      <w:highlight w:val="none"/>
                    </w:rPr>
                  </w:pPr>
                  <w:r>
                    <w:rPr>
                      <w:rFonts w:hint="eastAsia"/>
                      <w:b/>
                      <w:bCs w:val="0"/>
                      <w:color w:val="auto"/>
                      <w:sz w:val="21"/>
                      <w:szCs w:val="21"/>
                      <w:highlight w:val="none"/>
                    </w:rPr>
                    <w:t>相对厂界距离/m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096" w:type="dxa"/>
                  <w:vMerge w:val="continue"/>
                  <w:tcBorders>
                    <w:tl2br w:val="nil"/>
                    <w:tr2bl w:val="nil"/>
                  </w:tcBorders>
                  <w:vAlign w:val="center"/>
                </w:tcPr>
                <w:p>
                  <w:pPr>
                    <w:pStyle w:val="10"/>
                    <w:ind w:firstLine="0"/>
                    <w:jc w:val="center"/>
                    <w:rPr>
                      <w:color w:val="auto"/>
                      <w:highlight w:val="none"/>
                    </w:rPr>
                  </w:pPr>
                </w:p>
              </w:tc>
              <w:tc>
                <w:tcPr>
                  <w:tcW w:w="1237" w:type="dxa"/>
                  <w:tcBorders>
                    <w:tl2br w:val="nil"/>
                    <w:tr2bl w:val="nil"/>
                  </w:tcBorders>
                  <w:vAlign w:val="center"/>
                </w:tcPr>
                <w:p>
                  <w:pPr>
                    <w:pStyle w:val="10"/>
                    <w:ind w:firstLine="0"/>
                    <w:jc w:val="center"/>
                    <w:rPr>
                      <w:b/>
                      <w:bCs w:val="0"/>
                      <w:color w:val="auto"/>
                      <w:sz w:val="21"/>
                      <w:szCs w:val="21"/>
                      <w:highlight w:val="none"/>
                    </w:rPr>
                  </w:pPr>
                  <w:r>
                    <w:rPr>
                      <w:rFonts w:hint="eastAsia"/>
                      <w:b/>
                      <w:bCs w:val="0"/>
                      <w:color w:val="auto"/>
                      <w:sz w:val="21"/>
                      <w:szCs w:val="21"/>
                      <w:highlight w:val="none"/>
                    </w:rPr>
                    <w:t>X</w:t>
                  </w:r>
                </w:p>
              </w:tc>
              <w:tc>
                <w:tcPr>
                  <w:tcW w:w="1164" w:type="dxa"/>
                  <w:tcBorders>
                    <w:tl2br w:val="nil"/>
                    <w:tr2bl w:val="nil"/>
                  </w:tcBorders>
                  <w:vAlign w:val="center"/>
                </w:tcPr>
                <w:p>
                  <w:pPr>
                    <w:pStyle w:val="10"/>
                    <w:ind w:firstLine="0"/>
                    <w:jc w:val="center"/>
                    <w:rPr>
                      <w:b/>
                      <w:bCs w:val="0"/>
                      <w:color w:val="auto"/>
                      <w:sz w:val="21"/>
                      <w:szCs w:val="21"/>
                      <w:highlight w:val="none"/>
                    </w:rPr>
                  </w:pPr>
                  <w:r>
                    <w:rPr>
                      <w:rFonts w:hint="eastAsia"/>
                      <w:b/>
                      <w:bCs w:val="0"/>
                      <w:color w:val="auto"/>
                      <w:sz w:val="21"/>
                      <w:szCs w:val="21"/>
                      <w:highlight w:val="none"/>
                    </w:rPr>
                    <w:t>Y</w:t>
                  </w:r>
                </w:p>
              </w:tc>
              <w:tc>
                <w:tcPr>
                  <w:tcW w:w="886" w:type="dxa"/>
                  <w:vMerge w:val="continue"/>
                  <w:tcBorders>
                    <w:tl2br w:val="nil"/>
                    <w:tr2bl w:val="nil"/>
                  </w:tcBorders>
                  <w:vAlign w:val="center"/>
                </w:tcPr>
                <w:p>
                  <w:pPr>
                    <w:pStyle w:val="10"/>
                    <w:ind w:firstLine="0"/>
                    <w:jc w:val="center"/>
                    <w:rPr>
                      <w:color w:val="auto"/>
                      <w:highlight w:val="none"/>
                    </w:rPr>
                  </w:pPr>
                </w:p>
              </w:tc>
              <w:tc>
                <w:tcPr>
                  <w:tcW w:w="1514" w:type="dxa"/>
                  <w:vMerge w:val="continue"/>
                  <w:tcBorders>
                    <w:tl2br w:val="nil"/>
                    <w:tr2bl w:val="nil"/>
                  </w:tcBorders>
                  <w:vAlign w:val="center"/>
                </w:tcPr>
                <w:p>
                  <w:pPr>
                    <w:pStyle w:val="10"/>
                    <w:ind w:firstLine="0"/>
                    <w:jc w:val="center"/>
                    <w:rPr>
                      <w:color w:val="auto"/>
                      <w:highlight w:val="none"/>
                    </w:rPr>
                  </w:pPr>
                </w:p>
              </w:tc>
              <w:tc>
                <w:tcPr>
                  <w:tcW w:w="1076" w:type="dxa"/>
                  <w:vMerge w:val="continue"/>
                  <w:tcBorders>
                    <w:tl2br w:val="nil"/>
                    <w:tr2bl w:val="nil"/>
                  </w:tcBorders>
                  <w:vAlign w:val="center"/>
                </w:tcPr>
                <w:p>
                  <w:pPr>
                    <w:pStyle w:val="10"/>
                    <w:ind w:firstLine="0"/>
                    <w:jc w:val="center"/>
                    <w:rPr>
                      <w:color w:val="auto"/>
                      <w:highlight w:val="none"/>
                    </w:rPr>
                  </w:pPr>
                </w:p>
              </w:tc>
              <w:tc>
                <w:tcPr>
                  <w:tcW w:w="1095" w:type="dxa"/>
                  <w:vMerge w:val="continue"/>
                  <w:tcBorders>
                    <w:tl2br w:val="nil"/>
                    <w:tr2bl w:val="nil"/>
                  </w:tcBorders>
                  <w:vAlign w:val="center"/>
                </w:tcPr>
                <w:p>
                  <w:pPr>
                    <w:pStyle w:val="10"/>
                    <w:ind w:firstLine="0"/>
                    <w:jc w:val="center"/>
                    <w:rPr>
                      <w:color w:val="auto"/>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096" w:type="dxa"/>
                  <w:tcBorders>
                    <w:tl2br w:val="nil"/>
                    <w:tr2bl w:val="nil"/>
                  </w:tcBorders>
                  <w:vAlign w:val="center"/>
                </w:tcPr>
                <w:p>
                  <w:pPr>
                    <w:adjustRightInd w:val="0"/>
                    <w:snapToGrid w:val="0"/>
                    <w:jc w:val="center"/>
                    <w:rPr>
                      <w:color w:val="auto"/>
                      <w:highlight w:val="none"/>
                    </w:rPr>
                  </w:pPr>
                  <w:r>
                    <w:rPr>
                      <w:color w:val="auto"/>
                      <w:highlight w:val="none"/>
                    </w:rPr>
                    <w:t>1#项目地下风向</w:t>
                  </w:r>
                </w:p>
              </w:tc>
              <w:tc>
                <w:tcPr>
                  <w:tcW w:w="1237" w:type="dxa"/>
                  <w:tcBorders>
                    <w:tl2br w:val="nil"/>
                    <w:tr2bl w:val="nil"/>
                  </w:tcBorders>
                  <w:vAlign w:val="center"/>
                </w:tcPr>
                <w:p>
                  <w:pPr>
                    <w:jc w:val="center"/>
                    <w:rPr>
                      <w:rFonts w:hint="default" w:eastAsia="宋体"/>
                      <w:color w:val="auto"/>
                      <w:highlight w:val="none"/>
                      <w:lang w:val="en-US" w:eastAsia="zh-CN"/>
                    </w:rPr>
                  </w:pPr>
                  <w:r>
                    <w:rPr>
                      <w:rFonts w:hint="eastAsia"/>
                      <w:color w:val="auto"/>
                      <w:highlight w:val="none"/>
                      <w:lang w:val="en-US" w:eastAsia="zh-CN"/>
                    </w:rPr>
                    <w:t>734476</w:t>
                  </w:r>
                </w:p>
              </w:tc>
              <w:tc>
                <w:tcPr>
                  <w:tcW w:w="1164" w:type="dxa"/>
                  <w:tcBorders>
                    <w:tl2br w:val="nil"/>
                    <w:tr2bl w:val="nil"/>
                  </w:tcBorders>
                  <w:vAlign w:val="center"/>
                </w:tcPr>
                <w:p>
                  <w:pPr>
                    <w:jc w:val="center"/>
                    <w:rPr>
                      <w:rFonts w:hint="default" w:eastAsia="宋体"/>
                      <w:color w:val="auto"/>
                      <w:highlight w:val="none"/>
                      <w:lang w:val="en-US" w:eastAsia="zh-CN"/>
                    </w:rPr>
                  </w:pPr>
                  <w:r>
                    <w:rPr>
                      <w:rFonts w:hint="eastAsia"/>
                      <w:color w:val="auto"/>
                      <w:highlight w:val="none"/>
                      <w:lang w:val="en-US" w:eastAsia="zh-CN"/>
                    </w:rPr>
                    <w:t>3674123</w:t>
                  </w:r>
                </w:p>
              </w:tc>
              <w:tc>
                <w:tcPr>
                  <w:tcW w:w="886" w:type="dxa"/>
                  <w:tcBorders>
                    <w:tl2br w:val="nil"/>
                    <w:tr2bl w:val="nil"/>
                  </w:tcBorders>
                  <w:vAlign w:val="center"/>
                </w:tcPr>
                <w:p>
                  <w:pPr>
                    <w:pStyle w:val="10"/>
                    <w:ind w:firstLine="0"/>
                    <w:jc w:val="center"/>
                    <w:rPr>
                      <w:bCs w:val="0"/>
                      <w:color w:val="auto"/>
                      <w:sz w:val="21"/>
                      <w:szCs w:val="24"/>
                      <w:highlight w:val="none"/>
                    </w:rPr>
                  </w:pPr>
                  <w:r>
                    <w:rPr>
                      <w:rFonts w:hint="eastAsia"/>
                      <w:bCs w:val="0"/>
                      <w:color w:val="auto"/>
                      <w:sz w:val="21"/>
                      <w:szCs w:val="24"/>
                      <w:highlight w:val="none"/>
                    </w:rPr>
                    <w:t>TSP</w:t>
                  </w:r>
                </w:p>
              </w:tc>
              <w:tc>
                <w:tcPr>
                  <w:tcW w:w="1514" w:type="dxa"/>
                  <w:tcBorders>
                    <w:tl2br w:val="nil"/>
                    <w:tr2bl w:val="nil"/>
                  </w:tcBorders>
                  <w:vAlign w:val="center"/>
                </w:tcPr>
                <w:p>
                  <w:pPr>
                    <w:pStyle w:val="10"/>
                    <w:ind w:firstLine="0"/>
                    <w:jc w:val="center"/>
                    <w:rPr>
                      <w:rFonts w:hint="default" w:eastAsia="宋体"/>
                      <w:bCs w:val="0"/>
                      <w:color w:val="auto"/>
                      <w:sz w:val="21"/>
                      <w:szCs w:val="24"/>
                      <w:highlight w:val="none"/>
                      <w:lang w:val="en-US" w:eastAsia="zh-CN"/>
                    </w:rPr>
                  </w:pPr>
                  <w:r>
                    <w:rPr>
                      <w:rFonts w:hint="eastAsia"/>
                      <w:bCs w:val="0"/>
                      <w:color w:val="auto"/>
                      <w:sz w:val="21"/>
                      <w:szCs w:val="24"/>
                      <w:highlight w:val="none"/>
                    </w:rPr>
                    <w:t>2023.</w:t>
                  </w:r>
                  <w:r>
                    <w:rPr>
                      <w:rFonts w:hint="eastAsia"/>
                      <w:bCs w:val="0"/>
                      <w:color w:val="auto"/>
                      <w:sz w:val="21"/>
                      <w:szCs w:val="24"/>
                      <w:highlight w:val="none"/>
                      <w:lang w:val="en-US" w:eastAsia="zh-CN"/>
                    </w:rPr>
                    <w:t>12</w:t>
                  </w:r>
                  <w:r>
                    <w:rPr>
                      <w:rFonts w:hint="eastAsia"/>
                      <w:bCs w:val="0"/>
                      <w:color w:val="auto"/>
                      <w:sz w:val="21"/>
                      <w:szCs w:val="24"/>
                      <w:highlight w:val="none"/>
                    </w:rPr>
                    <w:t>.</w:t>
                  </w:r>
                  <w:r>
                    <w:rPr>
                      <w:rFonts w:hint="eastAsia"/>
                      <w:bCs w:val="0"/>
                      <w:color w:val="auto"/>
                      <w:sz w:val="21"/>
                      <w:szCs w:val="24"/>
                      <w:highlight w:val="none"/>
                      <w:lang w:val="en-US" w:eastAsia="zh-CN"/>
                    </w:rPr>
                    <w:t>20</w:t>
                  </w:r>
                  <w:r>
                    <w:rPr>
                      <w:rFonts w:hint="eastAsia"/>
                      <w:bCs w:val="0"/>
                      <w:color w:val="auto"/>
                      <w:sz w:val="21"/>
                      <w:szCs w:val="24"/>
                      <w:highlight w:val="none"/>
                    </w:rPr>
                    <w:t>-</w:t>
                  </w:r>
                  <w:r>
                    <w:rPr>
                      <w:rFonts w:hint="eastAsia"/>
                      <w:bCs w:val="0"/>
                      <w:color w:val="auto"/>
                      <w:sz w:val="21"/>
                      <w:szCs w:val="24"/>
                      <w:highlight w:val="none"/>
                      <w:lang w:val="en-US" w:eastAsia="zh-CN"/>
                    </w:rPr>
                    <w:t>12</w:t>
                  </w:r>
                  <w:r>
                    <w:rPr>
                      <w:rFonts w:hint="eastAsia"/>
                      <w:bCs w:val="0"/>
                      <w:color w:val="auto"/>
                      <w:sz w:val="21"/>
                      <w:szCs w:val="24"/>
                      <w:highlight w:val="none"/>
                    </w:rPr>
                    <w:t>.</w:t>
                  </w:r>
                  <w:r>
                    <w:rPr>
                      <w:rFonts w:hint="eastAsia"/>
                      <w:bCs w:val="0"/>
                      <w:color w:val="auto"/>
                      <w:sz w:val="21"/>
                      <w:szCs w:val="24"/>
                      <w:highlight w:val="none"/>
                      <w:lang w:val="en-US" w:eastAsia="zh-CN"/>
                    </w:rPr>
                    <w:t>22</w:t>
                  </w:r>
                </w:p>
              </w:tc>
              <w:tc>
                <w:tcPr>
                  <w:tcW w:w="1076" w:type="dxa"/>
                  <w:tcBorders>
                    <w:tl2br w:val="nil"/>
                    <w:tr2bl w:val="nil"/>
                  </w:tcBorders>
                  <w:vAlign w:val="center"/>
                </w:tcPr>
                <w:p>
                  <w:pPr>
                    <w:pStyle w:val="10"/>
                    <w:ind w:firstLine="0"/>
                    <w:jc w:val="center"/>
                    <w:rPr>
                      <w:bCs w:val="0"/>
                      <w:color w:val="auto"/>
                      <w:sz w:val="21"/>
                      <w:szCs w:val="24"/>
                      <w:highlight w:val="none"/>
                    </w:rPr>
                  </w:pPr>
                  <w:r>
                    <w:rPr>
                      <w:rFonts w:hint="eastAsia"/>
                      <w:bCs w:val="0"/>
                      <w:color w:val="auto"/>
                      <w:sz w:val="21"/>
                      <w:szCs w:val="21"/>
                      <w:highlight w:val="none"/>
                      <w:lang w:eastAsia="zh-CN"/>
                    </w:rPr>
                    <w:t>西</w:t>
                  </w:r>
                  <w:r>
                    <w:rPr>
                      <w:color w:val="auto"/>
                      <w:sz w:val="21"/>
                      <w:szCs w:val="21"/>
                      <w:highlight w:val="none"/>
                    </w:rPr>
                    <w:t>侧</w:t>
                  </w:r>
                </w:p>
              </w:tc>
              <w:tc>
                <w:tcPr>
                  <w:tcW w:w="1095" w:type="dxa"/>
                  <w:tcBorders>
                    <w:tl2br w:val="nil"/>
                    <w:tr2bl w:val="nil"/>
                  </w:tcBorders>
                  <w:vAlign w:val="center"/>
                </w:tcPr>
                <w:p>
                  <w:pPr>
                    <w:pStyle w:val="10"/>
                    <w:ind w:firstLine="0"/>
                    <w:jc w:val="center"/>
                    <w:rPr>
                      <w:rFonts w:hint="default" w:eastAsia="宋体"/>
                      <w:bCs w:val="0"/>
                      <w:color w:val="auto"/>
                      <w:sz w:val="21"/>
                      <w:szCs w:val="24"/>
                      <w:highlight w:val="none"/>
                      <w:lang w:val="en-US" w:eastAsia="zh-CN"/>
                    </w:rPr>
                  </w:pPr>
                  <w:r>
                    <w:rPr>
                      <w:rFonts w:hint="eastAsia"/>
                      <w:bCs w:val="0"/>
                      <w:color w:val="auto"/>
                      <w:sz w:val="21"/>
                      <w:szCs w:val="24"/>
                      <w:highlight w:val="none"/>
                      <w:lang w:val="en-US" w:eastAsia="zh-CN"/>
                    </w:rPr>
                    <w:t>600</w:t>
                  </w:r>
                </w:p>
              </w:tc>
            </w:tr>
          </w:tbl>
          <w:p>
            <w:pPr>
              <w:tabs>
                <w:tab w:val="left" w:leader="middleDot" w:pos="8399"/>
              </w:tabs>
              <w:jc w:val="center"/>
              <w:rPr>
                <w:b/>
                <w:bCs/>
                <w:color w:val="auto"/>
                <w:highlight w:val="none"/>
              </w:rPr>
            </w:pPr>
          </w:p>
          <w:p>
            <w:pPr>
              <w:tabs>
                <w:tab w:val="left" w:leader="middleDot" w:pos="8399"/>
              </w:tabs>
              <w:jc w:val="center"/>
              <w:rPr>
                <w:b/>
                <w:bCs/>
                <w:color w:val="auto"/>
                <w:highlight w:val="none"/>
              </w:rPr>
            </w:pPr>
            <w:r>
              <w:rPr>
                <w:b/>
                <w:bCs/>
                <w:color w:val="auto"/>
                <w:highlight w:val="none"/>
              </w:rPr>
              <w:t>表</w:t>
            </w:r>
            <w:r>
              <w:rPr>
                <w:rFonts w:hint="eastAsia"/>
                <w:b/>
                <w:bCs/>
                <w:color w:val="auto"/>
                <w:highlight w:val="none"/>
              </w:rPr>
              <w:t>3-3</w:t>
            </w:r>
            <w:r>
              <w:rPr>
                <w:b/>
                <w:bCs/>
                <w:color w:val="auto"/>
                <w:highlight w:val="none"/>
              </w:rPr>
              <w:t xml:space="preserve">  区域环境TSP现状监测结果</w:t>
            </w:r>
          </w:p>
          <w:tbl>
            <w:tblPr>
              <w:tblStyle w:val="34"/>
              <w:tblW w:w="8094"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865"/>
              <w:gridCol w:w="670"/>
              <w:gridCol w:w="1293"/>
              <w:gridCol w:w="1474"/>
              <w:gridCol w:w="1217"/>
              <w:gridCol w:w="722"/>
              <w:gridCol w:w="75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97" w:type="dxa"/>
                  <w:tcBorders>
                    <w:tl2br w:val="nil"/>
                    <w:tr2bl w:val="nil"/>
                  </w:tcBorders>
                  <w:vAlign w:val="center"/>
                </w:tcPr>
                <w:p>
                  <w:pPr>
                    <w:pStyle w:val="10"/>
                    <w:ind w:firstLine="0"/>
                    <w:jc w:val="center"/>
                    <w:rPr>
                      <w:b/>
                      <w:color w:val="auto"/>
                      <w:sz w:val="21"/>
                      <w:szCs w:val="21"/>
                      <w:highlight w:val="none"/>
                    </w:rPr>
                  </w:pPr>
                  <w:r>
                    <w:rPr>
                      <w:b/>
                      <w:color w:val="auto"/>
                      <w:sz w:val="21"/>
                      <w:szCs w:val="21"/>
                      <w:highlight w:val="none"/>
                    </w:rPr>
                    <w:t>监测点</w:t>
                  </w:r>
                </w:p>
              </w:tc>
              <w:tc>
                <w:tcPr>
                  <w:tcW w:w="865" w:type="dxa"/>
                  <w:tcBorders>
                    <w:tl2br w:val="nil"/>
                    <w:tr2bl w:val="nil"/>
                  </w:tcBorders>
                  <w:vAlign w:val="center"/>
                </w:tcPr>
                <w:p>
                  <w:pPr>
                    <w:pStyle w:val="10"/>
                    <w:ind w:firstLine="0"/>
                    <w:jc w:val="center"/>
                    <w:rPr>
                      <w:b/>
                      <w:color w:val="auto"/>
                      <w:sz w:val="21"/>
                      <w:szCs w:val="21"/>
                      <w:highlight w:val="none"/>
                    </w:rPr>
                  </w:pPr>
                  <w:r>
                    <w:rPr>
                      <w:b/>
                      <w:color w:val="auto"/>
                      <w:sz w:val="21"/>
                      <w:szCs w:val="21"/>
                      <w:highlight w:val="none"/>
                    </w:rPr>
                    <w:t>污染物</w:t>
                  </w:r>
                </w:p>
              </w:tc>
              <w:tc>
                <w:tcPr>
                  <w:tcW w:w="670" w:type="dxa"/>
                  <w:tcBorders>
                    <w:tl2br w:val="nil"/>
                    <w:tr2bl w:val="nil"/>
                  </w:tcBorders>
                  <w:vAlign w:val="center"/>
                </w:tcPr>
                <w:p>
                  <w:pPr>
                    <w:pStyle w:val="10"/>
                    <w:ind w:firstLine="0"/>
                    <w:jc w:val="center"/>
                    <w:rPr>
                      <w:b/>
                      <w:color w:val="auto"/>
                      <w:sz w:val="21"/>
                      <w:szCs w:val="21"/>
                      <w:highlight w:val="none"/>
                    </w:rPr>
                  </w:pPr>
                  <w:r>
                    <w:rPr>
                      <w:b/>
                      <w:color w:val="auto"/>
                      <w:sz w:val="21"/>
                      <w:szCs w:val="21"/>
                      <w:highlight w:val="none"/>
                    </w:rPr>
                    <w:t>平均时间</w:t>
                  </w:r>
                </w:p>
              </w:tc>
              <w:tc>
                <w:tcPr>
                  <w:tcW w:w="1293" w:type="dxa"/>
                  <w:tcBorders>
                    <w:tl2br w:val="nil"/>
                    <w:tr2bl w:val="nil"/>
                  </w:tcBorders>
                  <w:vAlign w:val="center"/>
                </w:tcPr>
                <w:p>
                  <w:pPr>
                    <w:pStyle w:val="10"/>
                    <w:ind w:firstLine="0"/>
                    <w:jc w:val="center"/>
                    <w:rPr>
                      <w:b/>
                      <w:color w:val="auto"/>
                      <w:sz w:val="21"/>
                      <w:szCs w:val="21"/>
                      <w:highlight w:val="none"/>
                    </w:rPr>
                  </w:pPr>
                  <w:r>
                    <w:rPr>
                      <w:b/>
                      <w:color w:val="auto"/>
                      <w:sz w:val="21"/>
                      <w:szCs w:val="21"/>
                      <w:highlight w:val="none"/>
                    </w:rPr>
                    <w:t>评价标准（mg/m</w:t>
                  </w:r>
                  <w:r>
                    <w:rPr>
                      <w:b/>
                      <w:color w:val="auto"/>
                      <w:sz w:val="21"/>
                      <w:szCs w:val="21"/>
                      <w:highlight w:val="none"/>
                      <w:vertAlign w:val="superscript"/>
                    </w:rPr>
                    <w:t>3</w:t>
                  </w:r>
                  <w:r>
                    <w:rPr>
                      <w:b/>
                      <w:color w:val="auto"/>
                      <w:sz w:val="21"/>
                      <w:szCs w:val="21"/>
                      <w:highlight w:val="none"/>
                    </w:rPr>
                    <w:t>）</w:t>
                  </w:r>
                </w:p>
              </w:tc>
              <w:tc>
                <w:tcPr>
                  <w:tcW w:w="1474" w:type="dxa"/>
                  <w:tcBorders>
                    <w:tl2br w:val="nil"/>
                    <w:tr2bl w:val="nil"/>
                  </w:tcBorders>
                  <w:vAlign w:val="center"/>
                </w:tcPr>
                <w:p>
                  <w:pPr>
                    <w:pStyle w:val="10"/>
                    <w:ind w:firstLine="0"/>
                    <w:jc w:val="center"/>
                    <w:rPr>
                      <w:b/>
                      <w:color w:val="auto"/>
                      <w:sz w:val="21"/>
                      <w:szCs w:val="21"/>
                      <w:highlight w:val="none"/>
                    </w:rPr>
                  </w:pPr>
                  <w:r>
                    <w:rPr>
                      <w:b/>
                      <w:color w:val="auto"/>
                      <w:sz w:val="21"/>
                      <w:szCs w:val="21"/>
                      <w:highlight w:val="none"/>
                    </w:rPr>
                    <w:t>监测浓度范围（mg/m</w:t>
                  </w:r>
                  <w:r>
                    <w:rPr>
                      <w:b/>
                      <w:color w:val="auto"/>
                      <w:sz w:val="21"/>
                      <w:szCs w:val="21"/>
                      <w:highlight w:val="none"/>
                      <w:vertAlign w:val="superscript"/>
                    </w:rPr>
                    <w:t>3</w:t>
                  </w:r>
                  <w:r>
                    <w:rPr>
                      <w:b/>
                      <w:color w:val="auto"/>
                      <w:sz w:val="21"/>
                      <w:szCs w:val="21"/>
                      <w:highlight w:val="none"/>
                    </w:rPr>
                    <w:t>）</w:t>
                  </w:r>
                </w:p>
              </w:tc>
              <w:tc>
                <w:tcPr>
                  <w:tcW w:w="1217" w:type="dxa"/>
                  <w:tcBorders>
                    <w:tl2br w:val="nil"/>
                    <w:tr2bl w:val="nil"/>
                  </w:tcBorders>
                  <w:vAlign w:val="center"/>
                </w:tcPr>
                <w:p>
                  <w:pPr>
                    <w:pStyle w:val="10"/>
                    <w:ind w:firstLine="0"/>
                    <w:jc w:val="center"/>
                    <w:rPr>
                      <w:b/>
                      <w:color w:val="auto"/>
                      <w:sz w:val="21"/>
                      <w:szCs w:val="21"/>
                      <w:highlight w:val="none"/>
                    </w:rPr>
                  </w:pPr>
                  <w:r>
                    <w:rPr>
                      <w:b/>
                      <w:color w:val="auto"/>
                      <w:sz w:val="21"/>
                      <w:szCs w:val="21"/>
                      <w:highlight w:val="none"/>
                    </w:rPr>
                    <w:t>最大浓度占标率/%</w:t>
                  </w:r>
                </w:p>
              </w:tc>
              <w:tc>
                <w:tcPr>
                  <w:tcW w:w="722" w:type="dxa"/>
                  <w:tcBorders>
                    <w:tl2br w:val="nil"/>
                    <w:tr2bl w:val="nil"/>
                  </w:tcBorders>
                  <w:vAlign w:val="center"/>
                </w:tcPr>
                <w:p>
                  <w:pPr>
                    <w:pStyle w:val="10"/>
                    <w:ind w:firstLine="0"/>
                    <w:jc w:val="center"/>
                    <w:rPr>
                      <w:b/>
                      <w:color w:val="auto"/>
                      <w:sz w:val="21"/>
                      <w:szCs w:val="21"/>
                      <w:highlight w:val="none"/>
                    </w:rPr>
                  </w:pPr>
                  <w:r>
                    <w:rPr>
                      <w:b/>
                      <w:color w:val="auto"/>
                      <w:sz w:val="21"/>
                      <w:szCs w:val="21"/>
                      <w:highlight w:val="none"/>
                    </w:rPr>
                    <w:t>超标率/%</w:t>
                  </w:r>
                </w:p>
              </w:tc>
              <w:tc>
                <w:tcPr>
                  <w:tcW w:w="756" w:type="dxa"/>
                  <w:tcBorders>
                    <w:tl2br w:val="nil"/>
                    <w:tr2bl w:val="nil"/>
                  </w:tcBorders>
                  <w:vAlign w:val="center"/>
                </w:tcPr>
                <w:p>
                  <w:pPr>
                    <w:pStyle w:val="10"/>
                    <w:ind w:firstLine="0"/>
                    <w:jc w:val="center"/>
                    <w:rPr>
                      <w:b/>
                      <w:color w:val="auto"/>
                      <w:sz w:val="21"/>
                      <w:szCs w:val="21"/>
                      <w:highlight w:val="none"/>
                    </w:rPr>
                  </w:pPr>
                  <w:r>
                    <w:rPr>
                      <w:b/>
                      <w:color w:val="auto"/>
                      <w:sz w:val="21"/>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97" w:type="dxa"/>
                  <w:tcBorders>
                    <w:tl2br w:val="nil"/>
                    <w:tr2bl w:val="nil"/>
                  </w:tcBorders>
                  <w:vAlign w:val="center"/>
                </w:tcPr>
                <w:p>
                  <w:pPr>
                    <w:adjustRightInd w:val="0"/>
                    <w:snapToGrid w:val="0"/>
                    <w:jc w:val="center"/>
                    <w:rPr>
                      <w:color w:val="auto"/>
                      <w:highlight w:val="none"/>
                    </w:rPr>
                  </w:pPr>
                  <w:r>
                    <w:rPr>
                      <w:color w:val="auto"/>
                      <w:highlight w:val="none"/>
                    </w:rPr>
                    <w:t>1#项目地下风向</w:t>
                  </w:r>
                </w:p>
              </w:tc>
              <w:tc>
                <w:tcPr>
                  <w:tcW w:w="865" w:type="dxa"/>
                  <w:tcBorders>
                    <w:tl2br w:val="nil"/>
                    <w:tr2bl w:val="nil"/>
                  </w:tcBorders>
                  <w:vAlign w:val="center"/>
                </w:tcPr>
                <w:p>
                  <w:pPr>
                    <w:pStyle w:val="124"/>
                    <w:rPr>
                      <w:rFonts w:ascii="Times New Roman" w:hAnsi="Times New Roman" w:eastAsia="宋体"/>
                      <w:color w:val="auto"/>
                      <w:kern w:val="2"/>
                      <w:sz w:val="21"/>
                      <w:szCs w:val="24"/>
                      <w:highlight w:val="none"/>
                    </w:rPr>
                  </w:pPr>
                  <w:r>
                    <w:rPr>
                      <w:rFonts w:ascii="Times New Roman" w:hAnsi="Times New Roman" w:eastAsia="宋体"/>
                      <w:color w:val="auto"/>
                      <w:kern w:val="2"/>
                      <w:sz w:val="21"/>
                      <w:szCs w:val="24"/>
                      <w:highlight w:val="none"/>
                    </w:rPr>
                    <w:t>TSP</w:t>
                  </w:r>
                </w:p>
              </w:tc>
              <w:tc>
                <w:tcPr>
                  <w:tcW w:w="670" w:type="dxa"/>
                  <w:tcBorders>
                    <w:tl2br w:val="nil"/>
                    <w:tr2bl w:val="nil"/>
                  </w:tcBorders>
                  <w:vAlign w:val="center"/>
                </w:tcPr>
                <w:p>
                  <w:pPr>
                    <w:jc w:val="center"/>
                    <w:rPr>
                      <w:color w:val="auto"/>
                      <w:highlight w:val="none"/>
                    </w:rPr>
                  </w:pPr>
                  <w:r>
                    <w:rPr>
                      <w:color w:val="auto"/>
                      <w:highlight w:val="none"/>
                    </w:rPr>
                    <w:t>24h</w:t>
                  </w:r>
                </w:p>
              </w:tc>
              <w:tc>
                <w:tcPr>
                  <w:tcW w:w="1293" w:type="dxa"/>
                  <w:tcBorders>
                    <w:tl2br w:val="nil"/>
                    <w:tr2bl w:val="nil"/>
                  </w:tcBorders>
                  <w:vAlign w:val="center"/>
                </w:tcPr>
                <w:p>
                  <w:pPr>
                    <w:pStyle w:val="10"/>
                    <w:ind w:firstLine="0"/>
                    <w:jc w:val="center"/>
                    <w:rPr>
                      <w:color w:val="auto"/>
                      <w:sz w:val="21"/>
                      <w:szCs w:val="24"/>
                      <w:highlight w:val="none"/>
                    </w:rPr>
                  </w:pPr>
                  <w:r>
                    <w:rPr>
                      <w:color w:val="auto"/>
                      <w:sz w:val="21"/>
                      <w:szCs w:val="24"/>
                      <w:highlight w:val="none"/>
                    </w:rPr>
                    <w:t>0.3</w:t>
                  </w:r>
                </w:p>
              </w:tc>
              <w:tc>
                <w:tcPr>
                  <w:tcW w:w="1474" w:type="dxa"/>
                  <w:tcBorders>
                    <w:tl2br w:val="nil"/>
                    <w:tr2bl w:val="nil"/>
                  </w:tcBorders>
                  <w:vAlign w:val="center"/>
                </w:tcPr>
                <w:p>
                  <w:pPr>
                    <w:pStyle w:val="10"/>
                    <w:ind w:firstLine="0"/>
                    <w:jc w:val="center"/>
                    <w:rPr>
                      <w:rFonts w:hint="default" w:eastAsia="宋体"/>
                      <w:color w:val="auto"/>
                      <w:sz w:val="21"/>
                      <w:szCs w:val="24"/>
                      <w:highlight w:val="none"/>
                      <w:lang w:val="en-US" w:eastAsia="zh-CN"/>
                    </w:rPr>
                  </w:pPr>
                  <w:r>
                    <w:rPr>
                      <w:color w:val="auto"/>
                      <w:sz w:val="21"/>
                      <w:szCs w:val="24"/>
                      <w:highlight w:val="none"/>
                    </w:rPr>
                    <w:t>0.1</w:t>
                  </w:r>
                  <w:r>
                    <w:rPr>
                      <w:rFonts w:hint="eastAsia"/>
                      <w:color w:val="auto"/>
                      <w:sz w:val="21"/>
                      <w:szCs w:val="24"/>
                      <w:highlight w:val="none"/>
                      <w:lang w:val="en-US" w:eastAsia="zh-CN"/>
                    </w:rPr>
                    <w:t>36</w:t>
                  </w:r>
                  <w:r>
                    <w:rPr>
                      <w:rFonts w:hint="eastAsia"/>
                      <w:color w:val="auto"/>
                      <w:sz w:val="21"/>
                      <w:szCs w:val="24"/>
                      <w:highlight w:val="none"/>
                    </w:rPr>
                    <w:t>~0.</w:t>
                  </w:r>
                  <w:r>
                    <w:rPr>
                      <w:rFonts w:hint="eastAsia"/>
                      <w:color w:val="auto"/>
                      <w:sz w:val="21"/>
                      <w:szCs w:val="24"/>
                      <w:highlight w:val="none"/>
                      <w:lang w:val="en-US" w:eastAsia="zh-CN"/>
                    </w:rPr>
                    <w:t>150</w:t>
                  </w:r>
                </w:p>
              </w:tc>
              <w:tc>
                <w:tcPr>
                  <w:tcW w:w="1217" w:type="dxa"/>
                  <w:tcBorders>
                    <w:tl2br w:val="nil"/>
                    <w:tr2bl w:val="nil"/>
                  </w:tcBorders>
                  <w:vAlign w:val="center"/>
                </w:tcPr>
                <w:p>
                  <w:pPr>
                    <w:pStyle w:val="10"/>
                    <w:ind w:firstLine="0"/>
                    <w:jc w:val="center"/>
                    <w:rPr>
                      <w:rFonts w:hint="default" w:eastAsia="宋体"/>
                      <w:color w:val="auto"/>
                      <w:sz w:val="21"/>
                      <w:szCs w:val="24"/>
                      <w:highlight w:val="none"/>
                      <w:lang w:val="en-US" w:eastAsia="zh-CN"/>
                    </w:rPr>
                  </w:pPr>
                  <w:r>
                    <w:rPr>
                      <w:rFonts w:hint="eastAsia"/>
                      <w:color w:val="auto"/>
                      <w:sz w:val="21"/>
                      <w:szCs w:val="24"/>
                      <w:highlight w:val="none"/>
                      <w:lang w:val="en-US" w:eastAsia="zh-CN"/>
                    </w:rPr>
                    <w:t>50</w:t>
                  </w:r>
                </w:p>
              </w:tc>
              <w:tc>
                <w:tcPr>
                  <w:tcW w:w="722" w:type="dxa"/>
                  <w:tcBorders>
                    <w:tl2br w:val="nil"/>
                    <w:tr2bl w:val="nil"/>
                  </w:tcBorders>
                  <w:vAlign w:val="center"/>
                </w:tcPr>
                <w:p>
                  <w:pPr>
                    <w:pStyle w:val="10"/>
                    <w:ind w:firstLine="0"/>
                    <w:jc w:val="center"/>
                    <w:rPr>
                      <w:color w:val="auto"/>
                      <w:sz w:val="21"/>
                      <w:szCs w:val="24"/>
                      <w:highlight w:val="none"/>
                    </w:rPr>
                  </w:pPr>
                  <w:r>
                    <w:rPr>
                      <w:rFonts w:hint="eastAsia"/>
                      <w:color w:val="auto"/>
                      <w:sz w:val="21"/>
                      <w:szCs w:val="24"/>
                      <w:highlight w:val="none"/>
                    </w:rPr>
                    <w:t>0</w:t>
                  </w:r>
                </w:p>
              </w:tc>
              <w:tc>
                <w:tcPr>
                  <w:tcW w:w="756" w:type="dxa"/>
                  <w:tcBorders>
                    <w:tl2br w:val="nil"/>
                    <w:tr2bl w:val="nil"/>
                  </w:tcBorders>
                  <w:vAlign w:val="center"/>
                </w:tcPr>
                <w:p>
                  <w:pPr>
                    <w:pStyle w:val="10"/>
                    <w:ind w:firstLine="0"/>
                    <w:jc w:val="center"/>
                    <w:rPr>
                      <w:color w:val="auto"/>
                      <w:sz w:val="21"/>
                      <w:szCs w:val="24"/>
                      <w:highlight w:val="none"/>
                    </w:rPr>
                  </w:pPr>
                  <w:r>
                    <w:rPr>
                      <w:rFonts w:hint="eastAsia"/>
                      <w:color w:val="auto"/>
                      <w:sz w:val="21"/>
                      <w:szCs w:val="24"/>
                      <w:highlight w:val="none"/>
                    </w:rPr>
                    <w:t>达标</w:t>
                  </w:r>
                </w:p>
              </w:tc>
            </w:tr>
          </w:tbl>
          <w:p>
            <w:pPr>
              <w:pStyle w:val="43"/>
              <w:rPr>
                <w:rFonts w:ascii="Times New Roman" w:hAnsi="Times New Roman"/>
                <w:color w:val="auto"/>
                <w:highlight w:val="none"/>
              </w:rPr>
            </w:pPr>
            <w:r>
              <w:rPr>
                <w:rFonts w:ascii="Times New Roman" w:hAnsi="Times New Roman"/>
                <w:color w:val="auto"/>
                <w:highlight w:val="none"/>
              </w:rPr>
              <w:t>根据监测结果可知，项目区域TSP浓度满足《环境空气质量标准》</w:t>
            </w:r>
            <w:r>
              <w:rPr>
                <w:rFonts w:hint="eastAsia" w:ascii="Times New Roman" w:hAnsi="Times New Roman"/>
                <w:color w:val="auto"/>
                <w:highlight w:val="none"/>
              </w:rPr>
              <w:t>（</w:t>
            </w:r>
            <w:r>
              <w:rPr>
                <w:rFonts w:ascii="Times New Roman" w:hAnsi="Times New Roman"/>
                <w:color w:val="auto"/>
                <w:highlight w:val="none"/>
              </w:rPr>
              <w:t>GB 3095­2012</w:t>
            </w:r>
            <w:r>
              <w:rPr>
                <w:rFonts w:hint="eastAsia" w:ascii="Times New Roman" w:hAnsi="Times New Roman"/>
                <w:color w:val="auto"/>
                <w:highlight w:val="none"/>
              </w:rPr>
              <w:t>）</w:t>
            </w:r>
            <w:r>
              <w:rPr>
                <w:rFonts w:ascii="Times New Roman" w:hAnsi="Times New Roman"/>
                <w:color w:val="auto"/>
                <w:highlight w:val="none"/>
              </w:rPr>
              <w:t>的二级标准限值要求。</w:t>
            </w:r>
          </w:p>
          <w:p>
            <w:pPr>
              <w:spacing w:line="360" w:lineRule="auto"/>
              <w:ind w:firstLine="482" w:firstLineChars="200"/>
              <w:rPr>
                <w:b/>
                <w:bCs/>
                <w:color w:val="auto"/>
                <w:sz w:val="24"/>
                <w:highlight w:val="none"/>
              </w:rPr>
            </w:pPr>
            <w:r>
              <w:rPr>
                <w:rFonts w:hint="eastAsia"/>
                <w:b/>
                <w:bCs/>
                <w:color w:val="auto"/>
                <w:sz w:val="24"/>
                <w:highlight w:val="none"/>
              </w:rPr>
              <w:t>（二）地表水环境质量现状</w:t>
            </w:r>
          </w:p>
          <w:p>
            <w:pPr>
              <w:spacing w:line="360" w:lineRule="auto"/>
              <w:ind w:firstLine="480" w:firstLineChars="200"/>
              <w:rPr>
                <w:color w:val="auto"/>
                <w:sz w:val="24"/>
                <w:highlight w:val="none"/>
              </w:rPr>
            </w:pPr>
            <w:r>
              <w:rPr>
                <w:rFonts w:hint="eastAsia"/>
                <w:color w:val="auto"/>
                <w:kern w:val="0"/>
                <w:sz w:val="24"/>
                <w:highlight w:val="none"/>
              </w:rPr>
              <w:t>项目所在区域主要地表水体为汉江，</w:t>
            </w:r>
            <w:r>
              <w:rPr>
                <w:color w:val="auto"/>
                <w:sz w:val="24"/>
                <w:highlight w:val="none"/>
              </w:rPr>
              <w:t>根据</w:t>
            </w:r>
            <w:r>
              <w:rPr>
                <w:rFonts w:hint="eastAsia"/>
                <w:color w:val="auto"/>
                <w:sz w:val="24"/>
                <w:highlight w:val="none"/>
              </w:rPr>
              <w:t>汉中市生态环境局</w:t>
            </w:r>
            <w:r>
              <w:rPr>
                <w:color w:val="auto"/>
                <w:sz w:val="24"/>
                <w:highlight w:val="none"/>
              </w:rPr>
              <w:t>202</w:t>
            </w:r>
            <w:r>
              <w:rPr>
                <w:rFonts w:hint="eastAsia"/>
                <w:color w:val="auto"/>
                <w:sz w:val="24"/>
                <w:highlight w:val="none"/>
              </w:rPr>
              <w:t>3</w:t>
            </w:r>
            <w:r>
              <w:rPr>
                <w:color w:val="auto"/>
                <w:sz w:val="24"/>
                <w:highlight w:val="none"/>
              </w:rPr>
              <w:t>年</w:t>
            </w:r>
            <w:r>
              <w:rPr>
                <w:rFonts w:hint="eastAsia"/>
                <w:color w:val="auto"/>
                <w:sz w:val="24"/>
                <w:highlight w:val="none"/>
              </w:rPr>
              <w:t>第6期</w:t>
            </w:r>
            <w:r>
              <w:rPr>
                <w:color w:val="auto"/>
                <w:sz w:val="24"/>
                <w:highlight w:val="none"/>
              </w:rPr>
              <w:t>环境质量通报可知，</w:t>
            </w:r>
            <w:r>
              <w:rPr>
                <w:rFonts w:hint="eastAsia"/>
                <w:color w:val="auto"/>
                <w:sz w:val="24"/>
                <w:highlight w:val="none"/>
              </w:rPr>
              <w:t>汉江蒙家渡监测</w:t>
            </w:r>
            <w:r>
              <w:rPr>
                <w:color w:val="auto"/>
                <w:sz w:val="24"/>
                <w:highlight w:val="none"/>
              </w:rPr>
              <w:t>断面处</w:t>
            </w:r>
            <w:r>
              <w:rPr>
                <w:rFonts w:hint="eastAsia"/>
                <w:color w:val="auto"/>
                <w:sz w:val="24"/>
                <w:highlight w:val="none"/>
              </w:rPr>
              <w:t>水质类别为</w:t>
            </w:r>
            <w:r>
              <w:rPr>
                <w:rFonts w:hint="eastAsia" w:ascii="宋体" w:hAnsi="宋体" w:cs="宋体"/>
                <w:color w:val="auto"/>
                <w:sz w:val="24"/>
                <w:highlight w:val="none"/>
              </w:rPr>
              <w:t>Ⅲ</w:t>
            </w:r>
            <w:r>
              <w:rPr>
                <w:rFonts w:hint="eastAsia"/>
                <w:color w:val="auto"/>
                <w:sz w:val="24"/>
                <w:highlight w:val="none"/>
              </w:rPr>
              <w:t>类</w:t>
            </w:r>
            <w:r>
              <w:rPr>
                <w:color w:val="auto"/>
                <w:sz w:val="24"/>
                <w:highlight w:val="none"/>
              </w:rPr>
              <w:t>，</w:t>
            </w:r>
            <w:r>
              <w:rPr>
                <w:rFonts w:hint="eastAsia"/>
                <w:color w:val="auto"/>
                <w:sz w:val="24"/>
                <w:highlight w:val="none"/>
              </w:rPr>
              <w:t>本项目</w:t>
            </w:r>
            <w:r>
              <w:rPr>
                <w:color w:val="auto"/>
                <w:sz w:val="24"/>
                <w:highlight w:val="none"/>
              </w:rPr>
              <w:t>位于</w:t>
            </w:r>
            <w:r>
              <w:rPr>
                <w:rFonts w:hint="eastAsia"/>
                <w:color w:val="auto"/>
                <w:sz w:val="24"/>
                <w:highlight w:val="none"/>
              </w:rPr>
              <w:t>蒙家渡</w:t>
            </w:r>
            <w:r>
              <w:rPr>
                <w:color w:val="auto"/>
                <w:sz w:val="24"/>
                <w:highlight w:val="none"/>
              </w:rPr>
              <w:t>监测断面</w:t>
            </w:r>
            <w:r>
              <w:rPr>
                <w:rFonts w:hint="eastAsia"/>
                <w:color w:val="auto"/>
                <w:sz w:val="24"/>
                <w:highlight w:val="none"/>
              </w:rPr>
              <w:t>上</w:t>
            </w:r>
            <w:r>
              <w:rPr>
                <w:color w:val="auto"/>
                <w:sz w:val="24"/>
                <w:highlight w:val="none"/>
              </w:rPr>
              <w:t>游</w:t>
            </w:r>
            <w:r>
              <w:rPr>
                <w:rFonts w:hint="eastAsia"/>
                <w:color w:val="auto"/>
                <w:sz w:val="24"/>
                <w:highlight w:val="none"/>
              </w:rPr>
              <w:t>约9.0km，</w:t>
            </w:r>
            <w:r>
              <w:rPr>
                <w:color w:val="auto"/>
                <w:sz w:val="24"/>
                <w:highlight w:val="none"/>
              </w:rPr>
              <w:t>通过类比分析，</w:t>
            </w:r>
            <w:r>
              <w:rPr>
                <w:rFonts w:hint="eastAsia"/>
                <w:color w:val="auto"/>
                <w:sz w:val="24"/>
                <w:highlight w:val="none"/>
              </w:rPr>
              <w:t>项目所在区域</w:t>
            </w:r>
            <w:r>
              <w:rPr>
                <w:color w:val="auto"/>
                <w:sz w:val="24"/>
                <w:highlight w:val="none"/>
              </w:rPr>
              <w:t>水质满足《地表水环境质量标准》（GB3838-2002）Ⅱ类水质要求。</w:t>
            </w:r>
          </w:p>
          <w:p>
            <w:pPr>
              <w:spacing w:line="360" w:lineRule="auto"/>
              <w:ind w:firstLine="482" w:firstLineChars="200"/>
              <w:rPr>
                <w:b/>
                <w:bCs/>
                <w:color w:val="auto"/>
                <w:sz w:val="24"/>
                <w:highlight w:val="none"/>
              </w:rPr>
            </w:pPr>
            <w:r>
              <w:rPr>
                <w:rFonts w:hint="eastAsia"/>
                <w:b/>
                <w:bCs/>
                <w:color w:val="auto"/>
                <w:sz w:val="24"/>
                <w:highlight w:val="none"/>
              </w:rPr>
              <w:t>（三）声环境质量现状</w:t>
            </w:r>
          </w:p>
          <w:p>
            <w:pPr>
              <w:adjustRightInd w:val="0"/>
              <w:snapToGrid w:val="0"/>
              <w:spacing w:line="360" w:lineRule="auto"/>
              <w:ind w:firstLine="480" w:firstLineChars="200"/>
              <w:rPr>
                <w:b/>
                <w:bCs/>
                <w:color w:val="auto"/>
                <w:highlight w:val="none"/>
              </w:rPr>
            </w:pPr>
            <w:r>
              <w:rPr>
                <w:color w:val="auto"/>
                <w:sz w:val="24"/>
                <w:highlight w:val="none"/>
              </w:rPr>
              <w:t>根据现场踏勘，本项目厂界周边50m范围内有住户分布，为掌握区域声环境质量现状，建设单位委托</w:t>
            </w:r>
            <w:r>
              <w:rPr>
                <w:rFonts w:hint="eastAsia"/>
                <w:color w:val="auto"/>
                <w:sz w:val="24"/>
                <w:highlight w:val="none"/>
              </w:rPr>
              <w:t>汉环集团陕西名鸿检测技术有限公司</w:t>
            </w:r>
            <w:r>
              <w:rPr>
                <w:color w:val="auto"/>
                <w:sz w:val="24"/>
                <w:highlight w:val="none"/>
              </w:rPr>
              <w:t>对区域声环境进行了监测，</w:t>
            </w:r>
            <w:r>
              <w:rPr>
                <w:rFonts w:hint="eastAsia"/>
                <w:color w:val="auto"/>
                <w:sz w:val="24"/>
                <w:highlight w:val="none"/>
              </w:rPr>
              <w:t>监测点位见附图5</w:t>
            </w:r>
            <w:r>
              <w:rPr>
                <w:color w:val="auto"/>
                <w:sz w:val="24"/>
                <w:highlight w:val="none"/>
              </w:rPr>
              <w:t>，监测结果如下：</w:t>
            </w:r>
          </w:p>
          <w:p>
            <w:pPr>
              <w:jc w:val="center"/>
              <w:rPr>
                <w:b/>
                <w:bCs/>
                <w:color w:val="auto"/>
                <w:highlight w:val="none"/>
              </w:rPr>
            </w:pPr>
            <w:r>
              <w:rPr>
                <w:b/>
                <w:bCs/>
                <w:color w:val="auto"/>
                <w:highlight w:val="none"/>
              </w:rPr>
              <w:t>表3-4   噪声监测结果表      单位：dB(A)</w:t>
            </w:r>
          </w:p>
          <w:tbl>
            <w:tblPr>
              <w:tblStyle w:val="34"/>
              <w:tblW w:w="811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1987"/>
              <w:gridCol w:w="18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0" w:type="dxa"/>
                  <w:vMerge w:val="restart"/>
                  <w:vAlign w:val="center"/>
                </w:tcPr>
                <w:p>
                  <w:pPr>
                    <w:adjustRightInd w:val="0"/>
                    <w:snapToGrid w:val="0"/>
                    <w:jc w:val="center"/>
                    <w:rPr>
                      <w:color w:val="auto"/>
                      <w:highlight w:val="none"/>
                    </w:rPr>
                  </w:pPr>
                  <w:r>
                    <w:rPr>
                      <w:color w:val="auto"/>
                      <w:highlight w:val="none"/>
                    </w:rPr>
                    <w:t>监测点位</w:t>
                  </w:r>
                </w:p>
              </w:tc>
              <w:tc>
                <w:tcPr>
                  <w:tcW w:w="3872" w:type="dxa"/>
                  <w:gridSpan w:val="2"/>
                  <w:vAlign w:val="center"/>
                </w:tcPr>
                <w:p>
                  <w:pPr>
                    <w:adjustRightInd w:val="0"/>
                    <w:snapToGrid w:val="0"/>
                    <w:jc w:val="center"/>
                    <w:rPr>
                      <w:rFonts w:hint="default" w:eastAsia="宋体"/>
                      <w:color w:val="auto"/>
                      <w:highlight w:val="none"/>
                      <w:lang w:val="en-US" w:eastAsia="zh-CN"/>
                    </w:rPr>
                  </w:pPr>
                  <w:r>
                    <w:rPr>
                      <w:color w:val="auto"/>
                      <w:highlight w:val="none"/>
                    </w:rPr>
                    <w:t>202</w:t>
                  </w:r>
                  <w:r>
                    <w:rPr>
                      <w:rFonts w:hint="eastAsia"/>
                      <w:color w:val="auto"/>
                      <w:highlight w:val="none"/>
                    </w:rPr>
                    <w:t>3</w:t>
                  </w:r>
                  <w:r>
                    <w:rPr>
                      <w:color w:val="auto"/>
                      <w:highlight w:val="none"/>
                    </w:rPr>
                    <w:t>.</w:t>
                  </w:r>
                  <w:r>
                    <w:rPr>
                      <w:rFonts w:hint="eastAsia"/>
                      <w:color w:val="auto"/>
                      <w:highlight w:val="none"/>
                      <w:lang w:val="en-US" w:eastAsia="zh-CN"/>
                    </w:rPr>
                    <w:t>12</w:t>
                  </w:r>
                  <w:r>
                    <w:rPr>
                      <w:rFonts w:hint="eastAsia"/>
                      <w:color w:val="auto"/>
                      <w:highlight w:val="none"/>
                    </w:rPr>
                    <w:t>.</w:t>
                  </w:r>
                  <w:r>
                    <w:rPr>
                      <w:rFonts w:hint="eastAsia"/>
                      <w:color w:val="auto"/>
                      <w:highlight w:val="none"/>
                      <w:lang w:val="en-US" w:eastAsia="zh-CN"/>
                    </w:rPr>
                    <w:t>20-12.21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0" w:type="dxa"/>
                  <w:vMerge w:val="continue"/>
                  <w:vAlign w:val="center"/>
                </w:tcPr>
                <w:p>
                  <w:pPr>
                    <w:adjustRightInd w:val="0"/>
                    <w:snapToGrid w:val="0"/>
                    <w:jc w:val="center"/>
                    <w:rPr>
                      <w:color w:val="auto"/>
                      <w:highlight w:val="none"/>
                    </w:rPr>
                  </w:pPr>
                </w:p>
              </w:tc>
              <w:tc>
                <w:tcPr>
                  <w:tcW w:w="1987" w:type="dxa"/>
                  <w:vAlign w:val="center"/>
                </w:tcPr>
                <w:p>
                  <w:pPr>
                    <w:adjustRightInd w:val="0"/>
                    <w:snapToGrid w:val="0"/>
                    <w:jc w:val="center"/>
                    <w:rPr>
                      <w:color w:val="auto"/>
                      <w:highlight w:val="none"/>
                    </w:rPr>
                  </w:pPr>
                  <w:r>
                    <w:rPr>
                      <w:color w:val="auto"/>
                      <w:highlight w:val="none"/>
                    </w:rPr>
                    <w:t>昼间</w:t>
                  </w:r>
                </w:p>
              </w:tc>
              <w:tc>
                <w:tcPr>
                  <w:tcW w:w="1885" w:type="dxa"/>
                  <w:vAlign w:val="center"/>
                </w:tcPr>
                <w:p>
                  <w:pPr>
                    <w:adjustRightInd w:val="0"/>
                    <w:snapToGrid w:val="0"/>
                    <w:jc w:val="center"/>
                    <w:rPr>
                      <w:color w:val="auto"/>
                      <w:highlight w:val="none"/>
                    </w:rPr>
                  </w:pPr>
                  <w:r>
                    <w:rPr>
                      <w:color w:val="auto"/>
                      <w:highlight w:val="none"/>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0" w:type="dxa"/>
                  <w:vAlign w:val="center"/>
                </w:tcPr>
                <w:p>
                  <w:pPr>
                    <w:adjustRightInd w:val="0"/>
                    <w:snapToGrid w:val="0"/>
                    <w:jc w:val="center"/>
                    <w:rPr>
                      <w:color w:val="auto"/>
                      <w:highlight w:val="none"/>
                    </w:rPr>
                  </w:pPr>
                  <w:r>
                    <w:rPr>
                      <w:rFonts w:hint="eastAsia"/>
                      <w:color w:val="auto"/>
                      <w:highlight w:val="none"/>
                    </w:rPr>
                    <w:t>西侧住户</w:t>
                  </w:r>
                </w:p>
              </w:tc>
              <w:tc>
                <w:tcPr>
                  <w:tcW w:w="1987" w:type="dxa"/>
                  <w:vAlign w:val="center"/>
                </w:tcPr>
                <w:p>
                  <w:pPr>
                    <w:jc w:val="center"/>
                    <w:rPr>
                      <w:color w:val="auto"/>
                      <w:highlight w:val="none"/>
                    </w:rPr>
                  </w:pPr>
                  <w:r>
                    <w:rPr>
                      <w:rFonts w:hint="eastAsia" w:ascii="Times New Roman" w:hAnsi="Times New Roman" w:eastAsia="宋体" w:cs="Times New Roman"/>
                      <w:color w:val="auto"/>
                      <w:szCs w:val="21"/>
                      <w:highlight w:val="none"/>
                      <w:lang w:val="en-US" w:eastAsia="zh-CN"/>
                    </w:rPr>
                    <w:t>52</w:t>
                  </w:r>
                </w:p>
              </w:tc>
              <w:tc>
                <w:tcPr>
                  <w:tcW w:w="1885" w:type="dxa"/>
                  <w:vAlign w:val="center"/>
                </w:tcPr>
                <w:p>
                  <w:pPr>
                    <w:jc w:val="center"/>
                    <w:rPr>
                      <w:color w:val="auto"/>
                      <w:highlight w:val="none"/>
                    </w:rPr>
                  </w:pPr>
                  <w:r>
                    <w:rPr>
                      <w:rFonts w:hint="eastAsia" w:ascii="Times New Roman" w:hAnsi="Times New Roman" w:eastAsia="宋体" w:cs="Times New Roman"/>
                      <w:color w:val="auto"/>
                      <w:szCs w:val="21"/>
                      <w:highlight w:val="none"/>
                      <w:lang w:val="en-US" w:eastAsia="zh-CN"/>
                    </w:rPr>
                    <w:t>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0" w:type="dxa"/>
                  <w:vAlign w:val="center"/>
                </w:tcPr>
                <w:p>
                  <w:pPr>
                    <w:adjustRightInd w:val="0"/>
                    <w:snapToGrid w:val="0"/>
                    <w:jc w:val="center"/>
                    <w:rPr>
                      <w:color w:val="auto"/>
                      <w:highlight w:val="none"/>
                    </w:rPr>
                  </w:pPr>
                  <w:r>
                    <w:rPr>
                      <w:rFonts w:hint="eastAsia"/>
                      <w:color w:val="auto"/>
                      <w:highlight w:val="none"/>
                    </w:rPr>
                    <w:t>西南侧住户</w:t>
                  </w:r>
                </w:p>
              </w:tc>
              <w:tc>
                <w:tcPr>
                  <w:tcW w:w="1987" w:type="dxa"/>
                  <w:vAlign w:val="center"/>
                </w:tcPr>
                <w:p>
                  <w:pPr>
                    <w:jc w:val="center"/>
                    <w:rPr>
                      <w:color w:val="auto"/>
                      <w:highlight w:val="none"/>
                    </w:rPr>
                  </w:pPr>
                  <w:r>
                    <w:rPr>
                      <w:rFonts w:hint="eastAsia" w:ascii="Times New Roman" w:hAnsi="Times New Roman" w:eastAsia="宋体" w:cs="Times New Roman"/>
                      <w:color w:val="auto"/>
                      <w:szCs w:val="21"/>
                      <w:highlight w:val="none"/>
                      <w:lang w:val="en-US" w:eastAsia="zh-CN"/>
                    </w:rPr>
                    <w:t>54</w:t>
                  </w:r>
                </w:p>
              </w:tc>
              <w:tc>
                <w:tcPr>
                  <w:tcW w:w="1885" w:type="dxa"/>
                  <w:vAlign w:val="center"/>
                </w:tcPr>
                <w:p>
                  <w:pPr>
                    <w:jc w:val="center"/>
                    <w:rPr>
                      <w:color w:val="auto"/>
                      <w:highlight w:val="none"/>
                    </w:rPr>
                  </w:pPr>
                  <w:r>
                    <w:rPr>
                      <w:rFonts w:hint="eastAsia" w:ascii="Times New Roman" w:hAnsi="Times New Roman" w:eastAsia="宋体" w:cs="Times New Roman"/>
                      <w:color w:val="auto"/>
                      <w:szCs w:val="21"/>
                      <w:highlight w:val="none"/>
                      <w:lang w:val="en-US" w:eastAsia="zh-CN"/>
                    </w:rPr>
                    <w:t>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0" w:type="dxa"/>
                  <w:vAlign w:val="center"/>
                </w:tcPr>
                <w:p>
                  <w:pPr>
                    <w:adjustRightInd w:val="0"/>
                    <w:snapToGrid w:val="0"/>
                    <w:jc w:val="center"/>
                    <w:rPr>
                      <w:color w:val="auto"/>
                      <w:highlight w:val="none"/>
                    </w:rPr>
                  </w:pPr>
                  <w:r>
                    <w:rPr>
                      <w:color w:val="auto"/>
                      <w:highlight w:val="none"/>
                    </w:rPr>
                    <w:t>《声环境质量标准》（GB3096-2008）</w:t>
                  </w:r>
                </w:p>
                <w:p>
                  <w:pPr>
                    <w:adjustRightInd w:val="0"/>
                    <w:snapToGrid w:val="0"/>
                    <w:jc w:val="center"/>
                    <w:rPr>
                      <w:color w:val="auto"/>
                      <w:highlight w:val="none"/>
                    </w:rPr>
                  </w:pPr>
                  <w:r>
                    <w:rPr>
                      <w:rFonts w:hint="eastAsia"/>
                      <w:color w:val="auto"/>
                      <w:highlight w:val="none"/>
                    </w:rPr>
                    <w:t>2</w:t>
                  </w:r>
                  <w:r>
                    <w:rPr>
                      <w:color w:val="auto"/>
                      <w:highlight w:val="none"/>
                    </w:rPr>
                    <w:t>类功能区标准限值</w:t>
                  </w:r>
                </w:p>
              </w:tc>
              <w:tc>
                <w:tcPr>
                  <w:tcW w:w="3872" w:type="dxa"/>
                  <w:gridSpan w:val="2"/>
                  <w:vAlign w:val="center"/>
                </w:tcPr>
                <w:p>
                  <w:pPr>
                    <w:adjustRightInd w:val="0"/>
                    <w:snapToGrid w:val="0"/>
                    <w:jc w:val="center"/>
                    <w:rPr>
                      <w:color w:val="auto"/>
                      <w:highlight w:val="none"/>
                    </w:rPr>
                  </w:pPr>
                  <w:r>
                    <w:rPr>
                      <w:color w:val="auto"/>
                      <w:highlight w:val="none"/>
                    </w:rPr>
                    <w:t>昼间：6</w:t>
                  </w:r>
                  <w:r>
                    <w:rPr>
                      <w:rFonts w:hint="eastAsia"/>
                      <w:color w:val="auto"/>
                      <w:highlight w:val="none"/>
                    </w:rPr>
                    <w:t>0</w:t>
                  </w:r>
                  <w:r>
                    <w:rPr>
                      <w:color w:val="auto"/>
                      <w:highlight w:val="none"/>
                    </w:rPr>
                    <w:t>dB(A)</w:t>
                  </w:r>
                  <w:r>
                    <w:rPr>
                      <w:rFonts w:hint="eastAsia"/>
                      <w:color w:val="auto"/>
                      <w:highlight w:val="none"/>
                    </w:rPr>
                    <w:t>；</w:t>
                  </w:r>
                  <w:r>
                    <w:rPr>
                      <w:color w:val="auto"/>
                      <w:highlight w:val="none"/>
                    </w:rPr>
                    <w:t>夜间：5</w:t>
                  </w:r>
                  <w:r>
                    <w:rPr>
                      <w:rFonts w:hint="eastAsia"/>
                      <w:color w:val="auto"/>
                      <w:highlight w:val="none"/>
                    </w:rPr>
                    <w:t>0</w:t>
                  </w:r>
                  <w:r>
                    <w:rPr>
                      <w:color w:val="auto"/>
                      <w:highlight w:val="none"/>
                    </w:rPr>
                    <w:t>dB(A)</w:t>
                  </w:r>
                </w:p>
              </w:tc>
            </w:tr>
          </w:tbl>
          <w:p>
            <w:pPr>
              <w:adjustRightInd w:val="0"/>
              <w:snapToGrid w:val="0"/>
              <w:spacing w:line="360" w:lineRule="auto"/>
              <w:ind w:firstLine="480" w:firstLineChars="200"/>
              <w:rPr>
                <w:color w:val="auto"/>
                <w:sz w:val="24"/>
                <w:highlight w:val="none"/>
              </w:rPr>
            </w:pPr>
            <w:r>
              <w:rPr>
                <w:color w:val="auto"/>
                <w:sz w:val="24"/>
                <w:highlight w:val="none"/>
              </w:rPr>
              <w:t>由上表可知，项目</w:t>
            </w:r>
            <w:r>
              <w:rPr>
                <w:rFonts w:hint="eastAsia"/>
                <w:color w:val="auto"/>
                <w:sz w:val="24"/>
                <w:highlight w:val="none"/>
                <w:lang w:eastAsia="zh-CN"/>
              </w:rPr>
              <w:t>西侧及西南侧</w:t>
            </w:r>
            <w:r>
              <w:rPr>
                <w:color w:val="auto"/>
                <w:sz w:val="24"/>
                <w:highlight w:val="none"/>
              </w:rPr>
              <w:t>住户处的声环境质量均符合《声环境质量标准》（GB3096-2008）中</w:t>
            </w:r>
            <w:r>
              <w:rPr>
                <w:rFonts w:hint="eastAsia"/>
                <w:color w:val="auto"/>
                <w:sz w:val="24"/>
                <w:highlight w:val="none"/>
              </w:rPr>
              <w:t>2</w:t>
            </w:r>
            <w:r>
              <w:rPr>
                <w:color w:val="auto"/>
                <w:sz w:val="24"/>
                <w:highlight w:val="none"/>
              </w:rPr>
              <w:t>类标准要求。</w:t>
            </w:r>
          </w:p>
          <w:p>
            <w:pPr>
              <w:spacing w:line="360" w:lineRule="auto"/>
              <w:ind w:firstLine="482" w:firstLineChars="200"/>
              <w:rPr>
                <w:b/>
                <w:bCs/>
                <w:color w:val="auto"/>
                <w:sz w:val="24"/>
                <w:highlight w:val="none"/>
              </w:rPr>
            </w:pPr>
            <w:r>
              <w:rPr>
                <w:rFonts w:hint="eastAsia"/>
                <w:b/>
                <w:bCs/>
                <w:color w:val="auto"/>
                <w:sz w:val="24"/>
                <w:highlight w:val="none"/>
              </w:rPr>
              <w:t>（四）生态环境质量现状</w:t>
            </w:r>
          </w:p>
          <w:p>
            <w:pPr>
              <w:autoSpaceDE w:val="0"/>
              <w:autoSpaceDN w:val="0"/>
              <w:adjustRightInd w:val="0"/>
              <w:snapToGrid w:val="0"/>
              <w:spacing w:line="360" w:lineRule="auto"/>
              <w:ind w:firstLine="480" w:firstLineChars="200"/>
              <w:jc w:val="left"/>
              <w:rPr>
                <w:color w:val="auto"/>
                <w:highlight w:val="none"/>
              </w:rPr>
            </w:pPr>
            <w:r>
              <w:rPr>
                <w:rFonts w:hint="eastAsia"/>
                <w:color w:val="auto"/>
                <w:sz w:val="24"/>
                <w:highlight w:val="none"/>
              </w:rPr>
              <w:t>本项目位于产业园区外，</w:t>
            </w:r>
            <w:r>
              <w:rPr>
                <w:rFonts w:hint="eastAsia"/>
                <w:color w:val="auto"/>
                <w:sz w:val="24"/>
                <w:highlight w:val="none"/>
                <w:lang w:eastAsia="zh-CN"/>
              </w:rPr>
              <w:t>利用现有厂区闲置空地进行建设，无新增占地。现有厂区用地为建设用地，</w:t>
            </w:r>
            <w:r>
              <w:rPr>
                <w:rFonts w:hint="eastAsia"/>
                <w:color w:val="auto"/>
                <w:sz w:val="24"/>
                <w:highlight w:val="none"/>
              </w:rPr>
              <w:t>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678" w:type="dxa"/>
            <w:vAlign w:val="center"/>
          </w:tcPr>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hint="eastAsia"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环境</w:t>
            </w: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保护</w:t>
            </w:r>
          </w:p>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 w:val="24"/>
                <w:highlight w:val="none"/>
              </w:rPr>
              <w:t>目标</w:t>
            </w:r>
          </w:p>
          <w:p>
            <w:pPr>
              <w:adjustRightInd w:val="0"/>
              <w:snapToGrid w:val="0"/>
              <w:rPr>
                <w:rFonts w:ascii="宋体" w:hAnsi="宋体" w:cs="宋体"/>
                <w:color w:val="auto"/>
                <w:kern w:val="0"/>
                <w:szCs w:val="21"/>
                <w:highlight w:val="none"/>
              </w:rPr>
            </w:pPr>
          </w:p>
        </w:tc>
        <w:tc>
          <w:tcPr>
            <w:tcW w:w="8312" w:type="dxa"/>
          </w:tcPr>
          <w:p>
            <w:pPr>
              <w:adjustRightInd w:val="0"/>
              <w:snapToGrid w:val="0"/>
              <w:spacing w:line="360" w:lineRule="auto"/>
              <w:ind w:firstLine="482" w:firstLineChars="200"/>
              <w:jc w:val="left"/>
              <w:rPr>
                <w:color w:val="auto"/>
                <w:highlight w:val="none"/>
              </w:rPr>
            </w:pPr>
            <w:r>
              <w:rPr>
                <w:rFonts w:hint="eastAsia"/>
                <w:b/>
                <w:bCs/>
                <w:color w:val="auto"/>
                <w:sz w:val="24"/>
                <w:highlight w:val="none"/>
              </w:rPr>
              <w:t>一、大气环境保护目标：</w:t>
            </w:r>
          </w:p>
          <w:p>
            <w:pPr>
              <w:pStyle w:val="44"/>
              <w:spacing w:line="360" w:lineRule="auto"/>
              <w:rPr>
                <w:color w:val="auto"/>
                <w:highlight w:val="none"/>
              </w:rPr>
            </w:pPr>
            <w:r>
              <w:rPr>
                <w:rFonts w:hint="eastAsia"/>
                <w:color w:val="auto"/>
                <w:highlight w:val="none"/>
              </w:rPr>
              <w:t xml:space="preserve">    本项目位于原有厂区内，周边</w:t>
            </w:r>
            <w:r>
              <w:rPr>
                <w:rFonts w:hint="eastAsia" w:ascii="Times New Roman" w:hAnsi="Times New Roman" w:cs="Times New Roman"/>
                <w:color w:val="auto"/>
                <w:highlight w:val="none"/>
              </w:rPr>
              <w:t>500m</w:t>
            </w:r>
            <w:r>
              <w:rPr>
                <w:rFonts w:hint="eastAsia"/>
                <w:color w:val="auto"/>
                <w:highlight w:val="none"/>
              </w:rPr>
              <w:t>范围内无自然保护区、风景名胜区等敏感区，主要分布有冯杨村住户和杨家村住户，</w:t>
            </w:r>
            <w:r>
              <w:rPr>
                <w:color w:val="auto"/>
                <w:highlight w:val="none"/>
              </w:rPr>
              <w:t>项目外环境关系相对简单</w:t>
            </w:r>
            <w:r>
              <w:rPr>
                <w:rFonts w:hint="eastAsia"/>
                <w:color w:val="auto"/>
                <w:highlight w:val="none"/>
              </w:rPr>
              <w:t>，具体分布情况如下：</w:t>
            </w:r>
          </w:p>
          <w:p>
            <w:pPr>
              <w:adjustRightInd w:val="0"/>
              <w:snapToGrid w:val="0"/>
              <w:spacing w:line="360" w:lineRule="auto"/>
              <w:ind w:firstLine="480" w:firstLineChars="200"/>
              <w:rPr>
                <w:color w:val="auto"/>
                <w:sz w:val="24"/>
                <w:highlight w:val="none"/>
              </w:rPr>
            </w:pPr>
            <w:r>
              <w:rPr>
                <w:rFonts w:hint="eastAsia"/>
                <w:color w:val="auto"/>
                <w:sz w:val="24"/>
                <w:highlight w:val="none"/>
              </w:rPr>
              <w:t>北</w:t>
            </w:r>
            <w:r>
              <w:rPr>
                <w:color w:val="auto"/>
                <w:sz w:val="24"/>
                <w:highlight w:val="none"/>
              </w:rPr>
              <w:t>侧：</w:t>
            </w:r>
            <w:r>
              <w:rPr>
                <w:rFonts w:hint="eastAsia"/>
                <w:color w:val="auto"/>
                <w:sz w:val="24"/>
                <w:highlight w:val="none"/>
              </w:rPr>
              <w:t>现状为农田，无住户分布。</w:t>
            </w:r>
          </w:p>
          <w:p>
            <w:pPr>
              <w:adjustRightInd w:val="0"/>
              <w:snapToGrid w:val="0"/>
              <w:spacing w:line="360" w:lineRule="auto"/>
              <w:ind w:firstLine="480" w:firstLineChars="200"/>
              <w:rPr>
                <w:color w:val="auto"/>
                <w:sz w:val="24"/>
                <w:highlight w:val="none"/>
              </w:rPr>
            </w:pPr>
            <w:r>
              <w:rPr>
                <w:rFonts w:hint="eastAsia"/>
                <w:color w:val="auto"/>
                <w:sz w:val="24"/>
                <w:highlight w:val="none"/>
              </w:rPr>
              <w:t>东</w:t>
            </w:r>
            <w:r>
              <w:rPr>
                <w:color w:val="auto"/>
                <w:sz w:val="24"/>
                <w:highlight w:val="none"/>
              </w:rPr>
              <w:t>侧：</w:t>
            </w:r>
            <w:r>
              <w:rPr>
                <w:rFonts w:hint="eastAsia"/>
                <w:color w:val="auto"/>
                <w:sz w:val="24"/>
                <w:highlight w:val="none"/>
              </w:rPr>
              <w:t>厂界东南侧340m处为王家山住户（距扩建场地340m）。</w:t>
            </w:r>
          </w:p>
          <w:p>
            <w:pPr>
              <w:pStyle w:val="10"/>
              <w:spacing w:line="360" w:lineRule="auto"/>
              <w:ind w:firstLine="480" w:firstLineChars="200"/>
              <w:rPr>
                <w:color w:val="auto"/>
                <w:highlight w:val="none"/>
              </w:rPr>
            </w:pPr>
            <w:r>
              <w:rPr>
                <w:rFonts w:hint="eastAsia"/>
                <w:color w:val="auto"/>
                <w:highlight w:val="none"/>
              </w:rPr>
              <w:t>西侧：厂界西侧4m处为冯杨村住户（距扩建场地250m），西南侧30m处为冯杨村住户（距扩建场地200m）。</w:t>
            </w:r>
          </w:p>
          <w:p>
            <w:pPr>
              <w:pStyle w:val="10"/>
              <w:spacing w:line="360" w:lineRule="auto"/>
              <w:ind w:firstLine="480" w:firstLineChars="200"/>
              <w:rPr>
                <w:color w:val="auto"/>
                <w:highlight w:val="none"/>
              </w:rPr>
            </w:pPr>
            <w:r>
              <w:rPr>
                <w:rFonts w:hint="eastAsia"/>
                <w:color w:val="auto"/>
                <w:highlight w:val="none"/>
              </w:rPr>
              <w:t>南侧：厂界南侧220m处为王家山住户（距扩建场地220m）。</w:t>
            </w:r>
          </w:p>
          <w:p>
            <w:pPr>
              <w:pStyle w:val="10"/>
              <w:spacing w:line="360" w:lineRule="auto"/>
              <w:ind w:firstLine="480" w:firstLineChars="200"/>
              <w:rPr>
                <w:color w:val="auto"/>
                <w:highlight w:val="none"/>
              </w:rPr>
            </w:pPr>
            <w:r>
              <w:rPr>
                <w:rFonts w:hint="eastAsia"/>
                <w:color w:val="auto"/>
                <w:highlight w:val="none"/>
              </w:rPr>
              <w:t>综上，项目大气环境保护目标（附图6）见下表：</w:t>
            </w:r>
          </w:p>
          <w:p>
            <w:pPr>
              <w:adjustRightInd w:val="0"/>
              <w:snapToGrid w:val="0"/>
              <w:jc w:val="center"/>
              <w:rPr>
                <w:b/>
                <w:bCs/>
                <w:color w:val="auto"/>
                <w:kern w:val="0"/>
                <w:szCs w:val="21"/>
                <w:highlight w:val="none"/>
              </w:rPr>
            </w:pPr>
            <w:bookmarkStart w:id="2" w:name="_Ref287340937"/>
            <w:r>
              <w:rPr>
                <w:rFonts w:hint="eastAsia"/>
                <w:b/>
                <w:bCs/>
                <w:color w:val="auto"/>
                <w:kern w:val="0"/>
                <w:szCs w:val="21"/>
                <w:highlight w:val="none"/>
              </w:rPr>
              <w:t>表</w:t>
            </w:r>
            <w:bookmarkEnd w:id="2"/>
            <w:r>
              <w:rPr>
                <w:rFonts w:hint="eastAsia"/>
                <w:b/>
                <w:bCs/>
                <w:color w:val="auto"/>
                <w:kern w:val="0"/>
                <w:szCs w:val="21"/>
                <w:highlight w:val="none"/>
              </w:rPr>
              <w:t>3-5</w:t>
            </w:r>
            <w:r>
              <w:rPr>
                <w:b/>
                <w:bCs/>
                <w:color w:val="auto"/>
                <w:kern w:val="0"/>
                <w:szCs w:val="21"/>
                <w:highlight w:val="none"/>
              </w:rPr>
              <w:t xml:space="preserve">  项目环境保护目标一览表</w:t>
            </w:r>
          </w:p>
          <w:tbl>
            <w:tblPr>
              <w:tblStyle w:val="34"/>
              <w:tblW w:w="82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21"/>
              <w:gridCol w:w="876"/>
              <w:gridCol w:w="967"/>
              <w:gridCol w:w="1148"/>
              <w:gridCol w:w="761"/>
              <w:gridCol w:w="857"/>
              <w:gridCol w:w="760"/>
              <w:gridCol w:w="1213"/>
              <w:gridCol w:w="12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21" w:type="dxa"/>
                  <w:vMerge w:val="restart"/>
                  <w:tcBorders>
                    <w:tl2br w:val="nil"/>
                    <w:tr2bl w:val="nil"/>
                  </w:tcBorders>
                  <w:vAlign w:val="center"/>
                </w:tcPr>
                <w:p>
                  <w:pPr>
                    <w:widowControl/>
                    <w:jc w:val="center"/>
                    <w:rPr>
                      <w:color w:val="auto"/>
                      <w:highlight w:val="none"/>
                    </w:rPr>
                  </w:pPr>
                  <w:r>
                    <w:rPr>
                      <w:color w:val="auto"/>
                      <w:highlight w:val="none"/>
                    </w:rPr>
                    <w:t>名称</w:t>
                  </w:r>
                </w:p>
              </w:tc>
              <w:tc>
                <w:tcPr>
                  <w:tcW w:w="1843" w:type="dxa"/>
                  <w:gridSpan w:val="2"/>
                  <w:tcBorders>
                    <w:tl2br w:val="nil"/>
                    <w:tr2bl w:val="nil"/>
                  </w:tcBorders>
                  <w:vAlign w:val="center"/>
                </w:tcPr>
                <w:p>
                  <w:pPr>
                    <w:widowControl/>
                    <w:jc w:val="center"/>
                    <w:rPr>
                      <w:color w:val="auto"/>
                      <w:highlight w:val="none"/>
                    </w:rPr>
                  </w:pPr>
                  <w:r>
                    <w:rPr>
                      <w:rFonts w:hint="eastAsia"/>
                      <w:color w:val="auto"/>
                      <w:highlight w:val="none"/>
                    </w:rPr>
                    <w:t>坐标/m</w:t>
                  </w:r>
                </w:p>
              </w:tc>
              <w:tc>
                <w:tcPr>
                  <w:tcW w:w="1148" w:type="dxa"/>
                  <w:vMerge w:val="restart"/>
                  <w:tcBorders>
                    <w:tl2br w:val="nil"/>
                    <w:tr2bl w:val="nil"/>
                  </w:tcBorders>
                  <w:vAlign w:val="center"/>
                </w:tcPr>
                <w:p>
                  <w:pPr>
                    <w:widowControl/>
                    <w:jc w:val="center"/>
                    <w:rPr>
                      <w:color w:val="auto"/>
                      <w:highlight w:val="none"/>
                    </w:rPr>
                  </w:pPr>
                  <w:r>
                    <w:rPr>
                      <w:color w:val="auto"/>
                      <w:highlight w:val="none"/>
                    </w:rPr>
                    <w:t>保护对象</w:t>
                  </w:r>
                </w:p>
              </w:tc>
              <w:tc>
                <w:tcPr>
                  <w:tcW w:w="761" w:type="dxa"/>
                  <w:vMerge w:val="restart"/>
                  <w:tcBorders>
                    <w:tl2br w:val="nil"/>
                    <w:tr2bl w:val="nil"/>
                  </w:tcBorders>
                  <w:vAlign w:val="center"/>
                </w:tcPr>
                <w:p>
                  <w:pPr>
                    <w:jc w:val="center"/>
                    <w:rPr>
                      <w:color w:val="auto"/>
                      <w:highlight w:val="none"/>
                    </w:rPr>
                  </w:pPr>
                  <w:r>
                    <w:rPr>
                      <w:color w:val="auto"/>
                      <w:highlight w:val="none"/>
                    </w:rPr>
                    <w:t>保护</w:t>
                  </w:r>
                </w:p>
                <w:p>
                  <w:pPr>
                    <w:jc w:val="center"/>
                    <w:rPr>
                      <w:color w:val="auto"/>
                      <w:highlight w:val="none"/>
                    </w:rPr>
                  </w:pPr>
                  <w:r>
                    <w:rPr>
                      <w:color w:val="auto"/>
                      <w:highlight w:val="none"/>
                    </w:rPr>
                    <w:t>内容</w:t>
                  </w:r>
                </w:p>
              </w:tc>
              <w:tc>
                <w:tcPr>
                  <w:tcW w:w="857" w:type="dxa"/>
                  <w:vMerge w:val="restart"/>
                  <w:tcBorders>
                    <w:tl2br w:val="nil"/>
                    <w:tr2bl w:val="nil"/>
                  </w:tcBorders>
                  <w:vAlign w:val="center"/>
                </w:tcPr>
                <w:p>
                  <w:pPr>
                    <w:jc w:val="center"/>
                    <w:rPr>
                      <w:color w:val="auto"/>
                      <w:highlight w:val="none"/>
                    </w:rPr>
                  </w:pPr>
                  <w:r>
                    <w:rPr>
                      <w:color w:val="auto"/>
                      <w:highlight w:val="none"/>
                    </w:rPr>
                    <w:t>环境</w:t>
                  </w:r>
                </w:p>
                <w:p>
                  <w:pPr>
                    <w:jc w:val="center"/>
                    <w:rPr>
                      <w:color w:val="auto"/>
                      <w:highlight w:val="none"/>
                    </w:rPr>
                  </w:pPr>
                  <w:r>
                    <w:rPr>
                      <w:color w:val="auto"/>
                      <w:highlight w:val="none"/>
                    </w:rPr>
                    <w:t>功能</w:t>
                  </w:r>
                </w:p>
              </w:tc>
              <w:tc>
                <w:tcPr>
                  <w:tcW w:w="760" w:type="dxa"/>
                  <w:vMerge w:val="restart"/>
                  <w:tcBorders>
                    <w:tl2br w:val="nil"/>
                    <w:tr2bl w:val="nil"/>
                  </w:tcBorders>
                  <w:vAlign w:val="center"/>
                </w:tcPr>
                <w:p>
                  <w:pPr>
                    <w:jc w:val="center"/>
                    <w:rPr>
                      <w:color w:val="auto"/>
                      <w:highlight w:val="none"/>
                    </w:rPr>
                  </w:pPr>
                  <w:r>
                    <w:rPr>
                      <w:color w:val="auto"/>
                      <w:highlight w:val="none"/>
                    </w:rPr>
                    <w:t>相对</w:t>
                  </w:r>
                </w:p>
                <w:p>
                  <w:pPr>
                    <w:jc w:val="center"/>
                    <w:rPr>
                      <w:color w:val="auto"/>
                      <w:highlight w:val="none"/>
                    </w:rPr>
                  </w:pPr>
                  <w:r>
                    <w:rPr>
                      <w:color w:val="auto"/>
                      <w:highlight w:val="none"/>
                    </w:rPr>
                    <w:t>方位</w:t>
                  </w:r>
                </w:p>
              </w:tc>
              <w:tc>
                <w:tcPr>
                  <w:tcW w:w="1213" w:type="dxa"/>
                  <w:vMerge w:val="restart"/>
                  <w:tcBorders>
                    <w:tl2br w:val="nil"/>
                    <w:tr2bl w:val="nil"/>
                  </w:tcBorders>
                  <w:vAlign w:val="center"/>
                </w:tcPr>
                <w:p>
                  <w:pPr>
                    <w:jc w:val="center"/>
                    <w:rPr>
                      <w:color w:val="auto"/>
                      <w:highlight w:val="none"/>
                    </w:rPr>
                  </w:pPr>
                  <w:r>
                    <w:rPr>
                      <w:color w:val="auto"/>
                      <w:highlight w:val="none"/>
                    </w:rPr>
                    <w:t>相对厂界</w:t>
                  </w:r>
                  <w:r>
                    <w:rPr>
                      <w:rFonts w:hint="eastAsia"/>
                      <w:color w:val="auto"/>
                      <w:highlight w:val="none"/>
                    </w:rPr>
                    <w:t>最近</w:t>
                  </w:r>
                  <w:r>
                    <w:rPr>
                      <w:color w:val="auto"/>
                      <w:highlight w:val="none"/>
                    </w:rPr>
                    <w:t>距离（m）</w:t>
                  </w:r>
                </w:p>
              </w:tc>
              <w:tc>
                <w:tcPr>
                  <w:tcW w:w="1213" w:type="dxa"/>
                  <w:vMerge w:val="restart"/>
                  <w:tcBorders>
                    <w:tl2br w:val="nil"/>
                    <w:tr2bl w:val="nil"/>
                  </w:tcBorders>
                  <w:vAlign w:val="center"/>
                </w:tcPr>
                <w:p>
                  <w:pPr>
                    <w:jc w:val="center"/>
                    <w:rPr>
                      <w:color w:val="auto"/>
                      <w:highlight w:val="none"/>
                    </w:rPr>
                  </w:pPr>
                  <w:r>
                    <w:rPr>
                      <w:color w:val="auto"/>
                      <w:highlight w:val="none"/>
                    </w:rPr>
                    <w:t>相对</w:t>
                  </w:r>
                  <w:r>
                    <w:rPr>
                      <w:rFonts w:hint="eastAsia"/>
                      <w:color w:val="auto"/>
                      <w:highlight w:val="none"/>
                      <w:lang w:eastAsia="zh-CN"/>
                    </w:rPr>
                    <w:t>扩建场地</w:t>
                  </w:r>
                  <w:r>
                    <w:rPr>
                      <w:rFonts w:hint="eastAsia"/>
                      <w:color w:val="auto"/>
                      <w:highlight w:val="none"/>
                    </w:rPr>
                    <w:t>最近</w:t>
                  </w:r>
                  <w:r>
                    <w:rPr>
                      <w:color w:val="auto"/>
                      <w:highlight w:val="none"/>
                    </w:rPr>
                    <w:t>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21" w:type="dxa"/>
                  <w:vMerge w:val="continue"/>
                  <w:tcBorders>
                    <w:tl2br w:val="nil"/>
                    <w:tr2bl w:val="nil"/>
                  </w:tcBorders>
                  <w:vAlign w:val="center"/>
                </w:tcPr>
                <w:p>
                  <w:pPr>
                    <w:widowControl/>
                    <w:spacing w:line="240" w:lineRule="exact"/>
                    <w:jc w:val="center"/>
                    <w:rPr>
                      <w:color w:val="auto"/>
                      <w:highlight w:val="none"/>
                    </w:rPr>
                  </w:pPr>
                </w:p>
              </w:tc>
              <w:tc>
                <w:tcPr>
                  <w:tcW w:w="876" w:type="dxa"/>
                  <w:tcBorders>
                    <w:tl2br w:val="nil"/>
                    <w:tr2bl w:val="nil"/>
                  </w:tcBorders>
                  <w:vAlign w:val="center"/>
                </w:tcPr>
                <w:p>
                  <w:pPr>
                    <w:widowControl/>
                    <w:spacing w:line="240" w:lineRule="exact"/>
                    <w:jc w:val="center"/>
                    <w:rPr>
                      <w:color w:val="auto"/>
                      <w:highlight w:val="none"/>
                    </w:rPr>
                  </w:pPr>
                  <w:r>
                    <w:rPr>
                      <w:rFonts w:hint="eastAsia"/>
                      <w:color w:val="auto"/>
                      <w:highlight w:val="none"/>
                    </w:rPr>
                    <w:t>X</w:t>
                  </w:r>
                </w:p>
              </w:tc>
              <w:tc>
                <w:tcPr>
                  <w:tcW w:w="967" w:type="dxa"/>
                  <w:tcBorders>
                    <w:tl2br w:val="nil"/>
                    <w:tr2bl w:val="nil"/>
                  </w:tcBorders>
                  <w:vAlign w:val="center"/>
                </w:tcPr>
                <w:p>
                  <w:pPr>
                    <w:widowControl/>
                    <w:spacing w:line="240" w:lineRule="exact"/>
                    <w:jc w:val="center"/>
                    <w:rPr>
                      <w:color w:val="auto"/>
                      <w:highlight w:val="none"/>
                    </w:rPr>
                  </w:pPr>
                  <w:r>
                    <w:rPr>
                      <w:rFonts w:hint="eastAsia"/>
                      <w:color w:val="auto"/>
                      <w:highlight w:val="none"/>
                    </w:rPr>
                    <w:t>Y</w:t>
                  </w:r>
                </w:p>
              </w:tc>
              <w:tc>
                <w:tcPr>
                  <w:tcW w:w="1148" w:type="dxa"/>
                  <w:vMerge w:val="continue"/>
                  <w:tcBorders>
                    <w:tl2br w:val="nil"/>
                    <w:tr2bl w:val="nil"/>
                  </w:tcBorders>
                  <w:vAlign w:val="center"/>
                </w:tcPr>
                <w:p>
                  <w:pPr>
                    <w:widowControl/>
                    <w:spacing w:line="240" w:lineRule="exact"/>
                    <w:jc w:val="center"/>
                    <w:rPr>
                      <w:color w:val="auto"/>
                      <w:highlight w:val="none"/>
                    </w:rPr>
                  </w:pPr>
                </w:p>
              </w:tc>
              <w:tc>
                <w:tcPr>
                  <w:tcW w:w="761" w:type="dxa"/>
                  <w:vMerge w:val="continue"/>
                  <w:tcBorders>
                    <w:tl2br w:val="nil"/>
                    <w:tr2bl w:val="nil"/>
                  </w:tcBorders>
                  <w:vAlign w:val="center"/>
                </w:tcPr>
                <w:p>
                  <w:pPr>
                    <w:spacing w:line="240" w:lineRule="exact"/>
                    <w:jc w:val="center"/>
                    <w:rPr>
                      <w:color w:val="auto"/>
                      <w:highlight w:val="none"/>
                    </w:rPr>
                  </w:pPr>
                </w:p>
              </w:tc>
              <w:tc>
                <w:tcPr>
                  <w:tcW w:w="857" w:type="dxa"/>
                  <w:vMerge w:val="continue"/>
                  <w:tcBorders>
                    <w:tl2br w:val="nil"/>
                    <w:tr2bl w:val="nil"/>
                  </w:tcBorders>
                  <w:vAlign w:val="center"/>
                </w:tcPr>
                <w:p>
                  <w:pPr>
                    <w:spacing w:line="240" w:lineRule="exact"/>
                    <w:jc w:val="center"/>
                    <w:rPr>
                      <w:color w:val="auto"/>
                      <w:highlight w:val="none"/>
                    </w:rPr>
                  </w:pPr>
                </w:p>
              </w:tc>
              <w:tc>
                <w:tcPr>
                  <w:tcW w:w="760" w:type="dxa"/>
                  <w:vMerge w:val="continue"/>
                  <w:tcBorders>
                    <w:tl2br w:val="nil"/>
                    <w:tr2bl w:val="nil"/>
                  </w:tcBorders>
                  <w:vAlign w:val="center"/>
                </w:tcPr>
                <w:p>
                  <w:pPr>
                    <w:spacing w:line="240" w:lineRule="exact"/>
                    <w:jc w:val="center"/>
                    <w:rPr>
                      <w:color w:val="auto"/>
                      <w:highlight w:val="none"/>
                    </w:rPr>
                  </w:pPr>
                </w:p>
              </w:tc>
              <w:tc>
                <w:tcPr>
                  <w:tcW w:w="1213" w:type="dxa"/>
                  <w:vMerge w:val="continue"/>
                  <w:tcBorders>
                    <w:tl2br w:val="nil"/>
                    <w:tr2bl w:val="nil"/>
                  </w:tcBorders>
                  <w:vAlign w:val="center"/>
                </w:tcPr>
                <w:p>
                  <w:pPr>
                    <w:spacing w:line="240" w:lineRule="exact"/>
                    <w:jc w:val="center"/>
                    <w:rPr>
                      <w:color w:val="auto"/>
                      <w:highlight w:val="none"/>
                    </w:rPr>
                  </w:pPr>
                </w:p>
              </w:tc>
              <w:tc>
                <w:tcPr>
                  <w:tcW w:w="1213" w:type="dxa"/>
                  <w:vMerge w:val="continue"/>
                  <w:tcBorders>
                    <w:tl2br w:val="nil"/>
                    <w:tr2bl w:val="nil"/>
                  </w:tcBorders>
                  <w:vAlign w:val="center"/>
                </w:tcPr>
                <w:p>
                  <w:pPr>
                    <w:spacing w:line="240" w:lineRule="exact"/>
                    <w:jc w:val="center"/>
                    <w:rPr>
                      <w:color w:val="auto"/>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21" w:type="dxa"/>
                  <w:tcBorders>
                    <w:tl2br w:val="nil"/>
                    <w:tr2bl w:val="nil"/>
                  </w:tcBorders>
                  <w:vAlign w:val="center"/>
                </w:tcPr>
                <w:p>
                  <w:pPr>
                    <w:spacing w:beforeLines="30" w:afterLines="30" w:line="240" w:lineRule="exact"/>
                    <w:jc w:val="center"/>
                    <w:rPr>
                      <w:color w:val="auto"/>
                      <w:highlight w:val="none"/>
                    </w:rPr>
                  </w:pPr>
                  <w:r>
                    <w:rPr>
                      <w:color w:val="auto"/>
                      <w:highlight w:val="none"/>
                    </w:rPr>
                    <w:t>1</w:t>
                  </w:r>
                </w:p>
              </w:tc>
              <w:tc>
                <w:tcPr>
                  <w:tcW w:w="876"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735495</w:t>
                  </w:r>
                </w:p>
              </w:tc>
              <w:tc>
                <w:tcPr>
                  <w:tcW w:w="967"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3673738</w:t>
                  </w:r>
                </w:p>
              </w:tc>
              <w:tc>
                <w:tcPr>
                  <w:tcW w:w="1148" w:type="dxa"/>
                  <w:tcBorders>
                    <w:tl2br w:val="nil"/>
                    <w:tr2bl w:val="nil"/>
                  </w:tcBorders>
                  <w:vAlign w:val="center"/>
                </w:tcPr>
                <w:p>
                  <w:pPr>
                    <w:widowControl/>
                    <w:jc w:val="center"/>
                    <w:textAlignment w:val="center"/>
                    <w:rPr>
                      <w:rFonts w:hint="eastAsia"/>
                      <w:color w:val="auto"/>
                      <w:highlight w:val="none"/>
                    </w:rPr>
                  </w:pPr>
                  <w:r>
                    <w:rPr>
                      <w:rFonts w:hint="eastAsia"/>
                      <w:color w:val="auto"/>
                      <w:highlight w:val="none"/>
                    </w:rPr>
                    <w:t>王家山</w:t>
                  </w:r>
                </w:p>
                <w:p>
                  <w:pPr>
                    <w:widowControl/>
                    <w:jc w:val="center"/>
                    <w:textAlignment w:val="center"/>
                    <w:rPr>
                      <w:color w:val="auto"/>
                      <w:highlight w:val="none"/>
                    </w:rPr>
                  </w:pPr>
                  <w:r>
                    <w:rPr>
                      <w:rFonts w:hint="eastAsia"/>
                      <w:color w:val="auto"/>
                      <w:highlight w:val="none"/>
                    </w:rPr>
                    <w:t>住户</w:t>
                  </w:r>
                </w:p>
              </w:tc>
              <w:tc>
                <w:tcPr>
                  <w:tcW w:w="761" w:type="dxa"/>
                  <w:vMerge w:val="restart"/>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居民</w:t>
                  </w:r>
                </w:p>
              </w:tc>
              <w:tc>
                <w:tcPr>
                  <w:tcW w:w="857" w:type="dxa"/>
                  <w:vMerge w:val="restart"/>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环境空气二类区</w:t>
                  </w:r>
                </w:p>
              </w:tc>
              <w:tc>
                <w:tcPr>
                  <w:tcW w:w="760"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SE</w:t>
                  </w:r>
                </w:p>
              </w:tc>
              <w:tc>
                <w:tcPr>
                  <w:tcW w:w="1213"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340</w:t>
                  </w:r>
                </w:p>
              </w:tc>
              <w:tc>
                <w:tcPr>
                  <w:tcW w:w="1213" w:type="dxa"/>
                  <w:tcBorders>
                    <w:tl2br w:val="nil"/>
                    <w:tr2bl w:val="nil"/>
                  </w:tcBorders>
                  <w:vAlign w:val="center"/>
                </w:tcPr>
                <w:p>
                  <w:pPr>
                    <w:spacing w:beforeLines="30" w:afterLines="30" w:line="240" w:lineRule="exact"/>
                    <w:jc w:val="center"/>
                    <w:rPr>
                      <w:rFonts w:hint="default" w:eastAsia="宋体"/>
                      <w:color w:val="auto"/>
                      <w:highlight w:val="none"/>
                      <w:lang w:val="en-US" w:eastAsia="zh-CN"/>
                    </w:rPr>
                  </w:pPr>
                  <w:r>
                    <w:rPr>
                      <w:rFonts w:hint="eastAsia"/>
                      <w:color w:val="auto"/>
                      <w:highlight w:val="none"/>
                      <w:lang w:val="en-US" w:eastAsia="zh-CN"/>
                    </w:rPr>
                    <w:t>340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21"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2</w:t>
                  </w:r>
                </w:p>
              </w:tc>
              <w:tc>
                <w:tcPr>
                  <w:tcW w:w="876"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735055</w:t>
                  </w:r>
                </w:p>
              </w:tc>
              <w:tc>
                <w:tcPr>
                  <w:tcW w:w="967"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3674125</w:t>
                  </w:r>
                </w:p>
              </w:tc>
              <w:tc>
                <w:tcPr>
                  <w:tcW w:w="1148" w:type="dxa"/>
                  <w:tcBorders>
                    <w:tl2br w:val="nil"/>
                    <w:tr2bl w:val="nil"/>
                  </w:tcBorders>
                  <w:vAlign w:val="center"/>
                </w:tcPr>
                <w:p>
                  <w:pPr>
                    <w:spacing w:beforeLines="30" w:afterLines="30" w:line="240" w:lineRule="exact"/>
                    <w:jc w:val="center"/>
                    <w:rPr>
                      <w:rFonts w:hint="eastAsia"/>
                      <w:color w:val="auto"/>
                      <w:highlight w:val="none"/>
                    </w:rPr>
                  </w:pPr>
                  <w:r>
                    <w:rPr>
                      <w:rFonts w:hint="eastAsia"/>
                      <w:color w:val="auto"/>
                      <w:highlight w:val="none"/>
                    </w:rPr>
                    <w:t>冯杨村</w:t>
                  </w:r>
                </w:p>
                <w:p>
                  <w:pPr>
                    <w:spacing w:beforeLines="30" w:afterLines="30" w:line="240" w:lineRule="exact"/>
                    <w:jc w:val="center"/>
                    <w:rPr>
                      <w:color w:val="auto"/>
                      <w:highlight w:val="none"/>
                    </w:rPr>
                  </w:pPr>
                  <w:r>
                    <w:rPr>
                      <w:rFonts w:hint="eastAsia"/>
                      <w:color w:val="auto"/>
                      <w:highlight w:val="none"/>
                    </w:rPr>
                    <w:t>住户</w:t>
                  </w:r>
                </w:p>
              </w:tc>
              <w:tc>
                <w:tcPr>
                  <w:tcW w:w="761" w:type="dxa"/>
                  <w:vMerge w:val="continue"/>
                  <w:tcBorders>
                    <w:tl2br w:val="nil"/>
                    <w:tr2bl w:val="nil"/>
                  </w:tcBorders>
                  <w:vAlign w:val="center"/>
                </w:tcPr>
                <w:p>
                  <w:pPr>
                    <w:spacing w:beforeLines="30" w:afterLines="30" w:line="240" w:lineRule="exact"/>
                    <w:jc w:val="center"/>
                    <w:rPr>
                      <w:color w:val="auto"/>
                      <w:highlight w:val="none"/>
                    </w:rPr>
                  </w:pPr>
                </w:p>
              </w:tc>
              <w:tc>
                <w:tcPr>
                  <w:tcW w:w="857" w:type="dxa"/>
                  <w:vMerge w:val="continue"/>
                  <w:tcBorders>
                    <w:tl2br w:val="nil"/>
                    <w:tr2bl w:val="nil"/>
                  </w:tcBorders>
                  <w:vAlign w:val="center"/>
                </w:tcPr>
                <w:p>
                  <w:pPr>
                    <w:spacing w:beforeLines="30" w:afterLines="30" w:line="240" w:lineRule="exact"/>
                    <w:jc w:val="center"/>
                    <w:rPr>
                      <w:color w:val="auto"/>
                      <w:highlight w:val="none"/>
                    </w:rPr>
                  </w:pPr>
                </w:p>
              </w:tc>
              <w:tc>
                <w:tcPr>
                  <w:tcW w:w="760"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W</w:t>
                  </w:r>
                </w:p>
              </w:tc>
              <w:tc>
                <w:tcPr>
                  <w:tcW w:w="1213"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4</w:t>
                  </w:r>
                </w:p>
              </w:tc>
              <w:tc>
                <w:tcPr>
                  <w:tcW w:w="1213" w:type="dxa"/>
                  <w:tcBorders>
                    <w:tl2br w:val="nil"/>
                    <w:tr2bl w:val="nil"/>
                  </w:tcBorders>
                  <w:vAlign w:val="center"/>
                </w:tcPr>
                <w:p>
                  <w:pPr>
                    <w:spacing w:beforeLines="30" w:afterLines="30" w:line="240" w:lineRule="exact"/>
                    <w:jc w:val="center"/>
                    <w:rPr>
                      <w:rFonts w:hint="default" w:eastAsia="宋体"/>
                      <w:color w:val="auto"/>
                      <w:highlight w:val="none"/>
                      <w:lang w:val="en-US" w:eastAsia="zh-CN"/>
                    </w:rPr>
                  </w:pPr>
                  <w:r>
                    <w:rPr>
                      <w:rFonts w:hint="eastAsia"/>
                      <w:color w:val="auto"/>
                      <w:highlight w:val="none"/>
                      <w:lang w:val="en-US" w:eastAsia="zh-CN"/>
                    </w:rPr>
                    <w:t>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21"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3</w:t>
                  </w:r>
                </w:p>
              </w:tc>
              <w:tc>
                <w:tcPr>
                  <w:tcW w:w="876"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735141</w:t>
                  </w:r>
                </w:p>
              </w:tc>
              <w:tc>
                <w:tcPr>
                  <w:tcW w:w="967"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3673999</w:t>
                  </w:r>
                </w:p>
              </w:tc>
              <w:tc>
                <w:tcPr>
                  <w:tcW w:w="1148" w:type="dxa"/>
                  <w:tcBorders>
                    <w:tl2br w:val="nil"/>
                    <w:tr2bl w:val="nil"/>
                  </w:tcBorders>
                  <w:vAlign w:val="center"/>
                </w:tcPr>
                <w:p>
                  <w:pPr>
                    <w:spacing w:beforeLines="30" w:afterLines="30" w:line="240" w:lineRule="exact"/>
                    <w:jc w:val="center"/>
                    <w:rPr>
                      <w:rFonts w:hint="eastAsia"/>
                      <w:color w:val="auto"/>
                      <w:highlight w:val="none"/>
                    </w:rPr>
                  </w:pPr>
                  <w:r>
                    <w:rPr>
                      <w:rFonts w:hint="eastAsia"/>
                      <w:color w:val="auto"/>
                      <w:highlight w:val="none"/>
                    </w:rPr>
                    <w:t>冯杨村</w:t>
                  </w:r>
                </w:p>
                <w:p>
                  <w:pPr>
                    <w:spacing w:beforeLines="30" w:afterLines="30" w:line="240" w:lineRule="exact"/>
                    <w:jc w:val="center"/>
                    <w:rPr>
                      <w:color w:val="auto"/>
                      <w:highlight w:val="none"/>
                    </w:rPr>
                  </w:pPr>
                  <w:r>
                    <w:rPr>
                      <w:rFonts w:hint="eastAsia"/>
                      <w:color w:val="auto"/>
                      <w:highlight w:val="none"/>
                    </w:rPr>
                    <w:t>住户</w:t>
                  </w:r>
                </w:p>
              </w:tc>
              <w:tc>
                <w:tcPr>
                  <w:tcW w:w="761" w:type="dxa"/>
                  <w:vMerge w:val="continue"/>
                  <w:tcBorders>
                    <w:tl2br w:val="nil"/>
                    <w:tr2bl w:val="nil"/>
                  </w:tcBorders>
                  <w:vAlign w:val="center"/>
                </w:tcPr>
                <w:p>
                  <w:pPr>
                    <w:spacing w:beforeLines="30" w:afterLines="30" w:line="240" w:lineRule="exact"/>
                    <w:jc w:val="center"/>
                    <w:rPr>
                      <w:color w:val="auto"/>
                      <w:highlight w:val="none"/>
                    </w:rPr>
                  </w:pPr>
                </w:p>
              </w:tc>
              <w:tc>
                <w:tcPr>
                  <w:tcW w:w="857" w:type="dxa"/>
                  <w:vMerge w:val="continue"/>
                  <w:tcBorders>
                    <w:tl2br w:val="nil"/>
                    <w:tr2bl w:val="nil"/>
                  </w:tcBorders>
                  <w:vAlign w:val="center"/>
                </w:tcPr>
                <w:p>
                  <w:pPr>
                    <w:spacing w:beforeLines="30" w:afterLines="30" w:line="240" w:lineRule="exact"/>
                    <w:jc w:val="center"/>
                    <w:rPr>
                      <w:color w:val="auto"/>
                      <w:highlight w:val="none"/>
                    </w:rPr>
                  </w:pPr>
                </w:p>
              </w:tc>
              <w:tc>
                <w:tcPr>
                  <w:tcW w:w="760"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SW</w:t>
                  </w:r>
                </w:p>
              </w:tc>
              <w:tc>
                <w:tcPr>
                  <w:tcW w:w="1213"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30</w:t>
                  </w:r>
                </w:p>
              </w:tc>
              <w:tc>
                <w:tcPr>
                  <w:tcW w:w="1213" w:type="dxa"/>
                  <w:tcBorders>
                    <w:tl2br w:val="nil"/>
                    <w:tr2bl w:val="nil"/>
                  </w:tcBorders>
                  <w:vAlign w:val="center"/>
                </w:tcPr>
                <w:p>
                  <w:pPr>
                    <w:spacing w:beforeLines="30" w:afterLines="30" w:line="240" w:lineRule="exact"/>
                    <w:jc w:val="center"/>
                    <w:rPr>
                      <w:rFonts w:hint="default" w:eastAsia="宋体"/>
                      <w:color w:val="auto"/>
                      <w:highlight w:val="none"/>
                      <w:lang w:val="en-US" w:eastAsia="zh-CN"/>
                    </w:rPr>
                  </w:pPr>
                  <w:r>
                    <w:rPr>
                      <w:rFonts w:hint="eastAsia"/>
                      <w:color w:val="auto"/>
                      <w:highlight w:val="none"/>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21"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4</w:t>
                  </w:r>
                </w:p>
              </w:tc>
              <w:tc>
                <w:tcPr>
                  <w:tcW w:w="876"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735366</w:t>
                  </w:r>
                </w:p>
              </w:tc>
              <w:tc>
                <w:tcPr>
                  <w:tcW w:w="967"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3673835</w:t>
                  </w:r>
                </w:p>
              </w:tc>
              <w:tc>
                <w:tcPr>
                  <w:tcW w:w="1148" w:type="dxa"/>
                  <w:tcBorders>
                    <w:tl2br w:val="nil"/>
                    <w:tr2bl w:val="nil"/>
                  </w:tcBorders>
                  <w:vAlign w:val="center"/>
                </w:tcPr>
                <w:p>
                  <w:pPr>
                    <w:spacing w:beforeLines="30" w:afterLines="30" w:line="240" w:lineRule="exact"/>
                    <w:jc w:val="center"/>
                    <w:rPr>
                      <w:rFonts w:hint="eastAsia"/>
                      <w:color w:val="auto"/>
                      <w:highlight w:val="none"/>
                    </w:rPr>
                  </w:pPr>
                  <w:r>
                    <w:rPr>
                      <w:rFonts w:hint="eastAsia"/>
                      <w:color w:val="auto"/>
                      <w:highlight w:val="none"/>
                    </w:rPr>
                    <w:t>王家山</w:t>
                  </w:r>
                </w:p>
                <w:p>
                  <w:pPr>
                    <w:spacing w:beforeLines="30" w:afterLines="30" w:line="240" w:lineRule="exact"/>
                    <w:jc w:val="center"/>
                    <w:rPr>
                      <w:color w:val="auto"/>
                      <w:highlight w:val="none"/>
                    </w:rPr>
                  </w:pPr>
                  <w:r>
                    <w:rPr>
                      <w:rFonts w:hint="eastAsia"/>
                      <w:color w:val="auto"/>
                      <w:highlight w:val="none"/>
                    </w:rPr>
                    <w:t>住户</w:t>
                  </w:r>
                </w:p>
              </w:tc>
              <w:tc>
                <w:tcPr>
                  <w:tcW w:w="761" w:type="dxa"/>
                  <w:vMerge w:val="continue"/>
                  <w:tcBorders>
                    <w:tl2br w:val="nil"/>
                    <w:tr2bl w:val="nil"/>
                  </w:tcBorders>
                  <w:vAlign w:val="center"/>
                </w:tcPr>
                <w:p>
                  <w:pPr>
                    <w:spacing w:beforeLines="30" w:afterLines="30" w:line="240" w:lineRule="exact"/>
                    <w:jc w:val="center"/>
                    <w:rPr>
                      <w:color w:val="auto"/>
                      <w:highlight w:val="none"/>
                    </w:rPr>
                  </w:pPr>
                </w:p>
              </w:tc>
              <w:tc>
                <w:tcPr>
                  <w:tcW w:w="857" w:type="dxa"/>
                  <w:vMerge w:val="continue"/>
                  <w:tcBorders>
                    <w:tl2br w:val="nil"/>
                    <w:tr2bl w:val="nil"/>
                  </w:tcBorders>
                  <w:vAlign w:val="center"/>
                </w:tcPr>
                <w:p>
                  <w:pPr>
                    <w:spacing w:beforeLines="30" w:afterLines="30" w:line="240" w:lineRule="exact"/>
                    <w:jc w:val="center"/>
                    <w:rPr>
                      <w:color w:val="auto"/>
                      <w:highlight w:val="none"/>
                    </w:rPr>
                  </w:pPr>
                </w:p>
              </w:tc>
              <w:tc>
                <w:tcPr>
                  <w:tcW w:w="760"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S</w:t>
                  </w:r>
                </w:p>
              </w:tc>
              <w:tc>
                <w:tcPr>
                  <w:tcW w:w="1213" w:type="dxa"/>
                  <w:tcBorders>
                    <w:tl2br w:val="nil"/>
                    <w:tr2bl w:val="nil"/>
                  </w:tcBorders>
                  <w:vAlign w:val="center"/>
                </w:tcPr>
                <w:p>
                  <w:pPr>
                    <w:spacing w:beforeLines="30" w:afterLines="30" w:line="240" w:lineRule="exact"/>
                    <w:jc w:val="center"/>
                    <w:rPr>
                      <w:color w:val="auto"/>
                      <w:highlight w:val="none"/>
                    </w:rPr>
                  </w:pPr>
                  <w:r>
                    <w:rPr>
                      <w:rFonts w:hint="eastAsia"/>
                      <w:color w:val="auto"/>
                      <w:highlight w:val="none"/>
                    </w:rPr>
                    <w:t>220</w:t>
                  </w:r>
                </w:p>
              </w:tc>
              <w:tc>
                <w:tcPr>
                  <w:tcW w:w="1213" w:type="dxa"/>
                  <w:tcBorders>
                    <w:tl2br w:val="nil"/>
                    <w:tr2bl w:val="nil"/>
                  </w:tcBorders>
                  <w:vAlign w:val="center"/>
                </w:tcPr>
                <w:p>
                  <w:pPr>
                    <w:spacing w:beforeLines="30" w:afterLines="30" w:line="240" w:lineRule="exact"/>
                    <w:jc w:val="center"/>
                    <w:rPr>
                      <w:rFonts w:hint="default" w:eastAsia="宋体"/>
                      <w:color w:val="auto"/>
                      <w:highlight w:val="none"/>
                      <w:lang w:val="en-US" w:eastAsia="zh-CN"/>
                    </w:rPr>
                  </w:pPr>
                  <w:r>
                    <w:rPr>
                      <w:rFonts w:hint="eastAsia"/>
                      <w:color w:val="auto"/>
                      <w:highlight w:val="none"/>
                      <w:lang w:val="en-US" w:eastAsia="zh-CN"/>
                    </w:rPr>
                    <w:t>220</w:t>
                  </w:r>
                </w:p>
              </w:tc>
            </w:tr>
          </w:tbl>
          <w:p>
            <w:pPr>
              <w:adjustRightInd w:val="0"/>
              <w:snapToGrid w:val="0"/>
              <w:spacing w:line="360" w:lineRule="auto"/>
              <w:ind w:firstLine="482" w:firstLineChars="200"/>
              <w:jc w:val="left"/>
              <w:rPr>
                <w:b/>
                <w:bCs/>
                <w:color w:val="auto"/>
                <w:sz w:val="24"/>
                <w:highlight w:val="none"/>
              </w:rPr>
            </w:pPr>
            <w:r>
              <w:rPr>
                <w:rFonts w:hint="eastAsia"/>
                <w:b/>
                <w:bCs/>
                <w:color w:val="auto"/>
                <w:sz w:val="24"/>
                <w:highlight w:val="none"/>
              </w:rPr>
              <w:t>二、</w:t>
            </w:r>
            <w:r>
              <w:rPr>
                <w:b/>
                <w:bCs/>
                <w:color w:val="auto"/>
                <w:sz w:val="24"/>
                <w:highlight w:val="none"/>
              </w:rPr>
              <w:t>地下水环境保护目标</w:t>
            </w:r>
          </w:p>
          <w:p>
            <w:pPr>
              <w:spacing w:line="360" w:lineRule="auto"/>
              <w:ind w:firstLine="480" w:firstLineChars="200"/>
              <w:rPr>
                <w:color w:val="auto"/>
                <w:sz w:val="24"/>
                <w:highlight w:val="none"/>
              </w:rPr>
            </w:pPr>
            <w:r>
              <w:rPr>
                <w:color w:val="auto"/>
                <w:sz w:val="24"/>
                <w:highlight w:val="none"/>
              </w:rPr>
              <w:t>项目厂界外500</w:t>
            </w:r>
            <w:r>
              <w:rPr>
                <w:rFonts w:hint="eastAsia"/>
                <w:color w:val="auto"/>
                <w:sz w:val="24"/>
                <w:highlight w:val="none"/>
              </w:rPr>
              <w:t>m</w:t>
            </w:r>
            <w:r>
              <w:rPr>
                <w:color w:val="auto"/>
                <w:sz w:val="24"/>
                <w:highlight w:val="none"/>
              </w:rPr>
              <w:t>范围内无地下水集中式饮用水水源和热水、矿泉水、温泉等特殊地下水资源。</w:t>
            </w:r>
          </w:p>
          <w:p>
            <w:pPr>
              <w:pStyle w:val="44"/>
              <w:spacing w:line="360" w:lineRule="auto"/>
              <w:ind w:firstLine="482" w:firstLineChars="200"/>
              <w:rPr>
                <w:rFonts w:ascii="Times New Roman" w:hAnsi="Times New Roman" w:cs="Times New Roman"/>
                <w:b/>
                <w:bCs/>
                <w:color w:val="auto"/>
                <w:highlight w:val="none"/>
              </w:rPr>
            </w:pPr>
            <w:r>
              <w:rPr>
                <w:rFonts w:hint="eastAsia" w:ascii="Times New Roman" w:hAnsi="Times New Roman" w:cs="Times New Roman"/>
                <w:b/>
                <w:bCs/>
                <w:color w:val="auto"/>
                <w:highlight w:val="none"/>
              </w:rPr>
              <w:t>三、声环境保护目标</w:t>
            </w:r>
          </w:p>
          <w:p>
            <w:pPr>
              <w:spacing w:line="360" w:lineRule="auto"/>
              <w:ind w:firstLine="480" w:firstLineChars="200"/>
              <w:rPr>
                <w:b/>
                <w:bCs/>
                <w:color w:val="auto"/>
                <w:highlight w:val="none"/>
              </w:rPr>
            </w:pPr>
            <w:r>
              <w:rPr>
                <w:color w:val="auto"/>
                <w:sz w:val="24"/>
                <w:highlight w:val="none"/>
              </w:rPr>
              <w:t>本项目50m范围内声环境环保目标见表3-</w:t>
            </w:r>
            <w:r>
              <w:rPr>
                <w:rFonts w:hint="eastAsia"/>
                <w:color w:val="auto"/>
                <w:sz w:val="24"/>
                <w:highlight w:val="none"/>
              </w:rPr>
              <w:t>6</w:t>
            </w:r>
            <w:r>
              <w:rPr>
                <w:color w:val="auto"/>
                <w:sz w:val="24"/>
                <w:highlight w:val="none"/>
              </w:rPr>
              <w:t>：</w:t>
            </w:r>
          </w:p>
          <w:p>
            <w:pPr>
              <w:jc w:val="center"/>
              <w:rPr>
                <w:b/>
                <w:bCs/>
                <w:color w:val="auto"/>
                <w:highlight w:val="none"/>
              </w:rPr>
            </w:pPr>
            <w:r>
              <w:rPr>
                <w:b/>
                <w:bCs/>
                <w:color w:val="auto"/>
                <w:highlight w:val="none"/>
              </w:rPr>
              <w:t>表3-</w:t>
            </w:r>
            <w:r>
              <w:rPr>
                <w:rFonts w:hint="eastAsia"/>
                <w:b/>
                <w:bCs/>
                <w:color w:val="auto"/>
                <w:highlight w:val="none"/>
              </w:rPr>
              <w:t>6</w:t>
            </w:r>
            <w:r>
              <w:rPr>
                <w:b/>
                <w:bCs/>
                <w:color w:val="auto"/>
                <w:highlight w:val="none"/>
              </w:rPr>
              <w:t xml:space="preserve">  声环境保护目标一览表</w:t>
            </w:r>
          </w:p>
          <w:tbl>
            <w:tblPr>
              <w:tblStyle w:val="34"/>
              <w:tblW w:w="8177" w:type="dxa"/>
              <w:jc w:val="center"/>
              <w:tblBorders>
                <w:top w:val="single" w:color="auto" w:sz="8" w:space="0"/>
                <w:left w:val="none" w:color="auto" w:sz="0"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24"/>
              <w:gridCol w:w="757"/>
              <w:gridCol w:w="1500"/>
              <w:gridCol w:w="1934"/>
              <w:gridCol w:w="1686"/>
            </w:tblGrid>
            <w:tr>
              <w:tblPrEx>
                <w:tblBorders>
                  <w:top w:val="single" w:color="auto" w:sz="8" w:space="0"/>
                  <w:left w:val="none" w:color="auto" w:sz="0"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Merge w:val="restart"/>
                  <w:tcBorders>
                    <w:top w:val="single" w:color="auto" w:sz="12" w:space="0"/>
                  </w:tcBorders>
                  <w:vAlign w:val="center"/>
                </w:tcPr>
                <w:p>
                  <w:pPr>
                    <w:snapToGrid w:val="0"/>
                    <w:jc w:val="center"/>
                    <w:rPr>
                      <w:color w:val="auto"/>
                      <w:szCs w:val="21"/>
                      <w:highlight w:val="none"/>
                    </w:rPr>
                  </w:pPr>
                  <w:r>
                    <w:rPr>
                      <w:color w:val="auto"/>
                      <w:szCs w:val="21"/>
                      <w:highlight w:val="none"/>
                    </w:rPr>
                    <w:t>环境</w:t>
                  </w:r>
                </w:p>
                <w:p>
                  <w:pPr>
                    <w:snapToGrid w:val="0"/>
                    <w:jc w:val="center"/>
                    <w:rPr>
                      <w:color w:val="auto"/>
                      <w:szCs w:val="21"/>
                      <w:highlight w:val="none"/>
                    </w:rPr>
                  </w:pPr>
                  <w:r>
                    <w:rPr>
                      <w:color w:val="auto"/>
                      <w:szCs w:val="21"/>
                      <w:highlight w:val="none"/>
                    </w:rPr>
                    <w:t>要素</w:t>
                  </w:r>
                </w:p>
              </w:tc>
              <w:tc>
                <w:tcPr>
                  <w:tcW w:w="1424" w:type="dxa"/>
                  <w:vMerge w:val="restart"/>
                  <w:tcBorders>
                    <w:top w:val="single" w:color="auto" w:sz="12" w:space="0"/>
                  </w:tcBorders>
                  <w:vAlign w:val="center"/>
                </w:tcPr>
                <w:p>
                  <w:pPr>
                    <w:snapToGrid w:val="0"/>
                    <w:jc w:val="center"/>
                    <w:rPr>
                      <w:color w:val="auto"/>
                      <w:szCs w:val="21"/>
                      <w:highlight w:val="none"/>
                    </w:rPr>
                  </w:pPr>
                  <w:r>
                    <w:rPr>
                      <w:color w:val="auto"/>
                      <w:szCs w:val="21"/>
                      <w:highlight w:val="none"/>
                    </w:rPr>
                    <w:t>保护对象</w:t>
                  </w:r>
                </w:p>
              </w:tc>
              <w:tc>
                <w:tcPr>
                  <w:tcW w:w="757" w:type="dxa"/>
                  <w:vMerge w:val="restart"/>
                  <w:tcBorders>
                    <w:top w:val="single" w:color="auto" w:sz="12" w:space="0"/>
                  </w:tcBorders>
                  <w:vAlign w:val="center"/>
                </w:tcPr>
                <w:p>
                  <w:pPr>
                    <w:spacing w:beforeLines="20" w:afterLines="20"/>
                    <w:jc w:val="center"/>
                    <w:rPr>
                      <w:color w:val="auto"/>
                      <w:szCs w:val="21"/>
                      <w:highlight w:val="none"/>
                    </w:rPr>
                  </w:pPr>
                  <w:r>
                    <w:rPr>
                      <w:color w:val="auto"/>
                      <w:szCs w:val="21"/>
                      <w:highlight w:val="none"/>
                    </w:rPr>
                    <w:t>方位</w:t>
                  </w:r>
                </w:p>
              </w:tc>
              <w:tc>
                <w:tcPr>
                  <w:tcW w:w="1500" w:type="dxa"/>
                  <w:tcBorders>
                    <w:top w:val="single" w:color="auto" w:sz="12" w:space="0"/>
                  </w:tcBorders>
                  <w:vAlign w:val="center"/>
                </w:tcPr>
                <w:p>
                  <w:pPr>
                    <w:spacing w:beforeLines="20" w:afterLines="20"/>
                    <w:jc w:val="center"/>
                    <w:rPr>
                      <w:color w:val="auto"/>
                      <w:szCs w:val="21"/>
                      <w:highlight w:val="none"/>
                    </w:rPr>
                  </w:pPr>
                  <w:r>
                    <w:rPr>
                      <w:color w:val="auto"/>
                      <w:szCs w:val="21"/>
                      <w:highlight w:val="none"/>
                    </w:rPr>
                    <w:t>相对</w:t>
                  </w:r>
                  <w:r>
                    <w:rPr>
                      <w:rFonts w:hint="eastAsia"/>
                      <w:color w:val="auto"/>
                      <w:szCs w:val="21"/>
                      <w:highlight w:val="none"/>
                      <w:lang w:eastAsia="zh-CN"/>
                    </w:rPr>
                    <w:t>厂界</w:t>
                  </w:r>
                  <w:r>
                    <w:rPr>
                      <w:color w:val="auto"/>
                      <w:szCs w:val="21"/>
                      <w:highlight w:val="none"/>
                    </w:rPr>
                    <w:t>位置</w:t>
                  </w:r>
                </w:p>
              </w:tc>
              <w:tc>
                <w:tcPr>
                  <w:tcW w:w="1934" w:type="dxa"/>
                  <w:tcBorders>
                    <w:top w:val="single" w:color="auto" w:sz="12" w:space="0"/>
                    <w:right w:val="nil"/>
                  </w:tcBorders>
                  <w:vAlign w:val="center"/>
                </w:tcPr>
                <w:p>
                  <w:pPr>
                    <w:spacing w:beforeLines="20" w:afterLines="20"/>
                    <w:jc w:val="center"/>
                    <w:rPr>
                      <w:color w:val="auto"/>
                      <w:szCs w:val="21"/>
                      <w:highlight w:val="none"/>
                    </w:rPr>
                  </w:pPr>
                  <w:r>
                    <w:rPr>
                      <w:color w:val="auto"/>
                      <w:szCs w:val="21"/>
                      <w:highlight w:val="none"/>
                    </w:rPr>
                    <w:t>相对</w:t>
                  </w:r>
                  <w:r>
                    <w:rPr>
                      <w:rFonts w:hint="eastAsia"/>
                      <w:color w:val="auto"/>
                      <w:szCs w:val="21"/>
                      <w:highlight w:val="none"/>
                      <w:lang w:eastAsia="zh-CN"/>
                    </w:rPr>
                    <w:t>扩建场地</w:t>
                  </w:r>
                  <w:r>
                    <w:rPr>
                      <w:color w:val="auto"/>
                      <w:szCs w:val="21"/>
                      <w:highlight w:val="none"/>
                    </w:rPr>
                    <w:t>位置</w:t>
                  </w:r>
                </w:p>
              </w:tc>
              <w:tc>
                <w:tcPr>
                  <w:tcW w:w="1686" w:type="dxa"/>
                  <w:vMerge w:val="restart"/>
                  <w:tcBorders>
                    <w:top w:val="single" w:color="auto" w:sz="12" w:space="0"/>
                    <w:right w:val="nil"/>
                  </w:tcBorders>
                  <w:vAlign w:val="center"/>
                </w:tcPr>
                <w:p>
                  <w:pPr>
                    <w:snapToGrid w:val="0"/>
                    <w:jc w:val="center"/>
                    <w:rPr>
                      <w:color w:val="auto"/>
                      <w:szCs w:val="21"/>
                      <w:highlight w:val="none"/>
                    </w:rPr>
                  </w:pPr>
                  <w:r>
                    <w:rPr>
                      <w:color w:val="auto"/>
                      <w:szCs w:val="21"/>
                      <w:highlight w:val="none"/>
                    </w:rPr>
                    <w:t>保护目标</w:t>
                  </w:r>
                </w:p>
              </w:tc>
            </w:tr>
            <w:tr>
              <w:tblPrEx>
                <w:tblBorders>
                  <w:top w:val="single" w:color="auto" w:sz="8" w:space="0"/>
                  <w:left w:val="none" w:color="auto" w:sz="0"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Merge w:val="continue"/>
                  <w:vAlign w:val="center"/>
                </w:tcPr>
                <w:p>
                  <w:pPr>
                    <w:snapToGrid w:val="0"/>
                    <w:jc w:val="center"/>
                    <w:rPr>
                      <w:color w:val="auto"/>
                      <w:szCs w:val="21"/>
                      <w:highlight w:val="none"/>
                    </w:rPr>
                  </w:pPr>
                </w:p>
              </w:tc>
              <w:tc>
                <w:tcPr>
                  <w:tcW w:w="1424" w:type="dxa"/>
                  <w:vMerge w:val="continue"/>
                  <w:vAlign w:val="center"/>
                </w:tcPr>
                <w:p>
                  <w:pPr>
                    <w:snapToGrid w:val="0"/>
                    <w:jc w:val="center"/>
                    <w:rPr>
                      <w:color w:val="auto"/>
                      <w:szCs w:val="21"/>
                      <w:highlight w:val="none"/>
                    </w:rPr>
                  </w:pPr>
                </w:p>
              </w:tc>
              <w:tc>
                <w:tcPr>
                  <w:tcW w:w="757" w:type="dxa"/>
                  <w:vMerge w:val="continue"/>
                  <w:vAlign w:val="center"/>
                </w:tcPr>
                <w:p>
                  <w:pPr>
                    <w:spacing w:beforeLines="20" w:afterLines="20"/>
                    <w:jc w:val="center"/>
                    <w:rPr>
                      <w:color w:val="auto"/>
                      <w:szCs w:val="21"/>
                      <w:highlight w:val="none"/>
                    </w:rPr>
                  </w:pPr>
                </w:p>
              </w:tc>
              <w:tc>
                <w:tcPr>
                  <w:tcW w:w="3434" w:type="dxa"/>
                  <w:gridSpan w:val="2"/>
                  <w:tcBorders>
                    <w:right w:val="nil"/>
                  </w:tcBorders>
                  <w:vAlign w:val="center"/>
                </w:tcPr>
                <w:p>
                  <w:pPr>
                    <w:spacing w:beforeLines="20" w:afterLines="20"/>
                    <w:jc w:val="center"/>
                    <w:rPr>
                      <w:color w:val="auto"/>
                      <w:szCs w:val="21"/>
                      <w:highlight w:val="none"/>
                    </w:rPr>
                  </w:pPr>
                  <w:r>
                    <w:rPr>
                      <w:color w:val="auto"/>
                      <w:szCs w:val="21"/>
                      <w:highlight w:val="none"/>
                    </w:rPr>
                    <w:t>距离（m）</w:t>
                  </w:r>
                </w:p>
              </w:tc>
              <w:tc>
                <w:tcPr>
                  <w:tcW w:w="1686" w:type="dxa"/>
                  <w:vMerge w:val="continue"/>
                  <w:tcBorders>
                    <w:right w:val="nil"/>
                  </w:tcBorders>
                  <w:vAlign w:val="center"/>
                </w:tcPr>
                <w:p>
                  <w:pPr>
                    <w:snapToGrid w:val="0"/>
                    <w:jc w:val="center"/>
                    <w:rPr>
                      <w:color w:val="auto"/>
                      <w:szCs w:val="21"/>
                      <w:highlight w:val="none"/>
                    </w:rPr>
                  </w:pPr>
                </w:p>
              </w:tc>
            </w:tr>
            <w:tr>
              <w:tblPrEx>
                <w:tblBorders>
                  <w:top w:val="single" w:color="auto" w:sz="8" w:space="0"/>
                  <w:left w:val="none" w:color="auto" w:sz="0"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restart"/>
                  <w:vAlign w:val="center"/>
                </w:tcPr>
                <w:p>
                  <w:pPr>
                    <w:snapToGrid w:val="0"/>
                    <w:jc w:val="center"/>
                    <w:rPr>
                      <w:color w:val="auto"/>
                      <w:szCs w:val="21"/>
                      <w:highlight w:val="none"/>
                    </w:rPr>
                  </w:pPr>
                  <w:r>
                    <w:rPr>
                      <w:color w:val="auto"/>
                      <w:szCs w:val="21"/>
                      <w:highlight w:val="none"/>
                    </w:rPr>
                    <w:t>声环境</w:t>
                  </w:r>
                </w:p>
              </w:tc>
              <w:tc>
                <w:tcPr>
                  <w:tcW w:w="1424" w:type="dxa"/>
                  <w:vAlign w:val="center"/>
                </w:tcPr>
                <w:p>
                  <w:pPr>
                    <w:snapToGrid w:val="0"/>
                    <w:jc w:val="center"/>
                    <w:rPr>
                      <w:color w:val="auto"/>
                      <w:szCs w:val="21"/>
                      <w:highlight w:val="none"/>
                    </w:rPr>
                  </w:pPr>
                  <w:r>
                    <w:rPr>
                      <w:rFonts w:hint="eastAsia"/>
                      <w:color w:val="auto"/>
                      <w:highlight w:val="none"/>
                    </w:rPr>
                    <w:t>冯杨村住户</w:t>
                  </w:r>
                </w:p>
              </w:tc>
              <w:tc>
                <w:tcPr>
                  <w:tcW w:w="757" w:type="dxa"/>
                  <w:vAlign w:val="center"/>
                </w:tcPr>
                <w:p>
                  <w:pPr>
                    <w:adjustRightInd w:val="0"/>
                    <w:spacing w:beforeLines="20" w:afterLines="20"/>
                    <w:jc w:val="center"/>
                    <w:rPr>
                      <w:color w:val="auto"/>
                      <w:szCs w:val="21"/>
                      <w:highlight w:val="none"/>
                    </w:rPr>
                  </w:pPr>
                  <w:r>
                    <w:rPr>
                      <w:rFonts w:hint="eastAsia"/>
                      <w:color w:val="auto"/>
                      <w:szCs w:val="21"/>
                      <w:highlight w:val="none"/>
                    </w:rPr>
                    <w:t>W</w:t>
                  </w:r>
                </w:p>
              </w:tc>
              <w:tc>
                <w:tcPr>
                  <w:tcW w:w="1500" w:type="dxa"/>
                  <w:vAlign w:val="center"/>
                </w:tcPr>
                <w:p>
                  <w:pPr>
                    <w:adjustRightInd w:val="0"/>
                    <w:spacing w:beforeLines="20" w:afterLines="20"/>
                    <w:jc w:val="center"/>
                    <w:rPr>
                      <w:color w:val="auto"/>
                      <w:szCs w:val="21"/>
                      <w:highlight w:val="none"/>
                    </w:rPr>
                  </w:pPr>
                  <w:r>
                    <w:rPr>
                      <w:rFonts w:hint="eastAsia"/>
                      <w:color w:val="auto"/>
                      <w:szCs w:val="21"/>
                      <w:highlight w:val="none"/>
                    </w:rPr>
                    <w:t>4</w:t>
                  </w:r>
                </w:p>
              </w:tc>
              <w:tc>
                <w:tcPr>
                  <w:tcW w:w="1934" w:type="dxa"/>
                  <w:tcBorders>
                    <w:right w:val="nil"/>
                  </w:tcBorders>
                  <w:vAlign w:val="center"/>
                </w:tcPr>
                <w:p>
                  <w:pPr>
                    <w:adjustRightInd w:val="0"/>
                    <w:spacing w:beforeLines="20" w:afterLines="20"/>
                    <w:jc w:val="center"/>
                    <w:rPr>
                      <w:rFonts w:hint="default" w:eastAsia="宋体"/>
                      <w:color w:val="auto"/>
                      <w:szCs w:val="21"/>
                      <w:highlight w:val="none"/>
                      <w:lang w:val="en-US" w:eastAsia="zh-CN"/>
                    </w:rPr>
                  </w:pPr>
                  <w:r>
                    <w:rPr>
                      <w:rFonts w:hint="eastAsia"/>
                      <w:color w:val="auto"/>
                      <w:szCs w:val="21"/>
                      <w:highlight w:val="none"/>
                      <w:lang w:val="en-US" w:eastAsia="zh-CN"/>
                    </w:rPr>
                    <w:t>250</w:t>
                  </w:r>
                </w:p>
              </w:tc>
              <w:tc>
                <w:tcPr>
                  <w:tcW w:w="1686" w:type="dxa"/>
                  <w:vMerge w:val="restart"/>
                  <w:tcBorders>
                    <w:right w:val="nil"/>
                  </w:tcBorders>
                  <w:vAlign w:val="center"/>
                </w:tcPr>
                <w:p>
                  <w:pPr>
                    <w:snapToGrid w:val="0"/>
                    <w:jc w:val="center"/>
                    <w:rPr>
                      <w:color w:val="auto"/>
                      <w:szCs w:val="21"/>
                      <w:highlight w:val="none"/>
                    </w:rPr>
                  </w:pPr>
                  <w:r>
                    <w:rPr>
                      <w:color w:val="auto"/>
                      <w:szCs w:val="21"/>
                      <w:highlight w:val="none"/>
                    </w:rPr>
                    <w:t>符合《声环境质量标准》（</w:t>
                  </w:r>
                  <w:r>
                    <w:rPr>
                      <w:rFonts w:eastAsia="新宋体"/>
                      <w:color w:val="auto"/>
                      <w:szCs w:val="21"/>
                      <w:highlight w:val="none"/>
                    </w:rPr>
                    <w:t>GB3096-2008</w:t>
                  </w:r>
                  <w:r>
                    <w:rPr>
                      <w:rFonts w:hint="eastAsia" w:eastAsia="新宋体"/>
                      <w:color w:val="auto"/>
                      <w:szCs w:val="21"/>
                      <w:highlight w:val="none"/>
                      <w:lang w:eastAsia="zh-CN"/>
                    </w:rPr>
                    <w:t>）</w:t>
                  </w:r>
                  <w:r>
                    <w:rPr>
                      <w:rFonts w:eastAsia="新宋体"/>
                      <w:color w:val="auto"/>
                      <w:szCs w:val="21"/>
                      <w:highlight w:val="none"/>
                    </w:rPr>
                    <w:t>中2类标准</w:t>
                  </w:r>
                </w:p>
              </w:tc>
            </w:tr>
            <w:tr>
              <w:tblPrEx>
                <w:tblBorders>
                  <w:top w:val="single" w:color="auto" w:sz="8" w:space="0"/>
                  <w:left w:val="none" w:color="auto" w:sz="0"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Merge w:val="continue"/>
                  <w:tcBorders>
                    <w:bottom w:val="single" w:color="auto" w:sz="12" w:space="0"/>
                  </w:tcBorders>
                  <w:vAlign w:val="center"/>
                </w:tcPr>
                <w:p>
                  <w:pPr>
                    <w:snapToGrid w:val="0"/>
                    <w:jc w:val="center"/>
                    <w:rPr>
                      <w:color w:val="auto"/>
                      <w:szCs w:val="21"/>
                      <w:highlight w:val="none"/>
                    </w:rPr>
                  </w:pPr>
                </w:p>
              </w:tc>
              <w:tc>
                <w:tcPr>
                  <w:tcW w:w="1424" w:type="dxa"/>
                  <w:tcBorders>
                    <w:bottom w:val="single" w:color="auto" w:sz="12" w:space="0"/>
                  </w:tcBorders>
                  <w:vAlign w:val="center"/>
                </w:tcPr>
                <w:p>
                  <w:pPr>
                    <w:snapToGrid w:val="0"/>
                    <w:jc w:val="center"/>
                    <w:rPr>
                      <w:color w:val="auto"/>
                      <w:highlight w:val="none"/>
                    </w:rPr>
                  </w:pPr>
                  <w:r>
                    <w:rPr>
                      <w:rFonts w:hint="eastAsia"/>
                      <w:color w:val="auto"/>
                      <w:highlight w:val="none"/>
                    </w:rPr>
                    <w:t>冯杨村住户</w:t>
                  </w:r>
                </w:p>
              </w:tc>
              <w:tc>
                <w:tcPr>
                  <w:tcW w:w="757" w:type="dxa"/>
                  <w:tcBorders>
                    <w:bottom w:val="single" w:color="auto" w:sz="12" w:space="0"/>
                  </w:tcBorders>
                  <w:vAlign w:val="center"/>
                </w:tcPr>
                <w:p>
                  <w:pPr>
                    <w:adjustRightInd w:val="0"/>
                    <w:spacing w:beforeLines="20" w:afterLines="20"/>
                    <w:jc w:val="center"/>
                    <w:rPr>
                      <w:color w:val="auto"/>
                      <w:szCs w:val="21"/>
                      <w:highlight w:val="none"/>
                    </w:rPr>
                  </w:pPr>
                  <w:r>
                    <w:rPr>
                      <w:rFonts w:hint="eastAsia"/>
                      <w:color w:val="auto"/>
                      <w:szCs w:val="21"/>
                      <w:highlight w:val="none"/>
                    </w:rPr>
                    <w:t>SW</w:t>
                  </w:r>
                </w:p>
              </w:tc>
              <w:tc>
                <w:tcPr>
                  <w:tcW w:w="1500" w:type="dxa"/>
                  <w:tcBorders>
                    <w:bottom w:val="single" w:color="auto" w:sz="12" w:space="0"/>
                  </w:tcBorders>
                  <w:vAlign w:val="center"/>
                </w:tcPr>
                <w:p>
                  <w:pPr>
                    <w:adjustRightInd w:val="0"/>
                    <w:spacing w:beforeLines="20" w:afterLines="20"/>
                    <w:jc w:val="center"/>
                    <w:rPr>
                      <w:color w:val="auto"/>
                      <w:szCs w:val="21"/>
                      <w:highlight w:val="none"/>
                    </w:rPr>
                  </w:pPr>
                  <w:r>
                    <w:rPr>
                      <w:rFonts w:hint="eastAsia"/>
                      <w:color w:val="auto"/>
                      <w:szCs w:val="21"/>
                      <w:highlight w:val="none"/>
                    </w:rPr>
                    <w:t>30</w:t>
                  </w:r>
                </w:p>
              </w:tc>
              <w:tc>
                <w:tcPr>
                  <w:tcW w:w="1934" w:type="dxa"/>
                  <w:tcBorders>
                    <w:bottom w:val="single" w:color="auto" w:sz="12" w:space="0"/>
                    <w:right w:val="nil"/>
                  </w:tcBorders>
                  <w:vAlign w:val="center"/>
                </w:tcPr>
                <w:p>
                  <w:pPr>
                    <w:adjustRightInd w:val="0"/>
                    <w:spacing w:beforeLines="20" w:afterLines="20"/>
                    <w:jc w:val="center"/>
                    <w:rPr>
                      <w:rFonts w:hint="default" w:eastAsia="宋体"/>
                      <w:color w:val="auto"/>
                      <w:szCs w:val="21"/>
                      <w:highlight w:val="none"/>
                      <w:lang w:val="en-US" w:eastAsia="zh-CN"/>
                    </w:rPr>
                  </w:pPr>
                  <w:r>
                    <w:rPr>
                      <w:rFonts w:hint="eastAsia"/>
                      <w:color w:val="auto"/>
                      <w:szCs w:val="21"/>
                      <w:highlight w:val="none"/>
                      <w:lang w:val="en-US" w:eastAsia="zh-CN"/>
                    </w:rPr>
                    <w:t>200</w:t>
                  </w:r>
                </w:p>
              </w:tc>
              <w:tc>
                <w:tcPr>
                  <w:tcW w:w="1686" w:type="dxa"/>
                  <w:vMerge w:val="continue"/>
                  <w:tcBorders>
                    <w:bottom w:val="single" w:color="auto" w:sz="12" w:space="0"/>
                    <w:right w:val="nil"/>
                  </w:tcBorders>
                  <w:vAlign w:val="center"/>
                </w:tcPr>
                <w:p>
                  <w:pPr>
                    <w:snapToGrid w:val="0"/>
                    <w:jc w:val="center"/>
                    <w:rPr>
                      <w:color w:val="auto"/>
                      <w:szCs w:val="21"/>
                      <w:highlight w:val="none"/>
                    </w:rPr>
                  </w:pPr>
                </w:p>
              </w:tc>
            </w:tr>
          </w:tbl>
          <w:p>
            <w:pPr>
              <w:pStyle w:val="42"/>
              <w:spacing w:line="360" w:lineRule="auto"/>
              <w:ind w:left="480"/>
              <w:rPr>
                <w:b/>
                <w:bCs/>
                <w:color w:val="auto"/>
                <w:highlight w:val="none"/>
              </w:rPr>
            </w:pPr>
            <w:r>
              <w:rPr>
                <w:rFonts w:hint="eastAsia"/>
                <w:b/>
                <w:bCs/>
                <w:color w:val="auto"/>
                <w:highlight w:val="none"/>
              </w:rPr>
              <w:t>四、生态环境保护目标</w:t>
            </w:r>
          </w:p>
          <w:p>
            <w:pPr>
              <w:autoSpaceDE w:val="0"/>
              <w:autoSpaceDN w:val="0"/>
              <w:adjustRightInd w:val="0"/>
              <w:snapToGrid w:val="0"/>
              <w:spacing w:line="360" w:lineRule="auto"/>
              <w:ind w:firstLine="435"/>
              <w:jc w:val="left"/>
              <w:rPr>
                <w:rFonts w:hint="eastAsia" w:eastAsia="宋体"/>
                <w:color w:val="auto"/>
                <w:highlight w:val="none"/>
                <w:lang w:eastAsia="zh-CN"/>
              </w:rPr>
            </w:pPr>
            <w:r>
              <w:rPr>
                <w:rFonts w:hint="eastAsia"/>
                <w:color w:val="auto"/>
                <w:sz w:val="24"/>
                <w:highlight w:val="none"/>
              </w:rPr>
              <w:t>本项目位于产业园区外，</w:t>
            </w:r>
            <w:r>
              <w:rPr>
                <w:rFonts w:hint="eastAsia"/>
                <w:color w:val="auto"/>
                <w:sz w:val="24"/>
                <w:highlight w:val="none"/>
                <w:lang w:eastAsia="zh-CN"/>
              </w:rPr>
              <w:t>在现有厂区内闲置空地内进行扩建，</w:t>
            </w:r>
            <w:r>
              <w:rPr>
                <w:rFonts w:hint="eastAsia"/>
                <w:color w:val="auto"/>
                <w:sz w:val="24"/>
                <w:highlight w:val="none"/>
              </w:rPr>
              <w:t>无新增占地，</w:t>
            </w:r>
            <w:r>
              <w:rPr>
                <w:rFonts w:hint="eastAsia"/>
                <w:color w:val="auto"/>
                <w:sz w:val="24"/>
                <w:highlight w:val="none"/>
                <w:lang w:eastAsia="zh-CN"/>
              </w:rPr>
              <w:t>现有厂区</w:t>
            </w:r>
            <w:r>
              <w:rPr>
                <w:rFonts w:hint="eastAsia"/>
                <w:color w:val="auto"/>
                <w:sz w:val="24"/>
                <w:highlight w:val="none"/>
              </w:rPr>
              <w:t>用地范围内无生态环境保护目标</w:t>
            </w:r>
            <w:r>
              <w:rPr>
                <w:rFonts w:hint="eastAsia"/>
                <w:color w:val="auto"/>
                <w:sz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Mar>
              <w:left w:w="28" w:type="dxa"/>
              <w:right w:w="28" w:type="dxa"/>
            </w:tcMar>
            <w:vAlign w:val="center"/>
          </w:tcPr>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污染</w:t>
            </w: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物排</w:t>
            </w: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放控</w:t>
            </w: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制标</w:t>
            </w:r>
          </w:p>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 w:val="24"/>
                <w:highlight w:val="none"/>
              </w:rPr>
              <w:t>准</w:t>
            </w:r>
          </w:p>
        </w:tc>
        <w:tc>
          <w:tcPr>
            <w:tcW w:w="8312" w:type="dxa"/>
            <w:vAlign w:val="center"/>
          </w:tcPr>
          <w:p>
            <w:pPr>
              <w:snapToGrid w:val="0"/>
              <w:spacing w:line="360" w:lineRule="auto"/>
              <w:ind w:firstLine="480" w:firstLineChars="200"/>
              <w:rPr>
                <w:color w:val="auto"/>
                <w:sz w:val="24"/>
                <w:highlight w:val="none"/>
              </w:rPr>
            </w:pPr>
            <w:r>
              <w:rPr>
                <w:rFonts w:hint="eastAsia"/>
                <w:color w:val="auto"/>
                <w:sz w:val="24"/>
                <w:highlight w:val="none"/>
              </w:rPr>
              <w:t>1、原有厂区生活污水经化粪池处理后用于周边农田施肥，洗车废水经沉淀池处理后回用；本扩建项目新增生活污水维持原有处置方式不变，生产废水经絮凝沉淀处理后回用；扩建前后，厂区均不排水。</w:t>
            </w:r>
          </w:p>
          <w:p>
            <w:pPr>
              <w:snapToGrid w:val="0"/>
              <w:spacing w:line="360" w:lineRule="auto"/>
              <w:ind w:firstLine="480" w:firstLineChars="200"/>
              <w:rPr>
                <w:b/>
                <w:bCs/>
                <w:color w:val="auto"/>
                <w:kern w:val="0"/>
                <w:szCs w:val="21"/>
                <w:highlight w:val="none"/>
              </w:rPr>
            </w:pPr>
            <w:r>
              <w:rPr>
                <w:rFonts w:hint="eastAsia"/>
                <w:color w:val="auto"/>
                <w:sz w:val="24"/>
                <w:highlight w:val="none"/>
              </w:rPr>
              <w:t>2、施工期扬尘排放执行《施工场界扬尘排放限值》（</w:t>
            </w:r>
            <w:r>
              <w:rPr>
                <w:color w:val="auto"/>
                <w:sz w:val="24"/>
                <w:highlight w:val="none"/>
              </w:rPr>
              <w:t>DB 61/1078-2017</w:t>
            </w:r>
            <w:r>
              <w:rPr>
                <w:rFonts w:hint="eastAsia"/>
                <w:color w:val="auto"/>
                <w:sz w:val="24"/>
                <w:highlight w:val="none"/>
              </w:rPr>
              <w:t>）排放限值；</w:t>
            </w:r>
            <w:r>
              <w:rPr>
                <w:color w:val="auto"/>
                <w:kern w:val="0"/>
                <w:sz w:val="24"/>
                <w:highlight w:val="none"/>
              </w:rPr>
              <w:t>运营期废气执行《大气污染物综合排放标准》（GB16297-1996）中</w:t>
            </w:r>
            <w:r>
              <w:rPr>
                <w:rFonts w:hint="eastAsia"/>
                <w:color w:val="auto"/>
                <w:kern w:val="0"/>
                <w:sz w:val="24"/>
                <w:highlight w:val="none"/>
                <w:lang w:eastAsia="zh-CN"/>
              </w:rPr>
              <w:t>无组织标准限值</w:t>
            </w:r>
            <w:r>
              <w:rPr>
                <w:rFonts w:hint="eastAsia"/>
                <w:color w:val="auto"/>
                <w:kern w:val="0"/>
                <w:sz w:val="24"/>
                <w:highlight w:val="none"/>
              </w:rPr>
              <w:t>。</w:t>
            </w:r>
          </w:p>
          <w:p>
            <w:pPr>
              <w:adjustRightInd w:val="0"/>
              <w:snapToGrid w:val="0"/>
              <w:jc w:val="center"/>
              <w:rPr>
                <w:b/>
                <w:color w:val="auto"/>
                <w:kern w:val="0"/>
                <w:szCs w:val="21"/>
                <w:highlight w:val="none"/>
              </w:rPr>
            </w:pPr>
            <w:r>
              <w:rPr>
                <w:b/>
                <w:bCs/>
                <w:color w:val="auto"/>
                <w:kern w:val="0"/>
                <w:szCs w:val="21"/>
                <w:highlight w:val="none"/>
              </w:rPr>
              <w:t>表3-</w:t>
            </w:r>
            <w:r>
              <w:rPr>
                <w:rFonts w:hint="eastAsia"/>
                <w:b/>
                <w:bCs/>
                <w:color w:val="auto"/>
                <w:kern w:val="0"/>
                <w:szCs w:val="21"/>
                <w:highlight w:val="none"/>
              </w:rPr>
              <w:t>7</w:t>
            </w:r>
            <w:r>
              <w:rPr>
                <w:b/>
                <w:bCs/>
                <w:color w:val="auto"/>
                <w:kern w:val="0"/>
                <w:szCs w:val="21"/>
                <w:highlight w:val="none"/>
              </w:rPr>
              <w:t xml:space="preserve">  </w:t>
            </w:r>
            <w:r>
              <w:rPr>
                <w:rFonts w:hint="eastAsia"/>
                <w:b/>
                <w:bCs/>
                <w:color w:val="auto"/>
                <w:kern w:val="0"/>
                <w:szCs w:val="21"/>
                <w:highlight w:val="none"/>
              </w:rPr>
              <w:t xml:space="preserve"> </w:t>
            </w:r>
            <w:r>
              <w:rPr>
                <w:b/>
                <w:bCs/>
                <w:color w:val="auto"/>
                <w:kern w:val="0"/>
                <w:szCs w:val="21"/>
                <w:highlight w:val="none"/>
              </w:rPr>
              <w:t>废气排放标准一览表</w:t>
            </w:r>
          </w:p>
          <w:tbl>
            <w:tblPr>
              <w:tblStyle w:val="34"/>
              <w:tblW w:w="809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080"/>
              <w:gridCol w:w="1921"/>
              <w:gridCol w:w="1769"/>
              <w:gridCol w:w="20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9" w:type="dxa"/>
                  <w:tcBorders>
                    <w:tl2br w:val="nil"/>
                    <w:tr2bl w:val="nil"/>
                  </w:tcBorders>
                  <w:vAlign w:val="center"/>
                </w:tcPr>
                <w:p>
                  <w:pPr>
                    <w:adjustRightInd w:val="0"/>
                    <w:snapToGrid w:val="0"/>
                    <w:jc w:val="center"/>
                    <w:rPr>
                      <w:b/>
                      <w:bCs/>
                      <w:color w:val="auto"/>
                      <w:kern w:val="0"/>
                      <w:szCs w:val="21"/>
                      <w:highlight w:val="none"/>
                    </w:rPr>
                  </w:pPr>
                  <w:r>
                    <w:rPr>
                      <w:b/>
                      <w:bCs/>
                      <w:color w:val="auto"/>
                      <w:kern w:val="0"/>
                      <w:szCs w:val="21"/>
                      <w:highlight w:val="none"/>
                    </w:rPr>
                    <w:t>污染物种类</w:t>
                  </w:r>
                </w:p>
              </w:tc>
              <w:tc>
                <w:tcPr>
                  <w:tcW w:w="6777" w:type="dxa"/>
                  <w:gridSpan w:val="4"/>
                  <w:tcBorders>
                    <w:tl2br w:val="nil"/>
                    <w:tr2bl w:val="nil"/>
                  </w:tcBorders>
                  <w:vAlign w:val="center"/>
                </w:tcPr>
                <w:p>
                  <w:pPr>
                    <w:adjustRightInd w:val="0"/>
                    <w:snapToGrid w:val="0"/>
                    <w:jc w:val="center"/>
                    <w:rPr>
                      <w:b/>
                      <w:bCs/>
                      <w:color w:val="auto"/>
                      <w:kern w:val="0"/>
                      <w:szCs w:val="21"/>
                      <w:highlight w:val="none"/>
                    </w:rPr>
                  </w:pPr>
                  <w:r>
                    <w:rPr>
                      <w:rFonts w:hint="eastAsia"/>
                      <w:b/>
                      <w:bCs/>
                      <w:color w:val="auto"/>
                      <w:kern w:val="0"/>
                      <w:szCs w:val="21"/>
                      <w:highlight w:val="none"/>
                    </w:rPr>
                    <w:t>排放标准相关要求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096" w:type="dxa"/>
                  <w:gridSpan w:val="5"/>
                  <w:tcBorders>
                    <w:tl2br w:val="nil"/>
                    <w:tr2bl w:val="nil"/>
                  </w:tcBorders>
                  <w:vAlign w:val="center"/>
                </w:tcPr>
                <w:p>
                  <w:pPr>
                    <w:adjustRightInd w:val="0"/>
                    <w:snapToGrid w:val="0"/>
                    <w:jc w:val="center"/>
                    <w:rPr>
                      <w:b/>
                      <w:bCs/>
                      <w:color w:val="auto"/>
                      <w:kern w:val="0"/>
                      <w:szCs w:val="21"/>
                      <w:highlight w:val="none"/>
                    </w:rPr>
                  </w:pPr>
                  <w:r>
                    <w:rPr>
                      <w:rFonts w:hint="eastAsia"/>
                      <w:b/>
                      <w:bCs/>
                      <w:color w:val="auto"/>
                      <w:kern w:val="0"/>
                      <w:szCs w:val="21"/>
                      <w:highlight w:val="none"/>
                    </w:rPr>
                    <w:t>施工期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9" w:type="dxa"/>
                  <w:vMerge w:val="restart"/>
                  <w:tcBorders>
                    <w:tl2br w:val="nil"/>
                    <w:tr2bl w:val="nil"/>
                  </w:tcBorders>
                  <w:vAlign w:val="center"/>
                </w:tcPr>
                <w:p>
                  <w:pPr>
                    <w:adjustRightInd w:val="0"/>
                    <w:snapToGrid w:val="0"/>
                    <w:jc w:val="center"/>
                    <w:rPr>
                      <w:color w:val="auto"/>
                      <w:kern w:val="0"/>
                      <w:szCs w:val="21"/>
                      <w:highlight w:val="none"/>
                    </w:rPr>
                  </w:pPr>
                  <w:r>
                    <w:rPr>
                      <w:rFonts w:hint="eastAsia"/>
                      <w:color w:val="auto"/>
                      <w:kern w:val="0"/>
                      <w:szCs w:val="21"/>
                      <w:highlight w:val="none"/>
                    </w:rPr>
                    <w:t>施工扬尘</w:t>
                  </w:r>
                </w:p>
              </w:tc>
              <w:tc>
                <w:tcPr>
                  <w:tcW w:w="1080" w:type="dxa"/>
                  <w:tcBorders>
                    <w:tl2br w:val="nil"/>
                    <w:tr2bl w:val="nil"/>
                  </w:tcBorders>
                  <w:vAlign w:val="center"/>
                </w:tcPr>
                <w:p>
                  <w:pPr>
                    <w:adjustRightInd w:val="0"/>
                    <w:snapToGrid w:val="0"/>
                    <w:jc w:val="center"/>
                    <w:rPr>
                      <w:b/>
                      <w:color w:val="auto"/>
                      <w:kern w:val="0"/>
                      <w:szCs w:val="21"/>
                      <w:highlight w:val="none"/>
                    </w:rPr>
                  </w:pPr>
                  <w:r>
                    <w:rPr>
                      <w:b/>
                      <w:color w:val="auto"/>
                      <w:kern w:val="0"/>
                      <w:szCs w:val="21"/>
                      <w:highlight w:val="none"/>
                    </w:rPr>
                    <w:t>监控点</w:t>
                  </w:r>
                </w:p>
              </w:tc>
              <w:tc>
                <w:tcPr>
                  <w:tcW w:w="1921" w:type="dxa"/>
                  <w:tcBorders>
                    <w:tl2br w:val="nil"/>
                    <w:tr2bl w:val="nil"/>
                  </w:tcBorders>
                  <w:vAlign w:val="center"/>
                </w:tcPr>
                <w:p>
                  <w:pPr>
                    <w:adjustRightInd w:val="0"/>
                    <w:snapToGrid w:val="0"/>
                    <w:jc w:val="center"/>
                    <w:rPr>
                      <w:b/>
                      <w:color w:val="auto"/>
                      <w:highlight w:val="none"/>
                    </w:rPr>
                  </w:pPr>
                  <w:r>
                    <w:rPr>
                      <w:rFonts w:hint="eastAsia"/>
                      <w:b/>
                      <w:color w:val="auto"/>
                      <w:highlight w:val="none"/>
                    </w:rPr>
                    <w:t>执行标准</w:t>
                  </w:r>
                </w:p>
              </w:tc>
              <w:tc>
                <w:tcPr>
                  <w:tcW w:w="1769" w:type="dxa"/>
                  <w:tcBorders>
                    <w:tl2br w:val="nil"/>
                    <w:tr2bl w:val="nil"/>
                  </w:tcBorders>
                  <w:vAlign w:val="center"/>
                </w:tcPr>
                <w:p>
                  <w:pPr>
                    <w:adjustRightInd w:val="0"/>
                    <w:snapToGrid w:val="0"/>
                    <w:jc w:val="center"/>
                    <w:rPr>
                      <w:b/>
                      <w:bCs/>
                      <w:color w:val="auto"/>
                      <w:kern w:val="0"/>
                      <w:szCs w:val="21"/>
                      <w:highlight w:val="none"/>
                    </w:rPr>
                  </w:pPr>
                  <w:r>
                    <w:rPr>
                      <w:rFonts w:hint="eastAsia"/>
                      <w:b/>
                      <w:bCs/>
                      <w:color w:val="auto"/>
                      <w:kern w:val="0"/>
                      <w:szCs w:val="21"/>
                      <w:highlight w:val="none"/>
                    </w:rPr>
                    <w:t>施工阶段</w:t>
                  </w:r>
                </w:p>
              </w:tc>
              <w:tc>
                <w:tcPr>
                  <w:tcW w:w="2007" w:type="dxa"/>
                  <w:tcBorders>
                    <w:tl2br w:val="nil"/>
                    <w:tr2bl w:val="nil"/>
                  </w:tcBorders>
                  <w:vAlign w:val="center"/>
                </w:tcPr>
                <w:p>
                  <w:pPr>
                    <w:widowControl/>
                    <w:jc w:val="center"/>
                    <w:rPr>
                      <w:b/>
                      <w:color w:val="auto"/>
                      <w:kern w:val="0"/>
                      <w:szCs w:val="21"/>
                      <w:highlight w:val="none"/>
                    </w:rPr>
                  </w:pPr>
                  <w:r>
                    <w:rPr>
                      <w:rFonts w:hint="eastAsia" w:cs="宋体"/>
                      <w:b/>
                      <w:color w:val="auto"/>
                      <w:szCs w:val="21"/>
                      <w:highlight w:val="none"/>
                    </w:rPr>
                    <w:t>小时平均浓度限值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9" w:type="dxa"/>
                  <w:vMerge w:val="continue"/>
                  <w:tcBorders>
                    <w:tl2br w:val="nil"/>
                    <w:tr2bl w:val="nil"/>
                  </w:tcBorders>
                  <w:vAlign w:val="center"/>
                </w:tcPr>
                <w:p>
                  <w:pPr>
                    <w:adjustRightInd w:val="0"/>
                    <w:snapToGrid w:val="0"/>
                    <w:jc w:val="center"/>
                    <w:rPr>
                      <w:color w:val="auto"/>
                      <w:kern w:val="0"/>
                      <w:szCs w:val="21"/>
                      <w:highlight w:val="none"/>
                    </w:rPr>
                  </w:pPr>
                </w:p>
              </w:tc>
              <w:tc>
                <w:tcPr>
                  <w:tcW w:w="1080" w:type="dxa"/>
                  <w:vMerge w:val="restart"/>
                  <w:tcBorders>
                    <w:tl2br w:val="nil"/>
                    <w:tr2bl w:val="nil"/>
                  </w:tcBorders>
                  <w:vAlign w:val="center"/>
                </w:tcPr>
                <w:p>
                  <w:pPr>
                    <w:adjustRightInd w:val="0"/>
                    <w:snapToGrid w:val="0"/>
                    <w:jc w:val="center"/>
                    <w:rPr>
                      <w:color w:val="auto"/>
                      <w:kern w:val="0"/>
                      <w:szCs w:val="21"/>
                      <w:highlight w:val="none"/>
                    </w:rPr>
                  </w:pPr>
                  <w:r>
                    <w:rPr>
                      <w:color w:val="auto"/>
                      <w:kern w:val="0"/>
                      <w:szCs w:val="21"/>
                      <w:highlight w:val="none"/>
                    </w:rPr>
                    <w:t>周界外浓度最高点</w:t>
                  </w:r>
                </w:p>
              </w:tc>
              <w:tc>
                <w:tcPr>
                  <w:tcW w:w="1921" w:type="dxa"/>
                  <w:vMerge w:val="restart"/>
                  <w:tcBorders>
                    <w:tl2br w:val="nil"/>
                    <w:tr2bl w:val="nil"/>
                  </w:tcBorders>
                  <w:vAlign w:val="center"/>
                </w:tcPr>
                <w:p>
                  <w:pPr>
                    <w:adjustRightInd w:val="0"/>
                    <w:snapToGrid w:val="0"/>
                    <w:jc w:val="center"/>
                    <w:rPr>
                      <w:color w:val="auto"/>
                      <w:kern w:val="0"/>
                      <w:szCs w:val="21"/>
                      <w:highlight w:val="none"/>
                    </w:rPr>
                  </w:pPr>
                  <w:r>
                    <w:rPr>
                      <w:rFonts w:hint="eastAsia"/>
                      <w:color w:val="auto"/>
                      <w:highlight w:val="none"/>
                    </w:rPr>
                    <w:t>《施工场界扬尘排放限值》（</w:t>
                  </w:r>
                  <w:r>
                    <w:rPr>
                      <w:color w:val="auto"/>
                      <w:highlight w:val="none"/>
                    </w:rPr>
                    <w:t>DB 61/1078-2017</w:t>
                  </w:r>
                  <w:r>
                    <w:rPr>
                      <w:rFonts w:hint="eastAsia"/>
                      <w:color w:val="auto"/>
                      <w:highlight w:val="none"/>
                    </w:rPr>
                    <w:t>）</w:t>
                  </w:r>
                </w:p>
              </w:tc>
              <w:tc>
                <w:tcPr>
                  <w:tcW w:w="1769" w:type="dxa"/>
                  <w:tcBorders>
                    <w:tl2br w:val="nil"/>
                    <w:tr2bl w:val="nil"/>
                  </w:tcBorders>
                  <w:vAlign w:val="center"/>
                </w:tcPr>
                <w:p>
                  <w:pPr>
                    <w:pStyle w:val="29"/>
                    <w:widowControl w:val="0"/>
                    <w:spacing w:before="0" w:beforeAutospacing="0" w:after="0" w:afterAutospacing="0"/>
                    <w:jc w:val="center"/>
                    <w:rPr>
                      <w:rFonts w:ascii="Times New Roman" w:hAnsi="Times New Roman"/>
                      <w:b/>
                      <w:bCs/>
                      <w:color w:val="auto"/>
                      <w:szCs w:val="21"/>
                      <w:highlight w:val="none"/>
                    </w:rPr>
                  </w:pPr>
                  <w:r>
                    <w:rPr>
                      <w:rFonts w:hint="eastAsia" w:ascii="Times New Roman" w:hAnsi="Times New Roman" w:cs="宋体"/>
                      <w:color w:val="auto"/>
                      <w:kern w:val="2"/>
                      <w:sz w:val="21"/>
                      <w:szCs w:val="21"/>
                      <w:highlight w:val="none"/>
                    </w:rPr>
                    <w:t>拆除、土方及地基处理工程</w:t>
                  </w:r>
                </w:p>
              </w:tc>
              <w:tc>
                <w:tcPr>
                  <w:tcW w:w="2007" w:type="dxa"/>
                  <w:tcBorders>
                    <w:tl2br w:val="nil"/>
                    <w:tr2bl w:val="nil"/>
                  </w:tcBorders>
                  <w:vAlign w:val="center"/>
                </w:tcPr>
                <w:p>
                  <w:pPr>
                    <w:widowControl/>
                    <w:jc w:val="center"/>
                    <w:rPr>
                      <w:color w:val="auto"/>
                      <w:kern w:val="0"/>
                      <w:szCs w:val="21"/>
                      <w:highlight w:val="none"/>
                    </w:rPr>
                  </w:pPr>
                  <w:r>
                    <w:rPr>
                      <w:rFonts w:hint="eastAsia" w:ascii="宋体" w:hAnsi="宋体" w:cs="宋体"/>
                      <w:color w:val="auto"/>
                      <w:szCs w:val="21"/>
                      <w:highlight w:val="none"/>
                    </w:rPr>
                    <w:t>≤</w:t>
                  </w:r>
                  <w:r>
                    <w:rPr>
                      <w:color w:val="auto"/>
                      <w:szCs w:val="21"/>
                      <w:highlight w:val="none"/>
                    </w:rPr>
                    <w:t>0.8</w:t>
                  </w:r>
                  <w:r>
                    <w:rPr>
                      <w:bCs/>
                      <w:color w:val="auto"/>
                      <w:szCs w:val="21"/>
                      <w:highlight w:val="none"/>
                    </w:rPr>
                    <w:t>mg/m</w:t>
                  </w:r>
                  <w:r>
                    <w:rPr>
                      <w:bCs/>
                      <w:color w:val="auto"/>
                      <w:szCs w:val="21"/>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9" w:type="dxa"/>
                  <w:vMerge w:val="continue"/>
                  <w:tcBorders>
                    <w:tl2br w:val="nil"/>
                    <w:tr2bl w:val="nil"/>
                  </w:tcBorders>
                  <w:vAlign w:val="center"/>
                </w:tcPr>
                <w:p>
                  <w:pPr>
                    <w:adjustRightInd w:val="0"/>
                    <w:snapToGrid w:val="0"/>
                    <w:jc w:val="center"/>
                    <w:rPr>
                      <w:color w:val="auto"/>
                      <w:kern w:val="0"/>
                      <w:szCs w:val="21"/>
                      <w:highlight w:val="none"/>
                    </w:rPr>
                  </w:pPr>
                </w:p>
              </w:tc>
              <w:tc>
                <w:tcPr>
                  <w:tcW w:w="1080" w:type="dxa"/>
                  <w:vMerge w:val="continue"/>
                  <w:tcBorders>
                    <w:tl2br w:val="nil"/>
                    <w:tr2bl w:val="nil"/>
                  </w:tcBorders>
                  <w:vAlign w:val="center"/>
                </w:tcPr>
                <w:p>
                  <w:pPr>
                    <w:adjustRightInd w:val="0"/>
                    <w:snapToGrid w:val="0"/>
                    <w:jc w:val="center"/>
                    <w:rPr>
                      <w:color w:val="auto"/>
                      <w:kern w:val="0"/>
                      <w:szCs w:val="21"/>
                      <w:highlight w:val="none"/>
                    </w:rPr>
                  </w:pPr>
                </w:p>
              </w:tc>
              <w:tc>
                <w:tcPr>
                  <w:tcW w:w="1921" w:type="dxa"/>
                  <w:vMerge w:val="continue"/>
                  <w:tcBorders>
                    <w:tl2br w:val="nil"/>
                    <w:tr2bl w:val="nil"/>
                  </w:tcBorders>
                  <w:vAlign w:val="center"/>
                </w:tcPr>
                <w:p>
                  <w:pPr>
                    <w:adjustRightInd w:val="0"/>
                    <w:snapToGrid w:val="0"/>
                    <w:jc w:val="center"/>
                    <w:rPr>
                      <w:color w:val="auto"/>
                      <w:highlight w:val="none"/>
                    </w:rPr>
                  </w:pPr>
                </w:p>
              </w:tc>
              <w:tc>
                <w:tcPr>
                  <w:tcW w:w="1769" w:type="dxa"/>
                  <w:tcBorders>
                    <w:tl2br w:val="nil"/>
                    <w:tr2bl w:val="nil"/>
                  </w:tcBorders>
                  <w:vAlign w:val="center"/>
                </w:tcPr>
                <w:p>
                  <w:pPr>
                    <w:pStyle w:val="29"/>
                    <w:widowControl w:val="0"/>
                    <w:spacing w:before="0" w:beforeAutospacing="0" w:after="0" w:afterAutospacing="0"/>
                    <w:jc w:val="center"/>
                    <w:rPr>
                      <w:rFonts w:ascii="Times New Roman" w:hAnsi="Times New Roman"/>
                      <w:b/>
                      <w:bCs/>
                      <w:color w:val="auto"/>
                      <w:szCs w:val="21"/>
                      <w:highlight w:val="none"/>
                    </w:rPr>
                  </w:pPr>
                  <w:r>
                    <w:rPr>
                      <w:rFonts w:hint="eastAsia" w:ascii="Times New Roman" w:hAnsi="Times New Roman" w:cs="宋体"/>
                      <w:color w:val="auto"/>
                      <w:kern w:val="2"/>
                      <w:sz w:val="21"/>
                      <w:szCs w:val="21"/>
                      <w:highlight w:val="none"/>
                    </w:rPr>
                    <w:t>基础、主体结构及装饰工程</w:t>
                  </w:r>
                </w:p>
              </w:tc>
              <w:tc>
                <w:tcPr>
                  <w:tcW w:w="2007" w:type="dxa"/>
                  <w:tcBorders>
                    <w:tl2br w:val="nil"/>
                    <w:tr2bl w:val="nil"/>
                  </w:tcBorders>
                  <w:vAlign w:val="center"/>
                </w:tcPr>
                <w:p>
                  <w:pPr>
                    <w:widowControl/>
                    <w:jc w:val="center"/>
                    <w:rPr>
                      <w:color w:val="auto"/>
                      <w:kern w:val="0"/>
                      <w:szCs w:val="21"/>
                      <w:highlight w:val="none"/>
                    </w:rPr>
                  </w:pPr>
                  <w:r>
                    <w:rPr>
                      <w:rFonts w:hint="eastAsia" w:ascii="宋体" w:hAnsi="宋体" w:cs="宋体"/>
                      <w:color w:val="auto"/>
                      <w:szCs w:val="21"/>
                      <w:highlight w:val="none"/>
                    </w:rPr>
                    <w:t>≤</w:t>
                  </w:r>
                  <w:r>
                    <w:rPr>
                      <w:color w:val="auto"/>
                      <w:szCs w:val="21"/>
                      <w:highlight w:val="none"/>
                    </w:rPr>
                    <w:t>0.7</w:t>
                  </w:r>
                  <w:r>
                    <w:rPr>
                      <w:bCs/>
                      <w:color w:val="auto"/>
                      <w:szCs w:val="21"/>
                      <w:highlight w:val="none"/>
                    </w:rPr>
                    <w:t>mg/m</w:t>
                  </w:r>
                  <w:r>
                    <w:rPr>
                      <w:bCs/>
                      <w:color w:val="auto"/>
                      <w:szCs w:val="21"/>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096" w:type="dxa"/>
                  <w:gridSpan w:val="5"/>
                  <w:tcBorders>
                    <w:tl2br w:val="nil"/>
                    <w:tr2bl w:val="nil"/>
                  </w:tcBorders>
                  <w:vAlign w:val="center"/>
                </w:tcPr>
                <w:p>
                  <w:pPr>
                    <w:adjustRightInd w:val="0"/>
                    <w:snapToGrid w:val="0"/>
                    <w:jc w:val="center"/>
                    <w:rPr>
                      <w:b/>
                      <w:color w:val="auto"/>
                      <w:kern w:val="0"/>
                      <w:szCs w:val="21"/>
                      <w:highlight w:val="none"/>
                    </w:rPr>
                  </w:pPr>
                  <w:r>
                    <w:rPr>
                      <w:rFonts w:hint="eastAsia"/>
                      <w:b/>
                      <w:color w:val="auto"/>
                      <w:kern w:val="0"/>
                      <w:szCs w:val="21"/>
                      <w:highlight w:val="none"/>
                    </w:rPr>
                    <w:t>运营期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9" w:type="dxa"/>
                  <w:vMerge w:val="restart"/>
                  <w:tcBorders>
                    <w:tl2br w:val="nil"/>
                    <w:tr2bl w:val="nil"/>
                  </w:tcBorders>
                  <w:vAlign w:val="center"/>
                </w:tcPr>
                <w:p>
                  <w:pPr>
                    <w:adjustRightInd w:val="0"/>
                    <w:snapToGrid w:val="0"/>
                    <w:jc w:val="center"/>
                    <w:rPr>
                      <w:b/>
                      <w:color w:val="auto"/>
                      <w:kern w:val="0"/>
                      <w:szCs w:val="21"/>
                      <w:highlight w:val="none"/>
                    </w:rPr>
                  </w:pPr>
                  <w:r>
                    <w:rPr>
                      <w:rFonts w:hint="eastAsia"/>
                      <w:color w:val="auto"/>
                      <w:kern w:val="0"/>
                      <w:szCs w:val="21"/>
                      <w:highlight w:val="none"/>
                    </w:rPr>
                    <w:t>颗粒物</w:t>
                  </w:r>
                </w:p>
              </w:tc>
              <w:tc>
                <w:tcPr>
                  <w:tcW w:w="1080" w:type="dxa"/>
                  <w:tcBorders>
                    <w:tl2br w:val="nil"/>
                    <w:tr2bl w:val="nil"/>
                  </w:tcBorders>
                  <w:vAlign w:val="center"/>
                </w:tcPr>
                <w:p>
                  <w:pPr>
                    <w:adjustRightInd w:val="0"/>
                    <w:snapToGrid w:val="0"/>
                    <w:jc w:val="center"/>
                    <w:rPr>
                      <w:b/>
                      <w:color w:val="auto"/>
                      <w:kern w:val="0"/>
                      <w:szCs w:val="21"/>
                      <w:highlight w:val="none"/>
                    </w:rPr>
                  </w:pPr>
                  <w:r>
                    <w:rPr>
                      <w:b/>
                      <w:color w:val="auto"/>
                      <w:kern w:val="0"/>
                      <w:szCs w:val="21"/>
                      <w:highlight w:val="none"/>
                    </w:rPr>
                    <w:t>排放形式</w:t>
                  </w:r>
                </w:p>
              </w:tc>
              <w:tc>
                <w:tcPr>
                  <w:tcW w:w="1921" w:type="dxa"/>
                  <w:tcBorders>
                    <w:tl2br w:val="nil"/>
                    <w:tr2bl w:val="nil"/>
                  </w:tcBorders>
                  <w:vAlign w:val="center"/>
                </w:tcPr>
                <w:p>
                  <w:pPr>
                    <w:adjustRightInd w:val="0"/>
                    <w:snapToGrid w:val="0"/>
                    <w:jc w:val="center"/>
                    <w:rPr>
                      <w:b/>
                      <w:color w:val="auto"/>
                      <w:kern w:val="0"/>
                      <w:szCs w:val="21"/>
                      <w:highlight w:val="none"/>
                    </w:rPr>
                  </w:pPr>
                  <w:r>
                    <w:rPr>
                      <w:b/>
                      <w:color w:val="auto"/>
                      <w:kern w:val="0"/>
                      <w:szCs w:val="21"/>
                      <w:highlight w:val="none"/>
                    </w:rPr>
                    <w:t>执行标准</w:t>
                  </w:r>
                </w:p>
              </w:tc>
              <w:tc>
                <w:tcPr>
                  <w:tcW w:w="1769" w:type="dxa"/>
                  <w:tcBorders>
                    <w:tl2br w:val="nil"/>
                    <w:tr2bl w:val="nil"/>
                  </w:tcBorders>
                  <w:vAlign w:val="center"/>
                </w:tcPr>
                <w:p>
                  <w:pPr>
                    <w:adjustRightInd w:val="0"/>
                    <w:snapToGrid w:val="0"/>
                    <w:jc w:val="center"/>
                    <w:rPr>
                      <w:b/>
                      <w:bCs/>
                      <w:color w:val="auto"/>
                      <w:kern w:val="0"/>
                      <w:szCs w:val="21"/>
                      <w:highlight w:val="none"/>
                    </w:rPr>
                  </w:pPr>
                  <w:r>
                    <w:rPr>
                      <w:rFonts w:hint="eastAsia"/>
                      <w:b/>
                      <w:bCs/>
                      <w:color w:val="auto"/>
                      <w:kern w:val="0"/>
                      <w:szCs w:val="21"/>
                      <w:highlight w:val="none"/>
                    </w:rPr>
                    <w:t>监控点</w:t>
                  </w:r>
                </w:p>
              </w:tc>
              <w:tc>
                <w:tcPr>
                  <w:tcW w:w="2007" w:type="dxa"/>
                  <w:tcBorders>
                    <w:tl2br w:val="nil"/>
                    <w:tr2bl w:val="nil"/>
                  </w:tcBorders>
                  <w:vAlign w:val="center"/>
                </w:tcPr>
                <w:p>
                  <w:pPr>
                    <w:adjustRightInd w:val="0"/>
                    <w:snapToGrid w:val="0"/>
                    <w:rPr>
                      <w:b/>
                      <w:color w:val="auto"/>
                      <w:kern w:val="0"/>
                      <w:szCs w:val="21"/>
                      <w:highlight w:val="none"/>
                    </w:rPr>
                  </w:pPr>
                  <w:r>
                    <w:rPr>
                      <w:b/>
                      <w:color w:val="auto"/>
                      <w:kern w:val="0"/>
                      <w:szCs w:val="21"/>
                      <w:highlight w:val="none"/>
                    </w:rPr>
                    <w:t>浓</w:t>
                  </w:r>
                  <w:r>
                    <w:rPr>
                      <w:rFonts w:hint="eastAsia"/>
                      <w:b/>
                      <w:color w:val="auto"/>
                      <w:kern w:val="0"/>
                      <w:szCs w:val="21"/>
                      <w:highlight w:val="none"/>
                    </w:rPr>
                    <w:t>度</w:t>
                  </w:r>
                  <w:r>
                    <w:rPr>
                      <w:b/>
                      <w:color w:val="auto"/>
                      <w:kern w:val="0"/>
                      <w:szCs w:val="21"/>
                      <w:highlight w:val="none"/>
                    </w:rPr>
                    <w:t>限值</w:t>
                  </w:r>
                  <w:r>
                    <w:rPr>
                      <w:rFonts w:hint="eastAsia"/>
                      <w:b/>
                      <w:color w:val="auto"/>
                      <w:kern w:val="0"/>
                      <w:szCs w:val="21"/>
                      <w:highlight w:val="none"/>
                    </w:rPr>
                    <w:t>（</w:t>
                  </w:r>
                  <w:r>
                    <w:rPr>
                      <w:b/>
                      <w:color w:val="auto"/>
                      <w:kern w:val="0"/>
                      <w:szCs w:val="21"/>
                      <w:highlight w:val="none"/>
                    </w:rPr>
                    <w:t>mg/m</w:t>
                  </w:r>
                  <w:r>
                    <w:rPr>
                      <w:b/>
                      <w:color w:val="auto"/>
                      <w:kern w:val="0"/>
                      <w:szCs w:val="21"/>
                      <w:highlight w:val="none"/>
                      <w:vertAlign w:val="superscript"/>
                    </w:rPr>
                    <w:t>3</w:t>
                  </w:r>
                  <w:r>
                    <w:rPr>
                      <w:rFonts w:hint="eastAsia"/>
                      <w:b/>
                      <w:color w:val="auto"/>
                      <w:kern w:val="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19" w:type="dxa"/>
                  <w:vMerge w:val="continue"/>
                  <w:tcBorders>
                    <w:tl2br w:val="nil"/>
                    <w:tr2bl w:val="nil"/>
                  </w:tcBorders>
                  <w:vAlign w:val="center"/>
                </w:tcPr>
                <w:p>
                  <w:pPr>
                    <w:adjustRightInd w:val="0"/>
                    <w:snapToGrid w:val="0"/>
                    <w:jc w:val="center"/>
                    <w:rPr>
                      <w:color w:val="auto"/>
                      <w:kern w:val="0"/>
                      <w:szCs w:val="21"/>
                      <w:highlight w:val="none"/>
                    </w:rPr>
                  </w:pPr>
                </w:p>
              </w:tc>
              <w:tc>
                <w:tcPr>
                  <w:tcW w:w="1080" w:type="dxa"/>
                  <w:tcBorders>
                    <w:tl2br w:val="nil"/>
                    <w:tr2bl w:val="nil"/>
                  </w:tcBorders>
                  <w:vAlign w:val="center"/>
                </w:tcPr>
                <w:p>
                  <w:pPr>
                    <w:adjustRightInd w:val="0"/>
                    <w:snapToGrid w:val="0"/>
                    <w:jc w:val="center"/>
                    <w:rPr>
                      <w:color w:val="auto"/>
                      <w:kern w:val="0"/>
                      <w:szCs w:val="21"/>
                      <w:highlight w:val="none"/>
                    </w:rPr>
                  </w:pPr>
                  <w:r>
                    <w:rPr>
                      <w:color w:val="auto"/>
                      <w:kern w:val="0"/>
                      <w:szCs w:val="21"/>
                      <w:highlight w:val="none"/>
                    </w:rPr>
                    <w:t>无组织</w:t>
                  </w:r>
                </w:p>
              </w:tc>
              <w:tc>
                <w:tcPr>
                  <w:tcW w:w="1921" w:type="dxa"/>
                  <w:tcBorders>
                    <w:tl2br w:val="nil"/>
                    <w:tr2bl w:val="nil"/>
                  </w:tcBorders>
                  <w:vAlign w:val="center"/>
                </w:tcPr>
                <w:p>
                  <w:pPr>
                    <w:pStyle w:val="13"/>
                    <w:jc w:val="center"/>
                    <w:rPr>
                      <w:color w:val="auto"/>
                      <w:szCs w:val="21"/>
                      <w:highlight w:val="none"/>
                    </w:rPr>
                  </w:pPr>
                  <w:r>
                    <w:rPr>
                      <w:color w:val="auto"/>
                      <w:sz w:val="21"/>
                      <w:szCs w:val="21"/>
                      <w:highlight w:val="none"/>
                    </w:rPr>
                    <w:t>《大气污染物综合排放标准》(GB16297-1996)</w:t>
                  </w:r>
                </w:p>
              </w:tc>
              <w:tc>
                <w:tcPr>
                  <w:tcW w:w="1769" w:type="dxa"/>
                  <w:tcBorders>
                    <w:tl2br w:val="nil"/>
                    <w:tr2bl w:val="nil"/>
                  </w:tcBorders>
                  <w:vAlign w:val="center"/>
                </w:tcPr>
                <w:p>
                  <w:pPr>
                    <w:adjustRightInd w:val="0"/>
                    <w:snapToGrid w:val="0"/>
                    <w:jc w:val="center"/>
                    <w:rPr>
                      <w:color w:val="auto"/>
                      <w:kern w:val="0"/>
                      <w:szCs w:val="21"/>
                      <w:highlight w:val="none"/>
                    </w:rPr>
                  </w:pPr>
                  <w:r>
                    <w:rPr>
                      <w:b/>
                      <w:bCs/>
                      <w:color w:val="auto"/>
                      <w:kern w:val="0"/>
                      <w:szCs w:val="21"/>
                      <w:highlight w:val="none"/>
                    </w:rPr>
                    <w:t>/</w:t>
                  </w:r>
                </w:p>
              </w:tc>
              <w:tc>
                <w:tcPr>
                  <w:tcW w:w="2007" w:type="dxa"/>
                  <w:tcBorders>
                    <w:tl2br w:val="nil"/>
                    <w:tr2bl w:val="nil"/>
                  </w:tcBorders>
                  <w:vAlign w:val="center"/>
                </w:tcPr>
                <w:p>
                  <w:pPr>
                    <w:adjustRightInd w:val="0"/>
                    <w:snapToGrid w:val="0"/>
                    <w:jc w:val="center"/>
                    <w:rPr>
                      <w:color w:val="auto"/>
                      <w:kern w:val="0"/>
                      <w:szCs w:val="21"/>
                      <w:highlight w:val="none"/>
                    </w:rPr>
                  </w:pPr>
                  <w:r>
                    <w:rPr>
                      <w:rFonts w:hint="eastAsia"/>
                      <w:color w:val="auto"/>
                      <w:kern w:val="0"/>
                      <w:szCs w:val="21"/>
                      <w:highlight w:val="none"/>
                    </w:rPr>
                    <w:t>1</w:t>
                  </w:r>
                  <w:r>
                    <w:rPr>
                      <w:color w:val="auto"/>
                      <w:kern w:val="0"/>
                      <w:szCs w:val="21"/>
                      <w:highlight w:val="none"/>
                    </w:rPr>
                    <w:t>.0</w:t>
                  </w:r>
                </w:p>
              </w:tc>
            </w:tr>
          </w:tbl>
          <w:p>
            <w:pPr>
              <w:snapToGrid w:val="0"/>
              <w:spacing w:line="360" w:lineRule="auto"/>
              <w:ind w:firstLine="480" w:firstLineChars="200"/>
              <w:rPr>
                <w:color w:val="auto"/>
                <w:sz w:val="24"/>
                <w:highlight w:val="none"/>
              </w:rPr>
            </w:pPr>
            <w:r>
              <w:rPr>
                <w:rFonts w:hint="eastAsia"/>
                <w:color w:val="auto"/>
                <w:sz w:val="24"/>
                <w:highlight w:val="none"/>
              </w:rPr>
              <w:t>3、施工期噪声执行《建筑施工场界环境噪声排放标准》（GB 12523-2011）中相关要求；运营期噪声排放执行《工业企业厂界环境噪声排放标准》（G</w:t>
            </w:r>
            <w:r>
              <w:rPr>
                <w:color w:val="auto"/>
                <w:sz w:val="24"/>
                <w:highlight w:val="none"/>
              </w:rPr>
              <w:t>B 12348-2008</w:t>
            </w:r>
            <w:r>
              <w:rPr>
                <w:rFonts w:hint="eastAsia"/>
                <w:color w:val="auto"/>
                <w:sz w:val="24"/>
                <w:highlight w:val="none"/>
              </w:rPr>
              <w:t>）表1中2类功能区的排放限值。</w:t>
            </w:r>
          </w:p>
          <w:p>
            <w:pPr>
              <w:adjustRightInd w:val="0"/>
              <w:snapToGrid w:val="0"/>
              <w:jc w:val="center"/>
              <w:rPr>
                <w:b/>
                <w:color w:val="auto"/>
                <w:kern w:val="0"/>
                <w:szCs w:val="21"/>
                <w:highlight w:val="none"/>
              </w:rPr>
            </w:pPr>
            <w:r>
              <w:rPr>
                <w:b/>
                <w:bCs/>
                <w:color w:val="auto"/>
                <w:kern w:val="0"/>
                <w:szCs w:val="21"/>
                <w:highlight w:val="none"/>
              </w:rPr>
              <w:t>表3-</w:t>
            </w:r>
            <w:r>
              <w:rPr>
                <w:rFonts w:hint="eastAsia"/>
                <w:b/>
                <w:bCs/>
                <w:color w:val="auto"/>
                <w:kern w:val="0"/>
                <w:szCs w:val="21"/>
                <w:highlight w:val="none"/>
              </w:rPr>
              <w:t xml:space="preserve">8 </w:t>
            </w:r>
            <w:r>
              <w:rPr>
                <w:b/>
                <w:bCs/>
                <w:color w:val="auto"/>
                <w:kern w:val="0"/>
                <w:szCs w:val="21"/>
                <w:highlight w:val="none"/>
              </w:rPr>
              <w:t xml:space="preserve">  噪声排放标准</w:t>
            </w:r>
            <w:r>
              <w:rPr>
                <w:rFonts w:hint="eastAsia"/>
                <w:b/>
                <w:bCs/>
                <w:color w:val="auto"/>
                <w:kern w:val="0"/>
                <w:szCs w:val="21"/>
                <w:highlight w:val="none"/>
              </w:rPr>
              <w:t xml:space="preserve">          单位：</w:t>
            </w:r>
            <w:r>
              <w:rPr>
                <w:b/>
                <w:bCs/>
                <w:color w:val="auto"/>
                <w:kern w:val="0"/>
                <w:szCs w:val="21"/>
                <w:highlight w:val="none"/>
              </w:rPr>
              <w:t>dB</w:t>
            </w:r>
            <w:r>
              <w:rPr>
                <w:rFonts w:hint="eastAsia"/>
                <w:b/>
                <w:bCs/>
                <w:color w:val="auto"/>
                <w:kern w:val="0"/>
                <w:szCs w:val="21"/>
                <w:highlight w:val="none"/>
              </w:rPr>
              <w:t>（A）</w:t>
            </w:r>
          </w:p>
          <w:tbl>
            <w:tblPr>
              <w:tblStyle w:val="34"/>
              <w:tblW w:w="818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41"/>
              <w:gridCol w:w="1371"/>
              <w:gridCol w:w="13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1" w:type="dxa"/>
                  <w:vMerge w:val="restart"/>
                  <w:tcBorders>
                    <w:tl2br w:val="nil"/>
                    <w:tr2bl w:val="nil"/>
                  </w:tcBorders>
                  <w:vAlign w:val="center"/>
                </w:tcPr>
                <w:p>
                  <w:pPr>
                    <w:adjustRightInd w:val="0"/>
                    <w:snapToGrid w:val="0"/>
                    <w:jc w:val="center"/>
                    <w:rPr>
                      <w:color w:val="auto"/>
                      <w:kern w:val="0"/>
                      <w:szCs w:val="21"/>
                      <w:highlight w:val="none"/>
                    </w:rPr>
                  </w:pPr>
                  <w:r>
                    <w:rPr>
                      <w:color w:val="auto"/>
                      <w:kern w:val="0"/>
                      <w:szCs w:val="21"/>
                      <w:highlight w:val="none"/>
                    </w:rPr>
                    <w:t>执行标准</w:t>
                  </w:r>
                </w:p>
              </w:tc>
              <w:tc>
                <w:tcPr>
                  <w:tcW w:w="2742" w:type="dxa"/>
                  <w:gridSpan w:val="2"/>
                  <w:tcBorders>
                    <w:tl2br w:val="nil"/>
                    <w:tr2bl w:val="nil"/>
                  </w:tcBorders>
                  <w:vAlign w:val="center"/>
                </w:tcPr>
                <w:p>
                  <w:pPr>
                    <w:adjustRightInd w:val="0"/>
                    <w:snapToGrid w:val="0"/>
                    <w:jc w:val="center"/>
                    <w:rPr>
                      <w:color w:val="auto"/>
                      <w:kern w:val="0"/>
                      <w:szCs w:val="21"/>
                      <w:highlight w:val="none"/>
                    </w:rPr>
                  </w:pPr>
                  <w:r>
                    <w:rPr>
                      <w:color w:val="auto"/>
                      <w:kern w:val="0"/>
                      <w:szCs w:val="21"/>
                      <w:highlight w:val="none"/>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1" w:type="dxa"/>
                  <w:vMerge w:val="continue"/>
                  <w:tcBorders>
                    <w:tl2br w:val="nil"/>
                    <w:tr2bl w:val="nil"/>
                  </w:tcBorders>
                  <w:vAlign w:val="center"/>
                </w:tcPr>
                <w:p>
                  <w:pPr>
                    <w:adjustRightInd w:val="0"/>
                    <w:snapToGrid w:val="0"/>
                    <w:jc w:val="center"/>
                    <w:rPr>
                      <w:color w:val="auto"/>
                      <w:kern w:val="0"/>
                      <w:szCs w:val="21"/>
                      <w:highlight w:val="none"/>
                    </w:rPr>
                  </w:pPr>
                </w:p>
              </w:tc>
              <w:tc>
                <w:tcPr>
                  <w:tcW w:w="1371" w:type="dxa"/>
                  <w:tcBorders>
                    <w:tl2br w:val="nil"/>
                    <w:tr2bl w:val="nil"/>
                  </w:tcBorders>
                  <w:vAlign w:val="center"/>
                </w:tcPr>
                <w:p>
                  <w:pPr>
                    <w:adjustRightInd w:val="0"/>
                    <w:snapToGrid w:val="0"/>
                    <w:jc w:val="center"/>
                    <w:rPr>
                      <w:color w:val="auto"/>
                      <w:kern w:val="0"/>
                      <w:szCs w:val="21"/>
                      <w:highlight w:val="none"/>
                    </w:rPr>
                  </w:pPr>
                  <w:r>
                    <w:rPr>
                      <w:color w:val="auto"/>
                      <w:kern w:val="0"/>
                      <w:szCs w:val="21"/>
                      <w:highlight w:val="none"/>
                    </w:rPr>
                    <w:t>昼间</w:t>
                  </w:r>
                </w:p>
              </w:tc>
              <w:tc>
                <w:tcPr>
                  <w:tcW w:w="1371" w:type="dxa"/>
                  <w:tcBorders>
                    <w:tl2br w:val="nil"/>
                    <w:tr2bl w:val="nil"/>
                  </w:tcBorders>
                  <w:vAlign w:val="center"/>
                </w:tcPr>
                <w:p>
                  <w:pPr>
                    <w:adjustRightInd w:val="0"/>
                    <w:snapToGrid w:val="0"/>
                    <w:jc w:val="center"/>
                    <w:rPr>
                      <w:color w:val="auto"/>
                      <w:kern w:val="0"/>
                      <w:szCs w:val="21"/>
                      <w:highlight w:val="none"/>
                    </w:rPr>
                  </w:pPr>
                  <w:r>
                    <w:rPr>
                      <w:color w:val="auto"/>
                      <w:kern w:val="0"/>
                      <w:szCs w:val="21"/>
                      <w:highlight w:val="none"/>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1" w:type="dxa"/>
                  <w:tcBorders>
                    <w:tl2br w:val="nil"/>
                    <w:tr2bl w:val="nil"/>
                  </w:tcBorders>
                  <w:vAlign w:val="center"/>
                </w:tcPr>
                <w:p>
                  <w:pPr>
                    <w:adjustRightInd w:val="0"/>
                    <w:snapToGrid w:val="0"/>
                    <w:jc w:val="center"/>
                    <w:rPr>
                      <w:color w:val="auto"/>
                      <w:kern w:val="0"/>
                      <w:szCs w:val="21"/>
                      <w:highlight w:val="none"/>
                    </w:rPr>
                  </w:pPr>
                  <w:r>
                    <w:rPr>
                      <w:color w:val="auto"/>
                      <w:kern w:val="0"/>
                      <w:szCs w:val="21"/>
                      <w:highlight w:val="none"/>
                    </w:rPr>
                    <w:t>《</w:t>
                  </w:r>
                  <w:r>
                    <w:rPr>
                      <w:rFonts w:hint="eastAsia"/>
                      <w:color w:val="auto"/>
                      <w:kern w:val="0"/>
                      <w:szCs w:val="21"/>
                      <w:highlight w:val="none"/>
                    </w:rPr>
                    <w:t>建筑施工场界环境噪声排放标准</w:t>
                  </w:r>
                  <w:r>
                    <w:rPr>
                      <w:color w:val="auto"/>
                      <w:kern w:val="0"/>
                      <w:szCs w:val="21"/>
                      <w:highlight w:val="none"/>
                    </w:rPr>
                    <w:t>》（</w:t>
                  </w:r>
                  <w:r>
                    <w:rPr>
                      <w:color w:val="auto"/>
                      <w:szCs w:val="21"/>
                      <w:highlight w:val="none"/>
                    </w:rPr>
                    <w:t>GB 12523</w:t>
                  </w:r>
                  <w:r>
                    <w:rPr>
                      <w:rFonts w:hint="eastAsia"/>
                      <w:color w:val="auto"/>
                      <w:szCs w:val="21"/>
                      <w:highlight w:val="none"/>
                    </w:rPr>
                    <w:t>-</w:t>
                  </w:r>
                  <w:r>
                    <w:rPr>
                      <w:color w:val="auto"/>
                      <w:szCs w:val="21"/>
                      <w:highlight w:val="none"/>
                    </w:rPr>
                    <w:t>2011</w:t>
                  </w:r>
                  <w:r>
                    <w:rPr>
                      <w:color w:val="auto"/>
                      <w:kern w:val="0"/>
                      <w:szCs w:val="21"/>
                      <w:highlight w:val="none"/>
                    </w:rPr>
                    <w:t>）</w:t>
                  </w:r>
                </w:p>
              </w:tc>
              <w:tc>
                <w:tcPr>
                  <w:tcW w:w="1371" w:type="dxa"/>
                  <w:tcBorders>
                    <w:tl2br w:val="nil"/>
                    <w:tr2bl w:val="nil"/>
                  </w:tcBorders>
                  <w:vAlign w:val="center"/>
                </w:tcPr>
                <w:p>
                  <w:pPr>
                    <w:adjustRightInd w:val="0"/>
                    <w:snapToGrid w:val="0"/>
                    <w:jc w:val="center"/>
                    <w:rPr>
                      <w:color w:val="auto"/>
                      <w:kern w:val="0"/>
                      <w:szCs w:val="21"/>
                      <w:highlight w:val="none"/>
                    </w:rPr>
                  </w:pPr>
                  <w:r>
                    <w:rPr>
                      <w:rFonts w:hint="eastAsia"/>
                      <w:color w:val="auto"/>
                      <w:kern w:val="0"/>
                      <w:szCs w:val="21"/>
                      <w:highlight w:val="none"/>
                    </w:rPr>
                    <w:t>70</w:t>
                  </w:r>
                </w:p>
              </w:tc>
              <w:tc>
                <w:tcPr>
                  <w:tcW w:w="1371" w:type="dxa"/>
                  <w:tcBorders>
                    <w:tl2br w:val="nil"/>
                    <w:tr2bl w:val="nil"/>
                  </w:tcBorders>
                  <w:vAlign w:val="center"/>
                </w:tcPr>
                <w:p>
                  <w:pPr>
                    <w:adjustRightInd w:val="0"/>
                    <w:snapToGrid w:val="0"/>
                    <w:jc w:val="center"/>
                    <w:rPr>
                      <w:color w:val="auto"/>
                      <w:kern w:val="0"/>
                      <w:szCs w:val="21"/>
                      <w:highlight w:val="none"/>
                    </w:rPr>
                  </w:pPr>
                  <w:r>
                    <w:rPr>
                      <w:rFonts w:hint="eastAsia"/>
                      <w:color w:val="auto"/>
                      <w:kern w:val="0"/>
                      <w:szCs w:val="21"/>
                      <w:highlight w:val="none"/>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1" w:type="dxa"/>
                  <w:tcBorders>
                    <w:tl2br w:val="nil"/>
                    <w:tr2bl w:val="nil"/>
                  </w:tcBorders>
                  <w:vAlign w:val="center"/>
                </w:tcPr>
                <w:p>
                  <w:pPr>
                    <w:adjustRightInd w:val="0"/>
                    <w:snapToGrid w:val="0"/>
                    <w:jc w:val="center"/>
                    <w:rPr>
                      <w:color w:val="auto"/>
                      <w:kern w:val="0"/>
                      <w:szCs w:val="21"/>
                      <w:highlight w:val="none"/>
                    </w:rPr>
                  </w:pPr>
                  <w:r>
                    <w:rPr>
                      <w:color w:val="auto"/>
                      <w:kern w:val="0"/>
                      <w:szCs w:val="21"/>
                      <w:highlight w:val="none"/>
                    </w:rPr>
                    <w:t>《工业企业厂界环境噪声排放标准》（GB12348-2008）</w:t>
                  </w:r>
                </w:p>
              </w:tc>
              <w:tc>
                <w:tcPr>
                  <w:tcW w:w="1371" w:type="dxa"/>
                  <w:tcBorders>
                    <w:tl2br w:val="nil"/>
                    <w:tr2bl w:val="nil"/>
                  </w:tcBorders>
                  <w:vAlign w:val="center"/>
                </w:tcPr>
                <w:p>
                  <w:pPr>
                    <w:adjustRightInd w:val="0"/>
                    <w:snapToGrid w:val="0"/>
                    <w:jc w:val="center"/>
                    <w:rPr>
                      <w:rFonts w:hint="eastAsia" w:eastAsia="宋体"/>
                      <w:color w:val="auto"/>
                      <w:kern w:val="0"/>
                      <w:szCs w:val="21"/>
                      <w:highlight w:val="none"/>
                      <w:lang w:eastAsia="zh-CN"/>
                    </w:rPr>
                  </w:pPr>
                  <w:r>
                    <w:rPr>
                      <w:rFonts w:hint="eastAsia"/>
                      <w:color w:val="auto"/>
                      <w:kern w:val="0"/>
                      <w:szCs w:val="21"/>
                      <w:highlight w:val="none"/>
                    </w:rPr>
                    <w:t>6</w:t>
                  </w:r>
                  <w:r>
                    <w:rPr>
                      <w:rFonts w:hint="eastAsia"/>
                      <w:color w:val="auto"/>
                      <w:kern w:val="0"/>
                      <w:szCs w:val="21"/>
                      <w:highlight w:val="none"/>
                      <w:lang w:val="en-US" w:eastAsia="zh-CN"/>
                    </w:rPr>
                    <w:t>0</w:t>
                  </w:r>
                </w:p>
              </w:tc>
              <w:tc>
                <w:tcPr>
                  <w:tcW w:w="1371" w:type="dxa"/>
                  <w:tcBorders>
                    <w:tl2br w:val="nil"/>
                    <w:tr2bl w:val="nil"/>
                  </w:tcBorders>
                  <w:vAlign w:val="center"/>
                </w:tcPr>
                <w:p>
                  <w:pPr>
                    <w:adjustRightInd w:val="0"/>
                    <w:snapToGrid w:val="0"/>
                    <w:jc w:val="center"/>
                    <w:rPr>
                      <w:rFonts w:hint="eastAsia" w:eastAsia="宋体"/>
                      <w:color w:val="auto"/>
                      <w:kern w:val="0"/>
                      <w:szCs w:val="21"/>
                      <w:highlight w:val="none"/>
                      <w:lang w:eastAsia="zh-CN"/>
                    </w:rPr>
                  </w:pPr>
                  <w:r>
                    <w:rPr>
                      <w:color w:val="auto"/>
                      <w:kern w:val="0"/>
                      <w:szCs w:val="21"/>
                      <w:highlight w:val="none"/>
                    </w:rPr>
                    <w:t>5</w:t>
                  </w:r>
                  <w:r>
                    <w:rPr>
                      <w:rFonts w:hint="eastAsia"/>
                      <w:color w:val="auto"/>
                      <w:kern w:val="0"/>
                      <w:szCs w:val="21"/>
                      <w:highlight w:val="none"/>
                      <w:lang w:val="en-US" w:eastAsia="zh-CN"/>
                    </w:rPr>
                    <w:t>0</w:t>
                  </w:r>
                </w:p>
              </w:tc>
            </w:tr>
          </w:tbl>
          <w:p>
            <w:pPr>
              <w:spacing w:line="360" w:lineRule="auto"/>
              <w:ind w:firstLine="480" w:firstLineChars="200"/>
              <w:jc w:val="left"/>
              <w:rPr>
                <w:rFonts w:ascii="宋体" w:hAnsi="宋体" w:cs="宋体"/>
                <w:color w:val="auto"/>
                <w:kern w:val="0"/>
                <w:szCs w:val="21"/>
                <w:highlight w:val="none"/>
              </w:rPr>
            </w:pPr>
            <w:r>
              <w:rPr>
                <w:rFonts w:hint="eastAsia"/>
                <w:color w:val="auto"/>
                <w:sz w:val="24"/>
                <w:highlight w:val="none"/>
              </w:rPr>
              <w:t>4、</w:t>
            </w:r>
            <w:r>
              <w:rPr>
                <w:color w:val="auto"/>
                <w:kern w:val="0"/>
                <w:sz w:val="24"/>
                <w:highlight w:val="none"/>
              </w:rPr>
              <w:t>一般工业固体废物的贮存、处置执行《一般工业固体废物贮存和填埋污染控制标准》（GB18599-2020）中的相关规定；</w:t>
            </w:r>
            <w:r>
              <w:rPr>
                <w:rFonts w:hint="eastAsia"/>
                <w:color w:val="auto"/>
                <w:sz w:val="24"/>
                <w:highlight w:val="none"/>
              </w:rPr>
              <w:t>危险废物贮存、处置执行《危险废物贮存污染控制标准》（GB 18597-2023）中有关规定。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678" w:type="dxa"/>
            <w:vAlign w:val="center"/>
          </w:tcPr>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总</w:t>
            </w: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量</w:t>
            </w: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控</w:t>
            </w:r>
          </w:p>
          <w:p>
            <w:pPr>
              <w:adjustRightInd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制</w:t>
            </w:r>
          </w:p>
          <w:p>
            <w:pPr>
              <w:adjustRightInd w:val="0"/>
              <w:snapToGrid w:val="0"/>
              <w:jc w:val="center"/>
              <w:rPr>
                <w:rFonts w:ascii="宋体" w:hAnsi="宋体" w:cs="宋体"/>
                <w:color w:val="auto"/>
                <w:kern w:val="0"/>
                <w:szCs w:val="21"/>
                <w:highlight w:val="none"/>
              </w:rPr>
            </w:pPr>
            <w:r>
              <w:rPr>
                <w:rFonts w:hint="eastAsia" w:ascii="宋体" w:hAnsi="宋体" w:cs="宋体"/>
                <w:color w:val="auto"/>
                <w:kern w:val="0"/>
                <w:sz w:val="24"/>
                <w:highlight w:val="none"/>
              </w:rPr>
              <w:t>指 标</w:t>
            </w:r>
          </w:p>
        </w:tc>
        <w:tc>
          <w:tcPr>
            <w:tcW w:w="8312" w:type="dxa"/>
            <w:vAlign w:val="center"/>
          </w:tcPr>
          <w:p>
            <w:pPr>
              <w:adjustRightInd w:val="0"/>
              <w:snapToGrid w:val="0"/>
              <w:jc w:val="center"/>
              <w:rPr>
                <w:color w:val="auto"/>
                <w:highlight w:val="none"/>
              </w:rPr>
            </w:pPr>
          </w:p>
          <w:p>
            <w:pPr>
              <w:pStyle w:val="42"/>
              <w:rPr>
                <w:rFonts w:hAnsi="宋体"/>
                <w:color w:val="auto"/>
                <w:szCs w:val="21"/>
                <w:highlight w:val="none"/>
              </w:rPr>
            </w:pPr>
          </w:p>
          <w:p>
            <w:pPr>
              <w:pStyle w:val="42"/>
              <w:rPr>
                <w:rFonts w:hAnsi="宋体"/>
                <w:color w:val="auto"/>
                <w:szCs w:val="21"/>
                <w:highlight w:val="none"/>
              </w:rPr>
            </w:pPr>
          </w:p>
          <w:p>
            <w:pPr>
              <w:pStyle w:val="42"/>
              <w:jc w:val="center"/>
              <w:rPr>
                <w:rFonts w:hAnsi="宋体"/>
                <w:color w:val="auto"/>
                <w:szCs w:val="21"/>
                <w:highlight w:val="none"/>
              </w:rPr>
            </w:pPr>
            <w:r>
              <w:rPr>
                <w:rFonts w:hint="eastAsia" w:hAnsi="宋体"/>
                <w:color w:val="auto"/>
                <w:szCs w:val="21"/>
                <w:highlight w:val="none"/>
              </w:rPr>
              <w:t>无</w:t>
            </w:r>
          </w:p>
          <w:p>
            <w:pPr>
              <w:pStyle w:val="42"/>
              <w:rPr>
                <w:rFonts w:hAnsi="宋体"/>
                <w:color w:val="auto"/>
                <w:szCs w:val="21"/>
                <w:highlight w:val="none"/>
              </w:rPr>
            </w:pPr>
          </w:p>
          <w:p>
            <w:pPr>
              <w:pStyle w:val="42"/>
              <w:rPr>
                <w:rFonts w:hAnsi="宋体"/>
                <w:color w:val="auto"/>
                <w:szCs w:val="21"/>
                <w:highlight w:val="none"/>
              </w:rPr>
            </w:pPr>
          </w:p>
        </w:tc>
      </w:tr>
    </w:tbl>
    <w:p>
      <w:pPr>
        <w:pStyle w:val="29"/>
        <w:spacing w:before="0" w:beforeAutospacing="0" w:after="0" w:afterAutospacing="0"/>
        <w:jc w:val="center"/>
        <w:outlineLvl w:val="0"/>
        <w:rPr>
          <w:rFonts w:ascii="黑体" w:hAnsi="黑体" w:eastAsia="黑体"/>
          <w:snapToGrid w:val="0"/>
          <w:color w:val="auto"/>
          <w:sz w:val="30"/>
          <w:szCs w:val="30"/>
          <w:highlight w:val="none"/>
        </w:rPr>
      </w:pPr>
      <w:r>
        <w:rPr>
          <w:rFonts w:ascii="黑体" w:hAnsi="黑体" w:eastAsia="黑体"/>
          <w:snapToGrid w:val="0"/>
          <w:color w:val="auto"/>
          <w:sz w:val="36"/>
          <w:szCs w:val="36"/>
          <w:highlight w:val="none"/>
        </w:rPr>
        <w:br w:type="page"/>
      </w:r>
      <w:r>
        <w:rPr>
          <w:rFonts w:hint="eastAsia" w:ascii="黑体" w:hAnsi="黑体" w:eastAsia="黑体"/>
          <w:snapToGrid w:val="0"/>
          <w:color w:val="auto"/>
          <w:sz w:val="30"/>
          <w:szCs w:val="30"/>
          <w:highlight w:val="none"/>
        </w:rPr>
        <w:t>四、主要环境影响和保护措施</w:t>
      </w:r>
    </w:p>
    <w:tbl>
      <w:tblPr>
        <w:tblStyle w:val="34"/>
        <w:tblW w:w="89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0"/>
        <w:gridCol w:w="8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360" w:type="dxa"/>
            <w:tcMar>
              <w:left w:w="28" w:type="dxa"/>
              <w:right w:w="28" w:type="dxa"/>
            </w:tcMar>
            <w:vAlign w:val="center"/>
          </w:tcPr>
          <w:p>
            <w:pPr>
              <w:adjustRightInd w:val="0"/>
              <w:snapToGrid w:val="0"/>
              <w:jc w:val="center"/>
              <w:rPr>
                <w:rFonts w:ascii="宋体" w:hAnsi="宋体" w:cs="宋体"/>
                <w:bCs/>
                <w:color w:val="auto"/>
                <w:szCs w:val="21"/>
                <w:highlight w:val="none"/>
              </w:rPr>
            </w:pPr>
            <w:r>
              <w:rPr>
                <w:rFonts w:hint="eastAsia" w:ascii="宋体" w:hAnsi="宋体" w:cs="宋体"/>
                <w:bCs/>
                <w:color w:val="auto"/>
                <w:sz w:val="24"/>
                <w:highlight w:val="none"/>
              </w:rPr>
              <w:t>施工期环境保护措施</w:t>
            </w:r>
          </w:p>
        </w:tc>
        <w:tc>
          <w:tcPr>
            <w:tcW w:w="8620" w:type="dxa"/>
            <w:vAlign w:val="center"/>
          </w:tcPr>
          <w:p>
            <w:pPr>
              <w:adjustRightInd w:val="0"/>
              <w:snapToGrid w:val="0"/>
              <w:spacing w:line="360" w:lineRule="auto"/>
              <w:ind w:firstLine="482" w:firstLineChars="200"/>
              <w:rPr>
                <w:b/>
                <w:bCs/>
                <w:color w:val="auto"/>
                <w:kern w:val="0"/>
                <w:sz w:val="24"/>
                <w:szCs w:val="20"/>
                <w:highlight w:val="none"/>
              </w:rPr>
            </w:pPr>
            <w:r>
              <w:rPr>
                <w:rFonts w:hint="eastAsia"/>
                <w:b/>
                <w:bCs/>
                <w:color w:val="auto"/>
                <w:kern w:val="0"/>
                <w:sz w:val="24"/>
                <w:szCs w:val="20"/>
                <w:highlight w:val="none"/>
              </w:rPr>
              <w:t>（</w:t>
            </w:r>
            <w:r>
              <w:rPr>
                <w:b/>
                <w:bCs/>
                <w:color w:val="auto"/>
                <w:kern w:val="0"/>
                <w:sz w:val="24"/>
                <w:szCs w:val="20"/>
                <w:highlight w:val="none"/>
              </w:rPr>
              <w:t>一</w:t>
            </w:r>
            <w:r>
              <w:rPr>
                <w:rFonts w:hint="eastAsia"/>
                <w:b/>
                <w:bCs/>
                <w:color w:val="auto"/>
                <w:kern w:val="0"/>
                <w:sz w:val="24"/>
                <w:szCs w:val="20"/>
                <w:highlight w:val="none"/>
              </w:rPr>
              <w:t>）</w:t>
            </w:r>
            <w:r>
              <w:rPr>
                <w:b/>
                <w:bCs/>
                <w:color w:val="auto"/>
                <w:kern w:val="0"/>
                <w:sz w:val="24"/>
                <w:szCs w:val="20"/>
                <w:highlight w:val="none"/>
              </w:rPr>
              <w:t>大气环境影响分析</w:t>
            </w:r>
          </w:p>
          <w:p>
            <w:pPr>
              <w:adjustRightInd w:val="0"/>
              <w:snapToGrid w:val="0"/>
              <w:spacing w:line="360" w:lineRule="auto"/>
              <w:ind w:firstLine="480" w:firstLineChars="200"/>
              <w:rPr>
                <w:color w:val="auto"/>
                <w:sz w:val="24"/>
                <w:highlight w:val="none"/>
              </w:rPr>
            </w:pPr>
            <w:r>
              <w:rPr>
                <w:color w:val="auto"/>
                <w:sz w:val="24"/>
                <w:highlight w:val="none"/>
              </w:rPr>
              <w:t>施工期废气主要为施工扬尘、</w:t>
            </w:r>
            <w:r>
              <w:rPr>
                <w:rFonts w:hint="eastAsia"/>
                <w:color w:val="auto"/>
                <w:sz w:val="24"/>
                <w:highlight w:val="none"/>
              </w:rPr>
              <w:t>焊接废气、</w:t>
            </w:r>
            <w:r>
              <w:rPr>
                <w:color w:val="auto"/>
                <w:sz w:val="24"/>
                <w:highlight w:val="none"/>
              </w:rPr>
              <w:t>施工机械</w:t>
            </w:r>
            <w:r>
              <w:rPr>
                <w:rFonts w:hint="eastAsia"/>
                <w:color w:val="auto"/>
                <w:sz w:val="24"/>
                <w:highlight w:val="none"/>
              </w:rPr>
              <w:t>及</w:t>
            </w:r>
            <w:r>
              <w:rPr>
                <w:color w:val="auto"/>
                <w:sz w:val="24"/>
                <w:highlight w:val="none"/>
              </w:rPr>
              <w:t>运输车辆尾气等。施工</w:t>
            </w:r>
            <w:r>
              <w:rPr>
                <w:rFonts w:hint="eastAsia"/>
                <w:color w:val="auto"/>
                <w:sz w:val="24"/>
                <w:highlight w:val="none"/>
              </w:rPr>
              <w:t>期废气防治措施：</w:t>
            </w:r>
          </w:p>
          <w:p>
            <w:pPr>
              <w:adjustRightInd w:val="0"/>
              <w:snapToGrid w:val="0"/>
              <w:spacing w:line="360" w:lineRule="auto"/>
              <w:ind w:firstLine="480" w:firstLineChars="200"/>
              <w:rPr>
                <w:color w:val="auto"/>
                <w:sz w:val="24"/>
                <w:highlight w:val="none"/>
              </w:rPr>
            </w:pPr>
            <w:r>
              <w:rPr>
                <w:rFonts w:hint="eastAsia"/>
                <w:color w:val="auto"/>
                <w:sz w:val="24"/>
                <w:highlight w:val="none"/>
              </w:rPr>
              <w:t>1、施工</w:t>
            </w:r>
            <w:r>
              <w:rPr>
                <w:color w:val="auto"/>
                <w:sz w:val="24"/>
                <w:highlight w:val="none"/>
              </w:rPr>
              <w:t>扬尘</w:t>
            </w:r>
          </w:p>
          <w:p>
            <w:pPr>
              <w:adjustRightInd w:val="0"/>
              <w:snapToGrid w:val="0"/>
              <w:spacing w:line="360" w:lineRule="auto"/>
              <w:ind w:firstLine="480" w:firstLineChars="200"/>
              <w:rPr>
                <w:color w:val="auto"/>
                <w:sz w:val="24"/>
                <w:highlight w:val="none"/>
              </w:rPr>
            </w:pPr>
            <w:r>
              <w:rPr>
                <w:color w:val="auto"/>
                <w:sz w:val="24"/>
                <w:highlight w:val="none"/>
              </w:rPr>
              <w:t>为进一步减轻施工扬尘对周边环境空气及环境敏感点的影响，评价要求项目施工期间应严格执行</w:t>
            </w:r>
            <w:r>
              <w:rPr>
                <w:rFonts w:hint="eastAsia"/>
                <w:color w:val="auto"/>
                <w:kern w:val="0"/>
                <w:sz w:val="24"/>
                <w:highlight w:val="none"/>
              </w:rPr>
              <w:t>《汉中市大气污染防治条例》（2020.6.11）、《汉中市大气污染治理专项行动方案（2023-2027年）》（汉发[2023]7号）</w:t>
            </w:r>
            <w:r>
              <w:rPr>
                <w:color w:val="auto"/>
                <w:sz w:val="24"/>
                <w:highlight w:val="none"/>
              </w:rPr>
              <w:t>中</w:t>
            </w:r>
            <w:r>
              <w:rPr>
                <w:rFonts w:hint="eastAsia"/>
                <w:color w:val="auto"/>
                <w:sz w:val="24"/>
                <w:highlight w:val="none"/>
              </w:rPr>
              <w:t>相关</w:t>
            </w:r>
            <w:r>
              <w:rPr>
                <w:color w:val="auto"/>
                <w:sz w:val="24"/>
                <w:highlight w:val="none"/>
              </w:rPr>
              <w:t>要求，减少施工扬尘对周围环境的影响。</w:t>
            </w:r>
          </w:p>
          <w:p>
            <w:pPr>
              <w:adjustRightInd w:val="0"/>
              <w:snapToGrid w:val="0"/>
              <w:spacing w:line="360" w:lineRule="auto"/>
              <w:ind w:firstLine="480" w:firstLineChars="200"/>
              <w:rPr>
                <w:color w:val="auto"/>
                <w:sz w:val="24"/>
                <w:highlight w:val="none"/>
              </w:rPr>
            </w:pPr>
            <w:r>
              <w:rPr>
                <w:color w:val="auto"/>
                <w:sz w:val="24"/>
                <w:highlight w:val="none"/>
              </w:rPr>
              <w:fldChar w:fldCharType="begin"/>
            </w:r>
            <w:r>
              <w:rPr>
                <w:color w:val="auto"/>
                <w:sz w:val="24"/>
                <w:highlight w:val="none"/>
              </w:rPr>
              <w:instrText xml:space="preserve"> = 1 \* alphabetic \* MERGEFORMAT </w:instrText>
            </w:r>
            <w:r>
              <w:rPr>
                <w:color w:val="auto"/>
                <w:sz w:val="24"/>
                <w:highlight w:val="none"/>
              </w:rPr>
              <w:fldChar w:fldCharType="separate"/>
            </w:r>
            <w:r>
              <w:rPr>
                <w:color w:val="auto"/>
                <w:sz w:val="24"/>
                <w:highlight w:val="none"/>
              </w:rPr>
              <w:t>a</w:t>
            </w:r>
            <w:r>
              <w:rPr>
                <w:rFonts w:hint="eastAsia"/>
                <w:color w:val="auto"/>
                <w:sz w:val="24"/>
                <w:highlight w:val="none"/>
              </w:rPr>
              <w:t>.</w:t>
            </w:r>
            <w:r>
              <w:rPr>
                <w:color w:val="auto"/>
                <w:sz w:val="24"/>
                <w:highlight w:val="none"/>
              </w:rPr>
              <w:fldChar w:fldCharType="end"/>
            </w:r>
            <w:r>
              <w:rPr>
                <w:color w:val="auto"/>
                <w:sz w:val="24"/>
                <w:highlight w:val="none"/>
              </w:rPr>
              <w:t>施工单位必须制定施工现场扬尘预防治理专项方案，并指定专人负责落实，制定空气重污染应急预案，政府发布重污染预警时，立即启动应急响应，同时对进场所有作业人员进行工地扬尘预防治理知识培训，未经培训严禁上岗；</w:t>
            </w:r>
          </w:p>
          <w:p>
            <w:pPr>
              <w:adjustRightInd w:val="0"/>
              <w:snapToGrid w:val="0"/>
              <w:spacing w:line="360" w:lineRule="auto"/>
              <w:ind w:firstLine="480" w:firstLineChars="200"/>
              <w:rPr>
                <w:color w:val="auto"/>
                <w:kern w:val="0"/>
                <w:sz w:val="24"/>
                <w:highlight w:val="none"/>
              </w:rPr>
            </w:pPr>
            <w:r>
              <w:rPr>
                <w:color w:val="auto"/>
                <w:sz w:val="24"/>
                <w:highlight w:val="none"/>
              </w:rPr>
              <w:fldChar w:fldCharType="begin"/>
            </w:r>
            <w:r>
              <w:rPr>
                <w:color w:val="auto"/>
                <w:sz w:val="24"/>
                <w:highlight w:val="none"/>
              </w:rPr>
              <w:instrText xml:space="preserve"> = 2 \* alphabetic \* MERGEFORMAT </w:instrText>
            </w:r>
            <w:r>
              <w:rPr>
                <w:color w:val="auto"/>
                <w:sz w:val="24"/>
                <w:highlight w:val="none"/>
              </w:rPr>
              <w:fldChar w:fldCharType="separate"/>
            </w:r>
            <w:r>
              <w:rPr>
                <w:color w:val="auto"/>
                <w:sz w:val="24"/>
                <w:highlight w:val="none"/>
              </w:rPr>
              <w:t>b</w:t>
            </w:r>
            <w:r>
              <w:rPr>
                <w:rFonts w:hint="eastAsia"/>
                <w:color w:val="auto"/>
                <w:sz w:val="24"/>
                <w:highlight w:val="none"/>
              </w:rPr>
              <w:t>.</w:t>
            </w:r>
            <w:r>
              <w:rPr>
                <w:color w:val="auto"/>
                <w:sz w:val="24"/>
                <w:highlight w:val="none"/>
              </w:rPr>
              <w:fldChar w:fldCharType="end"/>
            </w:r>
            <w:r>
              <w:rPr>
                <w:color w:val="auto"/>
                <w:sz w:val="24"/>
                <w:highlight w:val="none"/>
              </w:rPr>
              <w:t>施工工地周围必须设置不低于1.8</w:t>
            </w:r>
            <w:r>
              <w:rPr>
                <w:color w:val="auto"/>
                <w:kern w:val="0"/>
                <w:sz w:val="24"/>
                <w:highlight w:val="none"/>
              </w:rPr>
              <w:t>m的硬质材料围挡，湿法作业、场地覆盖，必须建立洒水清扫制度或雾化降尘措施，并由专人负责；施工工地内堆放水泥、灰土、砂石等易产生扬尘污染物料和建筑垃圾、工程渣土，必须采取封闭储存或严格的防风抑尘措施，如遮盖或者在库房内存放，严禁裸露；</w:t>
            </w:r>
          </w:p>
          <w:p>
            <w:pPr>
              <w:adjustRightInd w:val="0"/>
              <w:snapToGrid w:val="0"/>
              <w:spacing w:line="360" w:lineRule="auto"/>
              <w:ind w:firstLine="480" w:firstLineChars="200"/>
              <w:rPr>
                <w:color w:val="auto"/>
                <w:kern w:val="0"/>
                <w:sz w:val="24"/>
                <w:highlight w:val="none"/>
              </w:rPr>
            </w:pPr>
            <w:r>
              <w:rPr>
                <w:color w:val="auto"/>
                <w:kern w:val="0"/>
                <w:sz w:val="24"/>
                <w:highlight w:val="none"/>
              </w:rPr>
              <w:fldChar w:fldCharType="begin"/>
            </w:r>
            <w:r>
              <w:rPr>
                <w:color w:val="auto"/>
                <w:kern w:val="0"/>
                <w:sz w:val="24"/>
                <w:highlight w:val="none"/>
              </w:rPr>
              <w:instrText xml:space="preserve"> = 3 \* alphabetic \* MERGEFORMAT </w:instrText>
            </w:r>
            <w:r>
              <w:rPr>
                <w:color w:val="auto"/>
                <w:kern w:val="0"/>
                <w:sz w:val="24"/>
                <w:highlight w:val="none"/>
              </w:rPr>
              <w:fldChar w:fldCharType="separate"/>
            </w:r>
            <w:r>
              <w:rPr>
                <w:color w:val="auto"/>
                <w:kern w:val="0"/>
                <w:sz w:val="24"/>
                <w:highlight w:val="none"/>
              </w:rPr>
              <w:t>c</w:t>
            </w:r>
            <w:r>
              <w:rPr>
                <w:rFonts w:hint="eastAsia"/>
                <w:color w:val="auto"/>
                <w:kern w:val="0"/>
                <w:sz w:val="24"/>
                <w:highlight w:val="none"/>
              </w:rPr>
              <w:t>.</w:t>
            </w:r>
            <w:r>
              <w:rPr>
                <w:color w:val="auto"/>
                <w:kern w:val="0"/>
                <w:sz w:val="24"/>
                <w:highlight w:val="none"/>
              </w:rPr>
              <w:fldChar w:fldCharType="end"/>
            </w:r>
            <w:r>
              <w:rPr>
                <w:color w:val="auto"/>
                <w:kern w:val="0"/>
                <w:sz w:val="24"/>
                <w:highlight w:val="none"/>
              </w:rPr>
              <w:t>堆存、装卸、运输砂土、垃圾等易产生扬尘的作业，应当采取遮盖、封闭、喷淋、围挡等措施，防止抛洒、扬尘；</w:t>
            </w:r>
          </w:p>
          <w:p>
            <w:pPr>
              <w:adjustRightInd w:val="0"/>
              <w:snapToGrid w:val="0"/>
              <w:spacing w:line="360" w:lineRule="auto"/>
              <w:ind w:firstLine="480" w:firstLineChars="200"/>
              <w:rPr>
                <w:color w:val="auto"/>
                <w:kern w:val="0"/>
                <w:sz w:val="24"/>
                <w:highlight w:val="none"/>
              </w:rPr>
            </w:pPr>
            <w:r>
              <w:rPr>
                <w:color w:val="auto"/>
                <w:kern w:val="0"/>
                <w:sz w:val="24"/>
                <w:highlight w:val="none"/>
              </w:rPr>
              <w:fldChar w:fldCharType="begin"/>
            </w:r>
            <w:r>
              <w:rPr>
                <w:color w:val="auto"/>
                <w:kern w:val="0"/>
                <w:sz w:val="24"/>
                <w:highlight w:val="none"/>
              </w:rPr>
              <w:instrText xml:space="preserve"> = 4 \* alphabetic \* MERGEFORMAT </w:instrText>
            </w:r>
            <w:r>
              <w:rPr>
                <w:color w:val="auto"/>
                <w:kern w:val="0"/>
                <w:sz w:val="24"/>
                <w:highlight w:val="none"/>
              </w:rPr>
              <w:fldChar w:fldCharType="separate"/>
            </w:r>
            <w:r>
              <w:rPr>
                <w:color w:val="auto"/>
                <w:kern w:val="0"/>
                <w:sz w:val="24"/>
                <w:highlight w:val="none"/>
              </w:rPr>
              <w:t>d</w:t>
            </w:r>
            <w:r>
              <w:rPr>
                <w:rFonts w:hint="eastAsia"/>
                <w:color w:val="auto"/>
                <w:kern w:val="0"/>
                <w:sz w:val="24"/>
                <w:highlight w:val="none"/>
              </w:rPr>
              <w:t>.</w:t>
            </w:r>
            <w:r>
              <w:rPr>
                <w:color w:val="auto"/>
                <w:kern w:val="0"/>
                <w:sz w:val="24"/>
                <w:highlight w:val="none"/>
              </w:rPr>
              <w:fldChar w:fldCharType="end"/>
            </w:r>
            <w:r>
              <w:rPr>
                <w:color w:val="auto"/>
                <w:kern w:val="0"/>
                <w:sz w:val="24"/>
                <w:highlight w:val="none"/>
              </w:rPr>
              <w:t>建筑工地施工现场主要道路必须进行硬化处理，其余场地必须绿化或固化；</w:t>
            </w:r>
          </w:p>
          <w:p>
            <w:pPr>
              <w:adjustRightInd w:val="0"/>
              <w:snapToGrid w:val="0"/>
              <w:spacing w:line="360" w:lineRule="auto"/>
              <w:ind w:firstLine="480" w:firstLineChars="200"/>
              <w:jc w:val="left"/>
              <w:rPr>
                <w:color w:val="auto"/>
                <w:kern w:val="0"/>
                <w:sz w:val="24"/>
                <w:highlight w:val="none"/>
              </w:rPr>
            </w:pPr>
            <w:r>
              <w:rPr>
                <w:color w:val="auto"/>
                <w:kern w:val="0"/>
                <w:sz w:val="24"/>
                <w:highlight w:val="none"/>
              </w:rPr>
              <w:fldChar w:fldCharType="begin"/>
            </w:r>
            <w:r>
              <w:rPr>
                <w:color w:val="auto"/>
                <w:kern w:val="0"/>
                <w:sz w:val="24"/>
                <w:highlight w:val="none"/>
              </w:rPr>
              <w:instrText xml:space="preserve"> = 5 \* alphabetic \* MERGEFORMAT </w:instrText>
            </w:r>
            <w:r>
              <w:rPr>
                <w:color w:val="auto"/>
                <w:kern w:val="0"/>
                <w:sz w:val="24"/>
                <w:highlight w:val="none"/>
              </w:rPr>
              <w:fldChar w:fldCharType="separate"/>
            </w:r>
            <w:r>
              <w:rPr>
                <w:color w:val="auto"/>
                <w:kern w:val="0"/>
                <w:sz w:val="24"/>
                <w:highlight w:val="none"/>
              </w:rPr>
              <w:t>e</w:t>
            </w:r>
            <w:r>
              <w:rPr>
                <w:rFonts w:hint="eastAsia"/>
                <w:color w:val="auto"/>
                <w:kern w:val="0"/>
                <w:sz w:val="24"/>
                <w:highlight w:val="none"/>
              </w:rPr>
              <w:t>.</w:t>
            </w:r>
            <w:r>
              <w:rPr>
                <w:color w:val="auto"/>
                <w:kern w:val="0"/>
                <w:sz w:val="24"/>
                <w:highlight w:val="none"/>
              </w:rPr>
              <w:fldChar w:fldCharType="end"/>
            </w:r>
            <w:r>
              <w:rPr>
                <w:color w:val="auto"/>
                <w:kern w:val="0"/>
                <w:sz w:val="24"/>
                <w:highlight w:val="none"/>
              </w:rPr>
              <w:t>减少露天装卸作业，易产生扬尘物料采取密闭运输，严查渣土车沿途抛洒；</w:t>
            </w:r>
          </w:p>
          <w:p>
            <w:pPr>
              <w:adjustRightInd w:val="0"/>
              <w:snapToGrid w:val="0"/>
              <w:spacing w:line="360" w:lineRule="auto"/>
              <w:ind w:firstLine="480" w:firstLineChars="200"/>
              <w:jc w:val="left"/>
              <w:rPr>
                <w:color w:val="auto"/>
                <w:kern w:val="0"/>
                <w:sz w:val="24"/>
                <w:highlight w:val="none"/>
              </w:rPr>
            </w:pPr>
            <w:r>
              <w:rPr>
                <w:color w:val="auto"/>
                <w:kern w:val="0"/>
                <w:sz w:val="24"/>
                <w:highlight w:val="none"/>
              </w:rPr>
              <w:fldChar w:fldCharType="begin"/>
            </w:r>
            <w:r>
              <w:rPr>
                <w:color w:val="auto"/>
                <w:kern w:val="0"/>
                <w:sz w:val="24"/>
                <w:highlight w:val="none"/>
              </w:rPr>
              <w:instrText xml:space="preserve"> = 6 \* alphabetic \* MERGEFORMAT </w:instrText>
            </w:r>
            <w:r>
              <w:rPr>
                <w:color w:val="auto"/>
                <w:kern w:val="0"/>
                <w:sz w:val="24"/>
                <w:highlight w:val="none"/>
              </w:rPr>
              <w:fldChar w:fldCharType="separate"/>
            </w:r>
            <w:r>
              <w:rPr>
                <w:color w:val="auto"/>
                <w:kern w:val="0"/>
                <w:sz w:val="24"/>
                <w:highlight w:val="none"/>
              </w:rPr>
              <w:t>f</w:t>
            </w:r>
            <w:r>
              <w:rPr>
                <w:rFonts w:hint="eastAsia"/>
                <w:color w:val="auto"/>
                <w:kern w:val="0"/>
                <w:sz w:val="24"/>
                <w:highlight w:val="none"/>
              </w:rPr>
              <w:t>.</w:t>
            </w:r>
            <w:r>
              <w:rPr>
                <w:color w:val="auto"/>
                <w:kern w:val="0"/>
                <w:sz w:val="24"/>
                <w:highlight w:val="none"/>
              </w:rPr>
              <w:fldChar w:fldCharType="end"/>
            </w:r>
            <w:r>
              <w:rPr>
                <w:color w:val="auto"/>
                <w:kern w:val="0"/>
                <w:sz w:val="24"/>
                <w:highlight w:val="none"/>
              </w:rPr>
              <w:t>禁止现场搅拌混凝土、砂浆作业，必须使用商品混凝土。</w:t>
            </w:r>
          </w:p>
          <w:p>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焊接</w:t>
            </w:r>
            <w:r>
              <w:rPr>
                <w:rFonts w:hint="eastAsia"/>
                <w:color w:val="auto"/>
                <w:sz w:val="24"/>
                <w:highlight w:val="none"/>
              </w:rPr>
              <w:t>废气</w:t>
            </w:r>
          </w:p>
          <w:p>
            <w:pPr>
              <w:adjustRightInd w:val="0"/>
              <w:snapToGrid w:val="0"/>
              <w:spacing w:line="360" w:lineRule="auto"/>
              <w:ind w:firstLine="480"/>
              <w:rPr>
                <w:color w:val="auto"/>
                <w:sz w:val="24"/>
                <w:highlight w:val="none"/>
              </w:rPr>
            </w:pPr>
            <w:r>
              <w:rPr>
                <w:color w:val="auto"/>
                <w:sz w:val="24"/>
                <w:highlight w:val="none"/>
              </w:rPr>
              <w:t>本项目钢结构设施安装的过程中会产生一定量的焊接</w:t>
            </w:r>
            <w:r>
              <w:rPr>
                <w:rFonts w:hint="eastAsia"/>
                <w:color w:val="auto"/>
                <w:sz w:val="24"/>
                <w:highlight w:val="none"/>
              </w:rPr>
              <w:t>废气</w:t>
            </w:r>
            <w:r>
              <w:rPr>
                <w:color w:val="auto"/>
                <w:sz w:val="24"/>
                <w:highlight w:val="none"/>
              </w:rPr>
              <w:t>，其属于无组织排放，焊接作业量相对较小，持续时间较短，其对环境的影响会随着施工期的停止而结束。</w:t>
            </w:r>
          </w:p>
          <w:p>
            <w:pPr>
              <w:adjustRightInd w:val="0"/>
              <w:snapToGrid w:val="0"/>
              <w:spacing w:line="360" w:lineRule="auto"/>
              <w:ind w:firstLine="480" w:firstLineChars="200"/>
              <w:jc w:val="left"/>
              <w:rPr>
                <w:color w:val="auto"/>
                <w:kern w:val="0"/>
                <w:sz w:val="24"/>
                <w:highlight w:val="none"/>
              </w:rPr>
            </w:pPr>
            <w:r>
              <w:rPr>
                <w:rFonts w:hint="eastAsia"/>
                <w:color w:val="auto"/>
                <w:kern w:val="0"/>
                <w:sz w:val="24"/>
                <w:highlight w:val="none"/>
              </w:rPr>
              <w:t>3、</w:t>
            </w:r>
            <w:r>
              <w:rPr>
                <w:color w:val="auto"/>
                <w:kern w:val="0"/>
                <w:sz w:val="24"/>
                <w:highlight w:val="none"/>
              </w:rPr>
              <w:t>施工机械、车辆尾气污染控制措施</w:t>
            </w:r>
          </w:p>
          <w:p>
            <w:pPr>
              <w:adjustRightInd w:val="0"/>
              <w:snapToGrid w:val="0"/>
              <w:spacing w:line="360" w:lineRule="auto"/>
              <w:ind w:firstLine="480" w:firstLineChars="200"/>
              <w:jc w:val="left"/>
              <w:rPr>
                <w:color w:val="auto"/>
                <w:kern w:val="0"/>
                <w:sz w:val="24"/>
                <w:highlight w:val="none"/>
              </w:rPr>
            </w:pPr>
            <w:r>
              <w:rPr>
                <w:color w:val="auto"/>
                <w:kern w:val="0"/>
                <w:sz w:val="24"/>
                <w:highlight w:val="none"/>
              </w:rPr>
              <w:t>运输车辆禁止超载，不得使用劣质燃料；对车辆的尾气排放应进行监督管理，严格执行汽车排污监管办法相关规定。采取以上防护措施后，可减轻工程建设对施工区域环境空气质量的影响。</w:t>
            </w:r>
          </w:p>
          <w:p>
            <w:pPr>
              <w:adjustRightInd w:val="0"/>
              <w:snapToGrid w:val="0"/>
              <w:spacing w:line="360" w:lineRule="auto"/>
              <w:ind w:firstLine="482" w:firstLineChars="200"/>
              <w:jc w:val="left"/>
              <w:rPr>
                <w:b/>
                <w:bCs/>
                <w:color w:val="auto"/>
                <w:kern w:val="0"/>
                <w:sz w:val="24"/>
                <w:highlight w:val="none"/>
              </w:rPr>
            </w:pPr>
            <w:r>
              <w:rPr>
                <w:b/>
                <w:bCs/>
                <w:color w:val="auto"/>
                <w:kern w:val="0"/>
                <w:sz w:val="24"/>
                <w:highlight w:val="none"/>
              </w:rPr>
              <w:t>（二）水环境影响分析</w:t>
            </w:r>
          </w:p>
          <w:p>
            <w:pPr>
              <w:widowControl/>
              <w:spacing w:line="360" w:lineRule="auto"/>
              <w:ind w:firstLine="480" w:firstLineChars="200"/>
              <w:rPr>
                <w:color w:val="auto"/>
                <w:kern w:val="0"/>
                <w:sz w:val="24"/>
                <w:highlight w:val="none"/>
              </w:rPr>
            </w:pPr>
            <w:r>
              <w:rPr>
                <w:color w:val="auto"/>
                <w:kern w:val="0"/>
                <w:sz w:val="24"/>
                <w:highlight w:val="none"/>
              </w:rPr>
              <w:t>项目施工期废水为施工生产废水和施工人员生活污水。</w:t>
            </w:r>
          </w:p>
          <w:p>
            <w:pPr>
              <w:widowControl/>
              <w:spacing w:line="360" w:lineRule="auto"/>
              <w:ind w:firstLine="480" w:firstLineChars="200"/>
              <w:rPr>
                <w:bCs/>
                <w:color w:val="auto"/>
                <w:kern w:val="0"/>
                <w:sz w:val="24"/>
                <w:highlight w:val="none"/>
              </w:rPr>
            </w:pPr>
            <w:r>
              <w:rPr>
                <w:bCs/>
                <w:color w:val="auto"/>
                <w:kern w:val="0"/>
                <w:sz w:val="24"/>
                <w:highlight w:val="none"/>
              </w:rPr>
              <w:t>1、生产废水</w:t>
            </w:r>
          </w:p>
          <w:p>
            <w:pPr>
              <w:widowControl/>
              <w:spacing w:line="360" w:lineRule="auto"/>
              <w:ind w:firstLine="480" w:firstLineChars="200"/>
              <w:rPr>
                <w:bCs/>
                <w:color w:val="auto"/>
                <w:kern w:val="0"/>
                <w:sz w:val="24"/>
                <w:highlight w:val="none"/>
              </w:rPr>
            </w:pPr>
            <w:r>
              <w:rPr>
                <w:bCs/>
                <w:color w:val="auto"/>
                <w:kern w:val="0"/>
                <w:sz w:val="24"/>
                <w:highlight w:val="none"/>
              </w:rPr>
              <w:t>运输车辆和机械的洗刷产生一部分洗刷废水，其主要污染物是SS。对于施工废水建议</w:t>
            </w:r>
            <w:r>
              <w:rPr>
                <w:rFonts w:hint="eastAsia"/>
                <w:bCs/>
                <w:color w:val="auto"/>
                <w:kern w:val="0"/>
                <w:sz w:val="24"/>
                <w:highlight w:val="none"/>
              </w:rPr>
              <w:t>依托厂区现有车辆冲洗平台及</w:t>
            </w:r>
            <w:r>
              <w:rPr>
                <w:bCs/>
                <w:color w:val="auto"/>
                <w:kern w:val="0"/>
                <w:sz w:val="24"/>
                <w:highlight w:val="none"/>
              </w:rPr>
              <w:t>沉淀池，使废水经沉淀处理后循环使用。</w:t>
            </w:r>
          </w:p>
          <w:p>
            <w:pPr>
              <w:widowControl/>
              <w:spacing w:line="360" w:lineRule="auto"/>
              <w:ind w:firstLine="480" w:firstLineChars="200"/>
              <w:rPr>
                <w:bCs/>
                <w:color w:val="auto"/>
                <w:kern w:val="0"/>
                <w:sz w:val="24"/>
                <w:highlight w:val="none"/>
              </w:rPr>
            </w:pPr>
            <w:r>
              <w:rPr>
                <w:bCs/>
                <w:color w:val="auto"/>
                <w:kern w:val="0"/>
                <w:sz w:val="24"/>
                <w:highlight w:val="none"/>
              </w:rPr>
              <w:t>2、施工生活污水</w:t>
            </w:r>
          </w:p>
          <w:p>
            <w:pPr>
              <w:widowControl/>
              <w:spacing w:line="360" w:lineRule="auto"/>
              <w:ind w:firstLine="480" w:firstLineChars="200"/>
              <w:rPr>
                <w:color w:val="auto"/>
                <w:kern w:val="0"/>
                <w:sz w:val="24"/>
                <w:highlight w:val="none"/>
              </w:rPr>
            </w:pPr>
            <w:r>
              <w:rPr>
                <w:color w:val="auto"/>
                <w:kern w:val="0"/>
                <w:sz w:val="24"/>
                <w:highlight w:val="none"/>
              </w:rPr>
              <w:t>施工人员生活污水经</w:t>
            </w:r>
            <w:r>
              <w:rPr>
                <w:rFonts w:hint="eastAsia"/>
                <w:color w:val="auto"/>
                <w:kern w:val="0"/>
                <w:sz w:val="24"/>
                <w:highlight w:val="none"/>
              </w:rPr>
              <w:t>现有</w:t>
            </w:r>
            <w:r>
              <w:rPr>
                <w:color w:val="auto"/>
                <w:kern w:val="0"/>
                <w:sz w:val="24"/>
                <w:highlight w:val="none"/>
              </w:rPr>
              <w:t>化粪池收集处理后用于周边农田施肥，不外排。</w:t>
            </w:r>
          </w:p>
          <w:p>
            <w:pPr>
              <w:adjustRightInd w:val="0"/>
              <w:snapToGrid w:val="0"/>
              <w:spacing w:line="360" w:lineRule="auto"/>
              <w:ind w:firstLine="482" w:firstLineChars="200"/>
              <w:rPr>
                <w:b/>
                <w:bCs/>
                <w:color w:val="auto"/>
                <w:kern w:val="0"/>
                <w:sz w:val="24"/>
                <w:szCs w:val="20"/>
                <w:highlight w:val="none"/>
              </w:rPr>
            </w:pPr>
            <w:r>
              <w:rPr>
                <w:b/>
                <w:bCs/>
                <w:color w:val="auto"/>
                <w:kern w:val="0"/>
                <w:sz w:val="24"/>
                <w:szCs w:val="20"/>
                <w:highlight w:val="none"/>
              </w:rPr>
              <w:t>（三）施工噪声影响分析</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为了降低噪声对附近居民的影响，应采取以下措施：</w:t>
            </w:r>
          </w:p>
          <w:p>
            <w:pPr>
              <w:numPr>
                <w:ilvl w:val="0"/>
                <w:numId w:val="4"/>
              </w:numPr>
              <w:adjustRightInd w:val="0"/>
              <w:snapToGrid w:val="0"/>
              <w:spacing w:line="360" w:lineRule="auto"/>
              <w:ind w:firstLine="480" w:firstLineChars="200"/>
              <w:jc w:val="left"/>
              <w:rPr>
                <w:color w:val="auto"/>
                <w:sz w:val="24"/>
                <w:highlight w:val="none"/>
              </w:rPr>
            </w:pPr>
            <w:r>
              <w:rPr>
                <w:rFonts w:hint="eastAsia"/>
                <w:color w:val="auto"/>
                <w:sz w:val="24"/>
                <w:highlight w:val="none"/>
              </w:rPr>
              <w:t>施工设备优选低噪声设备，采取针对性隔声措施、合理优化施工布局，</w:t>
            </w:r>
          </w:p>
          <w:p>
            <w:pPr>
              <w:numPr>
                <w:ilvl w:val="0"/>
                <w:numId w:val="4"/>
              </w:numPr>
              <w:adjustRightInd w:val="0"/>
              <w:snapToGrid w:val="0"/>
              <w:spacing w:line="360" w:lineRule="auto"/>
              <w:ind w:firstLine="480" w:firstLineChars="200"/>
              <w:jc w:val="left"/>
              <w:rPr>
                <w:color w:val="auto"/>
                <w:sz w:val="24"/>
                <w:highlight w:val="none"/>
              </w:rPr>
            </w:pPr>
            <w:r>
              <w:rPr>
                <w:rFonts w:hint="eastAsia"/>
                <w:color w:val="auto"/>
                <w:sz w:val="24"/>
                <w:highlight w:val="none"/>
              </w:rPr>
              <w:t>合理安排施工时间，应严格按照汉中市有关规定执行，夜间（22:00-6:00）禁止施工，尽可能避免大量高噪声设备同时施工。</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3、选用符合标准的施工车辆，运输汽车进场安排专人指挥，场内禁止运输车辆鸣笛。</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4、加强施工人员的管理和教育，施工中减少不必要的金属敲击声。采取上述措施后，可有效降低施工期间噪声影响。</w:t>
            </w:r>
          </w:p>
          <w:p>
            <w:pPr>
              <w:adjustRightInd w:val="0"/>
              <w:snapToGrid w:val="0"/>
              <w:spacing w:line="360" w:lineRule="auto"/>
              <w:ind w:firstLine="480" w:firstLineChars="200"/>
              <w:jc w:val="left"/>
              <w:rPr>
                <w:color w:val="auto"/>
                <w:sz w:val="24"/>
                <w:highlight w:val="none"/>
              </w:rPr>
            </w:pPr>
            <w:r>
              <w:rPr>
                <w:rFonts w:hint="eastAsia"/>
                <w:color w:val="auto"/>
                <w:sz w:val="24"/>
                <w:highlight w:val="none"/>
              </w:rPr>
              <w:t>施工时间由于本项目施工量较小，施工周期较短，通过采取上述措施后，项目施工期产生的噪声影响能够降到可接受的程度。</w:t>
            </w:r>
          </w:p>
          <w:p>
            <w:pPr>
              <w:adjustRightInd w:val="0"/>
              <w:snapToGrid w:val="0"/>
              <w:spacing w:line="360" w:lineRule="auto"/>
              <w:ind w:firstLine="482" w:firstLineChars="200"/>
              <w:rPr>
                <w:b/>
                <w:bCs/>
                <w:color w:val="auto"/>
                <w:kern w:val="0"/>
                <w:sz w:val="24"/>
                <w:highlight w:val="none"/>
              </w:rPr>
            </w:pPr>
            <w:r>
              <w:rPr>
                <w:rFonts w:hint="eastAsia"/>
                <w:b/>
                <w:bCs/>
                <w:color w:val="auto"/>
                <w:kern w:val="0"/>
                <w:sz w:val="24"/>
                <w:highlight w:val="none"/>
              </w:rPr>
              <w:t>（</w:t>
            </w:r>
            <w:r>
              <w:rPr>
                <w:b/>
                <w:bCs/>
                <w:color w:val="auto"/>
                <w:kern w:val="0"/>
                <w:sz w:val="24"/>
                <w:highlight w:val="none"/>
              </w:rPr>
              <w:t>四</w:t>
            </w:r>
            <w:r>
              <w:rPr>
                <w:rFonts w:hint="eastAsia"/>
                <w:b/>
                <w:bCs/>
                <w:color w:val="auto"/>
                <w:kern w:val="0"/>
                <w:sz w:val="24"/>
                <w:highlight w:val="none"/>
              </w:rPr>
              <w:t>）</w:t>
            </w:r>
            <w:r>
              <w:rPr>
                <w:b/>
                <w:bCs/>
                <w:color w:val="auto"/>
                <w:kern w:val="0"/>
                <w:sz w:val="24"/>
                <w:highlight w:val="none"/>
              </w:rPr>
              <w:t>固体废物环境影响分析</w:t>
            </w:r>
          </w:p>
          <w:p>
            <w:pPr>
              <w:adjustRightInd w:val="0"/>
              <w:snapToGrid w:val="0"/>
              <w:spacing w:line="360" w:lineRule="auto"/>
              <w:ind w:firstLine="480" w:firstLineChars="200"/>
              <w:rPr>
                <w:color w:val="auto"/>
                <w:sz w:val="24"/>
                <w:highlight w:val="none"/>
              </w:rPr>
            </w:pPr>
            <w:r>
              <w:rPr>
                <w:rFonts w:hint="eastAsia"/>
                <w:color w:val="auto"/>
                <w:sz w:val="24"/>
                <w:highlight w:val="none"/>
              </w:rPr>
              <w:t>由于项目地势平坦，场地清理平整后无弃方产生，因此本次施工期固废为建筑垃圾和生活垃圾。</w:t>
            </w:r>
          </w:p>
          <w:p>
            <w:pPr>
              <w:adjustRightInd w:val="0"/>
              <w:snapToGrid w:val="0"/>
              <w:spacing w:line="360" w:lineRule="auto"/>
              <w:ind w:firstLine="480" w:firstLineChars="200"/>
              <w:rPr>
                <w:color w:val="auto"/>
                <w:kern w:val="0"/>
                <w:sz w:val="24"/>
                <w:highlight w:val="none"/>
              </w:rPr>
            </w:pPr>
            <w:r>
              <w:rPr>
                <w:color w:val="auto"/>
                <w:kern w:val="0"/>
                <w:sz w:val="24"/>
                <w:highlight w:val="none"/>
              </w:rPr>
              <w:t>1、建筑</w:t>
            </w:r>
            <w:r>
              <w:rPr>
                <w:color w:val="auto"/>
                <w:sz w:val="24"/>
                <w:highlight w:val="none"/>
              </w:rPr>
              <w:t>垃圾</w:t>
            </w:r>
          </w:p>
          <w:p>
            <w:pPr>
              <w:adjustRightInd w:val="0"/>
              <w:snapToGrid w:val="0"/>
              <w:spacing w:line="360" w:lineRule="auto"/>
              <w:ind w:firstLine="480" w:firstLineChars="200"/>
              <w:rPr>
                <w:color w:val="auto"/>
                <w:sz w:val="24"/>
                <w:highlight w:val="none"/>
              </w:rPr>
            </w:pPr>
            <w:r>
              <w:rPr>
                <w:color w:val="auto"/>
                <w:sz w:val="24"/>
                <w:highlight w:val="none"/>
              </w:rPr>
              <w:t>本项目施工期会产生少量的施工建筑垃圾，均外运至当地政府指定地点堆放</w:t>
            </w:r>
            <w:r>
              <w:rPr>
                <w:rFonts w:hint="eastAsia"/>
                <w:color w:val="auto"/>
                <w:sz w:val="24"/>
                <w:highlight w:val="none"/>
              </w:rPr>
              <w:t>。</w:t>
            </w:r>
          </w:p>
          <w:p>
            <w:pPr>
              <w:tabs>
                <w:tab w:val="left" w:pos="2220"/>
              </w:tabs>
              <w:adjustRightInd w:val="0"/>
              <w:snapToGrid w:val="0"/>
              <w:spacing w:line="360" w:lineRule="auto"/>
              <w:ind w:firstLine="480" w:firstLineChars="200"/>
              <w:rPr>
                <w:color w:val="auto"/>
                <w:sz w:val="24"/>
                <w:highlight w:val="none"/>
              </w:rPr>
            </w:pPr>
            <w:r>
              <w:rPr>
                <w:color w:val="auto"/>
                <w:sz w:val="24"/>
                <w:highlight w:val="none"/>
              </w:rPr>
              <w:t>2、生活垃圾</w:t>
            </w:r>
          </w:p>
          <w:p>
            <w:pPr>
              <w:adjustRightInd w:val="0"/>
              <w:snapToGrid w:val="0"/>
              <w:spacing w:line="360" w:lineRule="auto"/>
              <w:ind w:firstLine="480" w:firstLineChars="200"/>
              <w:rPr>
                <w:color w:val="auto"/>
                <w:sz w:val="24"/>
                <w:highlight w:val="none"/>
              </w:rPr>
            </w:pPr>
            <w:r>
              <w:rPr>
                <w:color w:val="auto"/>
                <w:sz w:val="24"/>
                <w:highlight w:val="none"/>
              </w:rPr>
              <w:t>本项目施工期较短，故日常产生的生活垃圾较少。施工方应在施工场地设置垃圾</w:t>
            </w:r>
            <w:r>
              <w:rPr>
                <w:rFonts w:hint="eastAsia"/>
                <w:color w:val="auto"/>
                <w:sz w:val="24"/>
                <w:highlight w:val="none"/>
              </w:rPr>
              <w:t>桶</w:t>
            </w:r>
            <w:r>
              <w:rPr>
                <w:color w:val="auto"/>
                <w:sz w:val="24"/>
                <w:highlight w:val="none"/>
              </w:rPr>
              <w:t>进行分类收集，定期送至</w:t>
            </w:r>
            <w:r>
              <w:rPr>
                <w:color w:val="auto"/>
                <w:kern w:val="0"/>
                <w:sz w:val="24"/>
                <w:highlight w:val="none"/>
              </w:rPr>
              <w:t>就近</w:t>
            </w:r>
            <w:r>
              <w:rPr>
                <w:color w:val="auto"/>
                <w:sz w:val="24"/>
                <w:highlight w:val="none"/>
              </w:rPr>
              <w:t>垃圾收集点。</w:t>
            </w:r>
          </w:p>
          <w:p>
            <w:pPr>
              <w:widowControl/>
              <w:spacing w:line="360" w:lineRule="auto"/>
              <w:ind w:firstLine="480" w:firstLineChars="200"/>
              <w:jc w:val="left"/>
              <w:rPr>
                <w:rFonts w:ascii="宋体" w:hAnsi="宋体" w:cs="宋体"/>
                <w:bCs/>
                <w:color w:val="auto"/>
                <w:spacing w:val="-10"/>
                <w:szCs w:val="21"/>
                <w:highlight w:val="none"/>
              </w:rPr>
            </w:pPr>
            <w:r>
              <w:rPr>
                <w:color w:val="auto"/>
                <w:sz w:val="24"/>
                <w:highlight w:val="none"/>
              </w:rPr>
              <w:t>综上，项目施工期间各类固体废物均可得到有效处置，对环境的影响较小。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6" w:hRule="atLeast"/>
          <w:jc w:val="center"/>
        </w:trPr>
        <w:tc>
          <w:tcPr>
            <w:tcW w:w="360" w:type="dxa"/>
            <w:tcMar>
              <w:left w:w="28" w:type="dxa"/>
              <w:right w:w="28" w:type="dxa"/>
            </w:tcMar>
            <w:vAlign w:val="center"/>
          </w:tcPr>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pStyle w:val="42"/>
              <w:rPr>
                <w:rFonts w:hAnsi="宋体"/>
                <w:bCs/>
                <w:color w:val="auto"/>
                <w:szCs w:val="21"/>
                <w:highlight w:val="none"/>
              </w:rPr>
            </w:pPr>
          </w:p>
          <w:p>
            <w:pPr>
              <w:pStyle w:val="42"/>
              <w:rPr>
                <w:rFonts w:hAnsi="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pStyle w:val="42"/>
              <w:rPr>
                <w:rFonts w:hAnsi="宋体"/>
                <w:bCs/>
                <w:color w:val="auto"/>
                <w:szCs w:val="21"/>
                <w:highlight w:val="none"/>
              </w:rPr>
            </w:pPr>
          </w:p>
          <w:p>
            <w:pPr>
              <w:pStyle w:val="42"/>
              <w:rPr>
                <w:rFonts w:hAnsi="宋体"/>
                <w:bCs/>
                <w:color w:val="auto"/>
                <w:szCs w:val="21"/>
                <w:highlight w:val="none"/>
              </w:rPr>
            </w:pPr>
          </w:p>
          <w:p>
            <w:pPr>
              <w:pStyle w:val="42"/>
              <w:rPr>
                <w:rFonts w:hAnsi="宋体"/>
                <w:bCs/>
                <w:color w:val="auto"/>
                <w:szCs w:val="21"/>
                <w:highlight w:val="none"/>
              </w:rPr>
            </w:pPr>
          </w:p>
          <w:p>
            <w:pPr>
              <w:pStyle w:val="42"/>
              <w:rPr>
                <w:rFonts w:hAnsi="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p>
          <w:p>
            <w:pPr>
              <w:adjustRightInd w:val="0"/>
              <w:snapToGrid w:val="0"/>
              <w:jc w:val="center"/>
              <w:rPr>
                <w:rFonts w:ascii="宋体" w:hAnsi="宋体" w:cs="宋体"/>
                <w:bCs/>
                <w:color w:val="auto"/>
                <w:sz w:val="24"/>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pStyle w:val="42"/>
              <w:rPr>
                <w:rFonts w:hAnsi="宋体"/>
                <w:bCs/>
                <w:color w:val="auto"/>
                <w:szCs w:val="21"/>
                <w:highlight w:val="none"/>
              </w:rPr>
            </w:pPr>
          </w:p>
          <w:p>
            <w:pPr>
              <w:pStyle w:val="42"/>
              <w:rPr>
                <w:rFonts w:hAnsi="宋体"/>
                <w:bCs/>
                <w:color w:val="auto"/>
                <w:szCs w:val="21"/>
                <w:highlight w:val="none"/>
              </w:rPr>
            </w:pPr>
          </w:p>
          <w:p>
            <w:pPr>
              <w:pStyle w:val="42"/>
              <w:rPr>
                <w:rFonts w:hAnsi="宋体"/>
                <w:bCs/>
                <w:color w:val="auto"/>
                <w:szCs w:val="21"/>
                <w:highlight w:val="none"/>
              </w:rPr>
            </w:pPr>
          </w:p>
          <w:p>
            <w:pPr>
              <w:pStyle w:val="42"/>
              <w:rPr>
                <w:rFonts w:hAnsi="宋体"/>
                <w:bCs/>
                <w:color w:val="auto"/>
                <w:szCs w:val="21"/>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运营</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期环</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境影</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响和</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保护</w:t>
            </w:r>
          </w:p>
          <w:p>
            <w:pPr>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措施</w:t>
            </w: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jc w:val="center"/>
              <w:rPr>
                <w:rFonts w:ascii="宋体" w:hAnsi="宋体" w:cs="宋体"/>
                <w:bCs/>
                <w:color w:val="auto"/>
                <w:szCs w:val="21"/>
                <w:highlight w:val="none"/>
              </w:rPr>
            </w:pPr>
          </w:p>
          <w:p>
            <w:pPr>
              <w:adjustRightInd w:val="0"/>
              <w:snapToGrid w:val="0"/>
              <w:rPr>
                <w:rFonts w:ascii="宋体" w:hAnsi="宋体" w:cs="宋体"/>
                <w:bCs/>
                <w:color w:val="auto"/>
                <w:szCs w:val="21"/>
                <w:highlight w:val="none"/>
              </w:rPr>
            </w:pPr>
          </w:p>
        </w:tc>
        <w:tc>
          <w:tcPr>
            <w:tcW w:w="8620" w:type="dxa"/>
            <w:vAlign w:val="center"/>
          </w:tcPr>
          <w:p>
            <w:pPr>
              <w:adjustRightInd w:val="0"/>
              <w:snapToGrid w:val="0"/>
              <w:spacing w:line="360" w:lineRule="auto"/>
              <w:rPr>
                <w:b/>
                <w:color w:val="auto"/>
                <w:kern w:val="0"/>
                <w:sz w:val="24"/>
                <w:highlight w:val="none"/>
              </w:rPr>
            </w:pPr>
            <w:r>
              <w:rPr>
                <w:rFonts w:hint="eastAsia"/>
                <w:b/>
                <w:color w:val="auto"/>
                <w:kern w:val="0"/>
                <w:sz w:val="24"/>
                <w:highlight w:val="none"/>
              </w:rPr>
              <w:t>（</w:t>
            </w:r>
            <w:r>
              <w:rPr>
                <w:b/>
                <w:color w:val="auto"/>
                <w:kern w:val="0"/>
                <w:sz w:val="24"/>
                <w:highlight w:val="none"/>
              </w:rPr>
              <w:t>一</w:t>
            </w:r>
            <w:r>
              <w:rPr>
                <w:rFonts w:hint="eastAsia"/>
                <w:b/>
                <w:color w:val="auto"/>
                <w:kern w:val="0"/>
                <w:sz w:val="24"/>
                <w:highlight w:val="none"/>
              </w:rPr>
              <w:t>）</w:t>
            </w:r>
            <w:r>
              <w:rPr>
                <w:b/>
                <w:bCs/>
                <w:color w:val="auto"/>
                <w:sz w:val="24"/>
                <w:highlight w:val="none"/>
              </w:rPr>
              <w:t>废气</w:t>
            </w:r>
            <w:r>
              <w:rPr>
                <w:rFonts w:hint="eastAsia"/>
                <w:b/>
                <w:bCs/>
                <w:color w:val="auto"/>
                <w:sz w:val="24"/>
                <w:highlight w:val="none"/>
              </w:rPr>
              <w:t>环境影响及保护措施</w:t>
            </w:r>
          </w:p>
          <w:p>
            <w:pPr>
              <w:spacing w:line="360" w:lineRule="auto"/>
              <w:ind w:firstLine="480"/>
              <w:rPr>
                <w:rFonts w:hAnsi="宋体"/>
                <w:color w:val="auto"/>
                <w:kern w:val="0"/>
                <w:sz w:val="24"/>
                <w:highlight w:val="none"/>
              </w:rPr>
            </w:pPr>
            <w:r>
              <w:rPr>
                <w:rFonts w:hint="eastAsia"/>
                <w:color w:val="auto"/>
                <w:kern w:val="0"/>
                <w:sz w:val="24"/>
                <w:highlight w:val="none"/>
              </w:rPr>
              <w:t>根据前文工艺及工程内容分析，</w:t>
            </w:r>
            <w:r>
              <w:rPr>
                <w:color w:val="auto"/>
                <w:kern w:val="0"/>
                <w:sz w:val="24"/>
                <w:highlight w:val="none"/>
              </w:rPr>
              <w:t>本项目运营期产生的</w:t>
            </w:r>
            <w:r>
              <w:rPr>
                <w:rFonts w:hint="eastAsia"/>
                <w:color w:val="auto"/>
                <w:kern w:val="0"/>
                <w:sz w:val="24"/>
                <w:highlight w:val="none"/>
              </w:rPr>
              <w:t>废气</w:t>
            </w:r>
            <w:r>
              <w:rPr>
                <w:color w:val="auto"/>
                <w:kern w:val="0"/>
                <w:sz w:val="24"/>
                <w:highlight w:val="none"/>
              </w:rPr>
              <w:t>主要是</w:t>
            </w:r>
            <w:r>
              <w:rPr>
                <w:rFonts w:hint="eastAsia"/>
                <w:color w:val="auto"/>
                <w:sz w:val="24"/>
                <w:highlight w:val="none"/>
              </w:rPr>
              <w:t>物</w:t>
            </w:r>
            <w:r>
              <w:rPr>
                <w:bCs/>
                <w:color w:val="auto"/>
                <w:sz w:val="24"/>
                <w:szCs w:val="22"/>
                <w:highlight w:val="none"/>
              </w:rPr>
              <w:t>料装卸</w:t>
            </w:r>
            <w:r>
              <w:rPr>
                <w:rFonts w:hint="eastAsia"/>
                <w:bCs/>
                <w:color w:val="auto"/>
                <w:sz w:val="24"/>
                <w:szCs w:val="22"/>
                <w:highlight w:val="none"/>
              </w:rPr>
              <w:t>及</w:t>
            </w:r>
            <w:r>
              <w:rPr>
                <w:bCs/>
                <w:color w:val="auto"/>
                <w:sz w:val="24"/>
                <w:szCs w:val="22"/>
                <w:highlight w:val="none"/>
              </w:rPr>
              <w:t>堆存粉尘</w:t>
            </w:r>
            <w:r>
              <w:rPr>
                <w:color w:val="auto"/>
                <w:sz w:val="24"/>
                <w:highlight w:val="none"/>
              </w:rPr>
              <w:t>、</w:t>
            </w:r>
            <w:r>
              <w:rPr>
                <w:rFonts w:hint="eastAsia"/>
                <w:color w:val="auto"/>
                <w:sz w:val="24"/>
                <w:highlight w:val="none"/>
              </w:rPr>
              <w:t>筛分粉尘、</w:t>
            </w:r>
            <w:r>
              <w:rPr>
                <w:rFonts w:hint="eastAsia" w:hAnsi="宋体"/>
                <w:color w:val="auto"/>
                <w:kern w:val="0"/>
                <w:sz w:val="24"/>
                <w:highlight w:val="none"/>
              </w:rPr>
              <w:t>运输扬尘、运输车辆等机械产生的尾气，下文产污核算时仅针对本次扩建工程进行分析。</w:t>
            </w:r>
          </w:p>
          <w:p>
            <w:pPr>
              <w:spacing w:line="360" w:lineRule="auto"/>
              <w:ind w:firstLine="480"/>
              <w:rPr>
                <w:rFonts w:hAnsi="宋体"/>
                <w:color w:val="auto"/>
                <w:kern w:val="0"/>
                <w:sz w:val="24"/>
                <w:highlight w:val="none"/>
              </w:rPr>
            </w:pPr>
            <w:r>
              <w:rPr>
                <w:color w:val="auto"/>
                <w:kern w:val="0"/>
                <w:sz w:val="24"/>
                <w:highlight w:val="none"/>
              </w:rPr>
              <w:t>1、</w:t>
            </w:r>
            <w:r>
              <w:rPr>
                <w:rFonts w:hint="eastAsia"/>
                <w:color w:val="auto"/>
                <w:sz w:val="24"/>
                <w:highlight w:val="none"/>
              </w:rPr>
              <w:t>物</w:t>
            </w:r>
            <w:r>
              <w:rPr>
                <w:bCs/>
                <w:color w:val="auto"/>
                <w:sz w:val="24"/>
                <w:szCs w:val="22"/>
                <w:highlight w:val="none"/>
              </w:rPr>
              <w:t>料装卸</w:t>
            </w:r>
            <w:r>
              <w:rPr>
                <w:rFonts w:hint="eastAsia"/>
                <w:bCs/>
                <w:color w:val="auto"/>
                <w:sz w:val="24"/>
                <w:szCs w:val="22"/>
                <w:highlight w:val="none"/>
              </w:rPr>
              <w:t>及</w:t>
            </w:r>
            <w:r>
              <w:rPr>
                <w:bCs/>
                <w:color w:val="auto"/>
                <w:sz w:val="24"/>
                <w:szCs w:val="22"/>
                <w:highlight w:val="none"/>
              </w:rPr>
              <w:t>堆存粉尘</w:t>
            </w:r>
          </w:p>
          <w:p>
            <w:pPr>
              <w:pStyle w:val="43"/>
              <w:rPr>
                <w:rFonts w:ascii="Times New Roman" w:hAnsi="Times New Roman"/>
                <w:color w:val="auto"/>
                <w:highlight w:val="none"/>
              </w:rPr>
            </w:pPr>
            <w:r>
              <w:rPr>
                <w:rFonts w:ascii="Times New Roman" w:hAnsi="Times New Roman"/>
                <w:color w:val="auto"/>
                <w:highlight w:val="none"/>
              </w:rPr>
              <w:t>A.物料装</w:t>
            </w:r>
            <w:r>
              <w:rPr>
                <w:rFonts w:hint="eastAsia" w:ascii="Times New Roman" w:hAnsi="Times New Roman"/>
                <w:color w:val="auto"/>
                <w:highlight w:val="none"/>
              </w:rPr>
              <w:t>车</w:t>
            </w:r>
            <w:r>
              <w:rPr>
                <w:rFonts w:ascii="Times New Roman" w:hAnsi="Times New Roman"/>
                <w:color w:val="auto"/>
                <w:highlight w:val="none"/>
              </w:rPr>
              <w:t>粉尘</w:t>
            </w:r>
          </w:p>
          <w:p>
            <w:pPr>
              <w:adjustRightInd w:val="0"/>
              <w:snapToGrid w:val="0"/>
              <w:spacing w:line="360" w:lineRule="auto"/>
              <w:ind w:firstLine="482"/>
              <w:rPr>
                <w:color w:val="auto"/>
                <w:sz w:val="24"/>
                <w:highlight w:val="none"/>
              </w:rPr>
            </w:pPr>
            <w:r>
              <w:rPr>
                <w:color w:val="auto"/>
                <w:sz w:val="24"/>
                <w:highlight w:val="none"/>
              </w:rPr>
              <w:t>物料装车机械落差的起尘量推荐采用交通部水运研究所和武汉水运工程学院提出的铲装起尘量的经验公式估算，经验公式为</w:t>
            </w:r>
          </w:p>
          <w:p>
            <w:pPr>
              <w:adjustRightInd w:val="0"/>
              <w:snapToGrid w:val="0"/>
              <w:spacing w:line="360" w:lineRule="auto"/>
              <w:ind w:firstLine="2640" w:firstLineChars="1100"/>
              <w:rPr>
                <w:color w:val="auto"/>
                <w:sz w:val="24"/>
                <w:highlight w:val="none"/>
              </w:rPr>
            </w:pPr>
            <w:r>
              <w:rPr>
                <w:color w:val="auto"/>
                <w:sz w:val="24"/>
                <w:highlight w:val="none"/>
              </w:rPr>
              <w:t>Q=1/t·0.03U</w:t>
            </w:r>
            <w:r>
              <w:rPr>
                <w:color w:val="auto"/>
                <w:sz w:val="24"/>
                <w:highlight w:val="none"/>
                <w:vertAlign w:val="superscript"/>
              </w:rPr>
              <w:t>1.6</w:t>
            </w:r>
            <w:r>
              <w:rPr>
                <w:color w:val="auto"/>
                <w:sz w:val="24"/>
                <w:highlight w:val="none"/>
              </w:rPr>
              <w:t>H</w:t>
            </w:r>
            <w:r>
              <w:rPr>
                <w:color w:val="auto"/>
                <w:sz w:val="24"/>
                <w:highlight w:val="none"/>
                <w:vertAlign w:val="superscript"/>
              </w:rPr>
              <w:t>1.23</w:t>
            </w:r>
            <w:r>
              <w:rPr>
                <w:color w:val="auto"/>
                <w:sz w:val="24"/>
                <w:highlight w:val="none"/>
              </w:rPr>
              <w:t>e</w:t>
            </w:r>
            <w:r>
              <w:rPr>
                <w:color w:val="auto"/>
                <w:sz w:val="24"/>
                <w:highlight w:val="none"/>
                <w:vertAlign w:val="superscript"/>
              </w:rPr>
              <w:t>-0.28w</w:t>
            </w:r>
          </w:p>
          <w:p>
            <w:pPr>
              <w:adjustRightInd w:val="0"/>
              <w:snapToGrid w:val="0"/>
              <w:spacing w:line="360" w:lineRule="auto"/>
              <w:ind w:firstLine="480" w:firstLineChars="200"/>
              <w:rPr>
                <w:color w:val="auto"/>
                <w:sz w:val="24"/>
                <w:highlight w:val="none"/>
              </w:rPr>
            </w:pPr>
            <w:r>
              <w:rPr>
                <w:color w:val="auto"/>
                <w:sz w:val="24"/>
                <w:highlight w:val="none"/>
              </w:rPr>
              <w:t>式中：Q—物料机械落差起尘量，kg/s；</w:t>
            </w:r>
          </w:p>
          <w:p>
            <w:pPr>
              <w:adjustRightInd w:val="0"/>
              <w:snapToGrid w:val="0"/>
              <w:spacing w:line="360" w:lineRule="auto"/>
              <w:ind w:firstLine="1200" w:firstLineChars="500"/>
              <w:rPr>
                <w:color w:val="auto"/>
                <w:sz w:val="24"/>
                <w:highlight w:val="none"/>
              </w:rPr>
            </w:pPr>
            <w:r>
              <w:rPr>
                <w:color w:val="auto"/>
                <w:sz w:val="24"/>
                <w:highlight w:val="none"/>
              </w:rPr>
              <w:t>H—物料落差，0.5m；</w:t>
            </w:r>
          </w:p>
          <w:p>
            <w:pPr>
              <w:adjustRightInd w:val="0"/>
              <w:snapToGrid w:val="0"/>
              <w:spacing w:line="360" w:lineRule="auto"/>
              <w:ind w:firstLine="1200" w:firstLineChars="500"/>
              <w:rPr>
                <w:color w:val="auto"/>
                <w:sz w:val="24"/>
                <w:highlight w:val="none"/>
              </w:rPr>
            </w:pPr>
            <w:r>
              <w:rPr>
                <w:color w:val="auto"/>
                <w:sz w:val="24"/>
                <w:highlight w:val="none"/>
              </w:rPr>
              <w:t>U—地面平均风速，m/s，本次取1.0m/s；</w:t>
            </w:r>
          </w:p>
          <w:p>
            <w:pPr>
              <w:adjustRightInd w:val="0"/>
              <w:snapToGrid w:val="0"/>
              <w:spacing w:line="360" w:lineRule="auto"/>
              <w:ind w:firstLine="1200" w:firstLineChars="500"/>
              <w:rPr>
                <w:color w:val="auto"/>
                <w:sz w:val="24"/>
                <w:highlight w:val="none"/>
              </w:rPr>
            </w:pPr>
            <w:r>
              <w:rPr>
                <w:color w:val="auto"/>
                <w:sz w:val="24"/>
                <w:highlight w:val="none"/>
              </w:rPr>
              <w:t>W—物料含水，%，取10%；</w:t>
            </w:r>
          </w:p>
          <w:p>
            <w:pPr>
              <w:adjustRightInd w:val="0"/>
              <w:snapToGrid w:val="0"/>
              <w:spacing w:line="360" w:lineRule="auto"/>
              <w:ind w:firstLine="1200" w:firstLineChars="500"/>
              <w:rPr>
                <w:color w:val="auto"/>
                <w:sz w:val="24"/>
                <w:highlight w:val="none"/>
              </w:rPr>
            </w:pPr>
            <w:r>
              <w:rPr>
                <w:color w:val="auto"/>
                <w:sz w:val="24"/>
                <w:highlight w:val="none"/>
              </w:rPr>
              <w:t>t—每吨物料装车所用时间t/s，5s。</w:t>
            </w:r>
          </w:p>
          <w:p>
            <w:pPr>
              <w:adjustRightInd w:val="0"/>
              <w:snapToGrid w:val="0"/>
              <w:spacing w:line="360" w:lineRule="auto"/>
              <w:ind w:firstLine="480" w:firstLineChars="200"/>
              <w:rPr>
                <w:color w:val="auto"/>
                <w:sz w:val="24"/>
                <w:highlight w:val="none"/>
              </w:rPr>
            </w:pPr>
            <w:r>
              <w:rPr>
                <w:color w:val="auto"/>
                <w:sz w:val="24"/>
                <w:highlight w:val="none"/>
              </w:rPr>
              <w:t>经计算，</w:t>
            </w:r>
            <w:r>
              <w:rPr>
                <w:rFonts w:hint="eastAsia"/>
                <w:color w:val="auto"/>
                <w:sz w:val="24"/>
                <w:highlight w:val="none"/>
              </w:rPr>
              <w:t>物料装车</w:t>
            </w:r>
            <w:r>
              <w:rPr>
                <w:color w:val="auto"/>
                <w:sz w:val="24"/>
                <w:highlight w:val="none"/>
              </w:rPr>
              <w:t>起尘量约为1.5×10</w:t>
            </w:r>
            <w:r>
              <w:rPr>
                <w:color w:val="auto"/>
                <w:sz w:val="24"/>
                <w:highlight w:val="none"/>
                <w:vertAlign w:val="superscript"/>
              </w:rPr>
              <w:t>-4</w:t>
            </w:r>
            <w:r>
              <w:rPr>
                <w:color w:val="auto"/>
                <w:sz w:val="24"/>
                <w:highlight w:val="none"/>
              </w:rPr>
              <w:t>kg/s，本项目</w:t>
            </w:r>
            <w:r>
              <w:rPr>
                <w:rFonts w:hint="eastAsia"/>
                <w:color w:val="auto"/>
                <w:sz w:val="24"/>
                <w:highlight w:val="none"/>
                <w:lang w:eastAsia="zh-CN"/>
              </w:rPr>
              <w:t>成品</w:t>
            </w:r>
            <w:r>
              <w:rPr>
                <w:rFonts w:hint="eastAsia"/>
                <w:color w:val="auto"/>
                <w:sz w:val="24"/>
                <w:highlight w:val="none"/>
              </w:rPr>
              <w:t>装车</w:t>
            </w:r>
            <w:r>
              <w:rPr>
                <w:color w:val="auto"/>
                <w:sz w:val="24"/>
                <w:highlight w:val="none"/>
              </w:rPr>
              <w:t>量</w:t>
            </w:r>
            <w:r>
              <w:rPr>
                <w:rFonts w:hint="eastAsia"/>
                <w:color w:val="auto"/>
                <w:sz w:val="24"/>
                <w:highlight w:val="none"/>
              </w:rPr>
              <w:t>为20</w:t>
            </w:r>
            <w:r>
              <w:rPr>
                <w:color w:val="auto"/>
                <w:sz w:val="24"/>
                <w:highlight w:val="none"/>
              </w:rPr>
              <w:t>万t/a，装车总时间约为</w:t>
            </w:r>
            <w:r>
              <w:rPr>
                <w:rFonts w:hint="eastAsia"/>
                <w:color w:val="auto"/>
                <w:sz w:val="24"/>
                <w:highlight w:val="none"/>
              </w:rPr>
              <w:t>1000000</w:t>
            </w:r>
            <w:r>
              <w:rPr>
                <w:color w:val="auto"/>
                <w:sz w:val="24"/>
                <w:highlight w:val="none"/>
              </w:rPr>
              <w:t>s，则粉尘产生量为</w:t>
            </w:r>
            <w:r>
              <w:rPr>
                <w:rFonts w:hint="eastAsia"/>
                <w:color w:val="auto"/>
                <w:sz w:val="24"/>
                <w:highlight w:val="none"/>
              </w:rPr>
              <w:t>150</w:t>
            </w:r>
            <w:r>
              <w:rPr>
                <w:color w:val="auto"/>
                <w:sz w:val="24"/>
                <w:highlight w:val="none"/>
              </w:rPr>
              <w:t>kg/a。</w:t>
            </w:r>
          </w:p>
          <w:p>
            <w:pPr>
              <w:adjustRightInd w:val="0"/>
              <w:snapToGrid w:val="0"/>
              <w:spacing w:line="360" w:lineRule="auto"/>
              <w:ind w:firstLine="482"/>
              <w:rPr>
                <w:color w:val="auto"/>
                <w:sz w:val="24"/>
                <w:highlight w:val="none"/>
              </w:rPr>
            </w:pPr>
            <w:r>
              <w:rPr>
                <w:color w:val="auto"/>
                <w:sz w:val="24"/>
                <w:highlight w:val="none"/>
              </w:rPr>
              <w:t>B.卸车</w:t>
            </w:r>
            <w:r>
              <w:rPr>
                <w:rFonts w:hint="eastAsia"/>
                <w:color w:val="auto"/>
                <w:sz w:val="24"/>
                <w:highlight w:val="none"/>
              </w:rPr>
              <w:t>粉尘</w:t>
            </w:r>
          </w:p>
          <w:p>
            <w:pPr>
              <w:adjustRightInd w:val="0"/>
              <w:snapToGrid w:val="0"/>
              <w:spacing w:line="360" w:lineRule="auto"/>
              <w:ind w:firstLine="482"/>
              <w:rPr>
                <w:color w:val="auto"/>
                <w:sz w:val="24"/>
                <w:highlight w:val="none"/>
              </w:rPr>
            </w:pPr>
            <w:r>
              <w:rPr>
                <w:color w:val="auto"/>
                <w:sz w:val="24"/>
                <w:highlight w:val="none"/>
              </w:rPr>
              <w:t>自卸汽车卸料起尘量，推荐选用山西环保科研所、武汉水运工程学院提出的经验公式估算，经验公式为：</w:t>
            </w:r>
          </w:p>
          <w:p>
            <w:pPr>
              <w:snapToGrid w:val="0"/>
              <w:spacing w:line="360" w:lineRule="auto"/>
              <w:ind w:firstLine="3060" w:firstLineChars="1275"/>
              <w:rPr>
                <w:color w:val="auto"/>
                <w:sz w:val="24"/>
                <w:szCs w:val="22"/>
                <w:highlight w:val="none"/>
              </w:rPr>
            </w:pPr>
            <w:r>
              <w:rPr>
                <w:color w:val="auto"/>
                <w:sz w:val="24"/>
                <w:szCs w:val="22"/>
                <w:highlight w:val="none"/>
              </w:rPr>
              <w:t>Q=e</w:t>
            </w:r>
            <w:r>
              <w:rPr>
                <w:color w:val="auto"/>
                <w:sz w:val="24"/>
                <w:szCs w:val="22"/>
                <w:highlight w:val="none"/>
                <w:vertAlign w:val="superscript"/>
              </w:rPr>
              <w:t>0.61u</w:t>
            </w:r>
            <w:r>
              <w:rPr>
                <w:color w:val="auto"/>
                <w:sz w:val="24"/>
                <w:szCs w:val="22"/>
                <w:highlight w:val="none"/>
              </w:rPr>
              <w:t>（M/13.5）</w:t>
            </w:r>
          </w:p>
          <w:p>
            <w:pPr>
              <w:snapToGrid w:val="0"/>
              <w:spacing w:line="360" w:lineRule="auto"/>
              <w:ind w:firstLine="420" w:firstLineChars="175"/>
              <w:rPr>
                <w:color w:val="auto"/>
                <w:sz w:val="24"/>
                <w:szCs w:val="22"/>
                <w:highlight w:val="none"/>
              </w:rPr>
            </w:pPr>
            <w:r>
              <w:rPr>
                <w:color w:val="auto"/>
                <w:sz w:val="24"/>
                <w:szCs w:val="22"/>
                <w:highlight w:val="none"/>
              </w:rPr>
              <w:t>式中：Q——自卸汽车卸料起尘量，g/次；</w:t>
            </w:r>
          </w:p>
          <w:p>
            <w:pPr>
              <w:snapToGrid w:val="0"/>
              <w:spacing w:line="360" w:lineRule="auto"/>
              <w:ind w:firstLine="1200" w:firstLineChars="500"/>
              <w:rPr>
                <w:color w:val="auto"/>
                <w:sz w:val="24"/>
                <w:szCs w:val="22"/>
                <w:highlight w:val="none"/>
              </w:rPr>
            </w:pPr>
            <w:r>
              <w:rPr>
                <w:color w:val="auto"/>
                <w:sz w:val="24"/>
                <w:szCs w:val="22"/>
                <w:highlight w:val="none"/>
              </w:rPr>
              <w:t>U——平均风速（m/s），1；</w:t>
            </w:r>
          </w:p>
          <w:p>
            <w:pPr>
              <w:snapToGrid w:val="0"/>
              <w:spacing w:line="360" w:lineRule="auto"/>
              <w:ind w:firstLine="1200" w:firstLineChars="500"/>
              <w:rPr>
                <w:color w:val="auto"/>
                <w:sz w:val="24"/>
                <w:szCs w:val="22"/>
                <w:highlight w:val="none"/>
              </w:rPr>
            </w:pPr>
            <w:r>
              <w:rPr>
                <w:color w:val="auto"/>
                <w:sz w:val="24"/>
                <w:szCs w:val="22"/>
                <w:highlight w:val="none"/>
              </w:rPr>
              <w:t>M——汽车卸料量，t，</w:t>
            </w:r>
            <w:r>
              <w:rPr>
                <w:rFonts w:hint="eastAsia"/>
                <w:color w:val="auto"/>
                <w:sz w:val="24"/>
                <w:szCs w:val="22"/>
                <w:highlight w:val="none"/>
              </w:rPr>
              <w:t>3</w:t>
            </w:r>
            <w:r>
              <w:rPr>
                <w:color w:val="auto"/>
                <w:sz w:val="24"/>
                <w:szCs w:val="22"/>
                <w:highlight w:val="none"/>
              </w:rPr>
              <w:t>0。</w:t>
            </w:r>
          </w:p>
          <w:p>
            <w:pPr>
              <w:snapToGrid w:val="0"/>
              <w:spacing w:line="360" w:lineRule="auto"/>
              <w:ind w:firstLine="480" w:firstLineChars="200"/>
              <w:rPr>
                <w:color w:val="auto"/>
                <w:sz w:val="24"/>
                <w:szCs w:val="22"/>
                <w:highlight w:val="none"/>
              </w:rPr>
            </w:pPr>
            <w:r>
              <w:rPr>
                <w:color w:val="auto"/>
                <w:sz w:val="24"/>
                <w:szCs w:val="22"/>
                <w:highlight w:val="none"/>
              </w:rPr>
              <w:t>本项目</w:t>
            </w:r>
            <w:r>
              <w:rPr>
                <w:rFonts w:hint="eastAsia"/>
                <w:color w:val="auto"/>
                <w:sz w:val="24"/>
                <w:szCs w:val="22"/>
                <w:highlight w:val="none"/>
              </w:rPr>
              <w:t>进厂原料约</w:t>
            </w:r>
            <w:r>
              <w:rPr>
                <w:color w:val="auto"/>
                <w:sz w:val="24"/>
                <w:szCs w:val="22"/>
                <w:highlight w:val="none"/>
              </w:rPr>
              <w:t>为</w:t>
            </w:r>
            <w:r>
              <w:rPr>
                <w:rFonts w:hint="eastAsia"/>
                <w:color w:val="auto"/>
                <w:sz w:val="24"/>
                <w:szCs w:val="22"/>
                <w:highlight w:val="none"/>
              </w:rPr>
              <w:t>21.5</w:t>
            </w:r>
            <w:r>
              <w:rPr>
                <w:color w:val="auto"/>
                <w:sz w:val="24"/>
                <w:szCs w:val="22"/>
                <w:highlight w:val="none"/>
              </w:rPr>
              <w:t>万t/a，转运次数</w:t>
            </w:r>
            <w:r>
              <w:rPr>
                <w:rFonts w:hint="eastAsia"/>
                <w:color w:val="auto"/>
                <w:sz w:val="24"/>
                <w:szCs w:val="22"/>
                <w:highlight w:val="none"/>
              </w:rPr>
              <w:t>约</w:t>
            </w:r>
            <w:r>
              <w:rPr>
                <w:color w:val="auto"/>
                <w:sz w:val="24"/>
                <w:szCs w:val="22"/>
                <w:highlight w:val="none"/>
              </w:rPr>
              <w:t>为</w:t>
            </w:r>
            <w:r>
              <w:rPr>
                <w:rFonts w:hint="eastAsia"/>
                <w:color w:val="auto"/>
                <w:sz w:val="24"/>
                <w:szCs w:val="22"/>
                <w:highlight w:val="none"/>
              </w:rPr>
              <w:t>7167</w:t>
            </w:r>
            <w:r>
              <w:rPr>
                <w:color w:val="auto"/>
                <w:sz w:val="24"/>
                <w:szCs w:val="22"/>
                <w:highlight w:val="none"/>
              </w:rPr>
              <w:t>次，则卸车粉尘量约为</w:t>
            </w:r>
            <w:r>
              <w:rPr>
                <w:rFonts w:hint="eastAsia"/>
                <w:color w:val="auto"/>
                <w:sz w:val="24"/>
                <w:szCs w:val="22"/>
                <w:highlight w:val="none"/>
              </w:rPr>
              <w:t>29.31</w:t>
            </w:r>
            <w:r>
              <w:rPr>
                <w:color w:val="auto"/>
                <w:sz w:val="24"/>
                <w:szCs w:val="22"/>
                <w:highlight w:val="none"/>
              </w:rPr>
              <w:t>kg/a。</w:t>
            </w:r>
          </w:p>
          <w:p>
            <w:pPr>
              <w:spacing w:line="360" w:lineRule="auto"/>
              <w:ind w:firstLine="480"/>
              <w:rPr>
                <w:color w:val="auto"/>
                <w:sz w:val="24"/>
                <w:highlight w:val="none"/>
              </w:rPr>
            </w:pPr>
            <w:r>
              <w:rPr>
                <w:rFonts w:hint="eastAsia"/>
                <w:color w:val="auto"/>
                <w:sz w:val="24"/>
                <w:highlight w:val="none"/>
              </w:rPr>
              <w:t>C.堆存粉尘</w:t>
            </w:r>
          </w:p>
          <w:p>
            <w:pPr>
              <w:spacing w:line="360" w:lineRule="auto"/>
              <w:ind w:firstLine="480"/>
              <w:rPr>
                <w:rFonts w:hint="eastAsia"/>
                <w:color w:val="auto"/>
                <w:sz w:val="24"/>
                <w:highlight w:val="none"/>
              </w:rPr>
            </w:pPr>
            <w:r>
              <w:rPr>
                <w:rFonts w:hint="eastAsia"/>
                <w:color w:val="auto"/>
                <w:sz w:val="24"/>
                <w:highlight w:val="none"/>
              </w:rPr>
              <w:t>建设单位拟在扩建区域北侧及南侧分别设置原料堆放区和成品堆存区，将所有外购原料和成品</w:t>
            </w:r>
            <w:r>
              <w:rPr>
                <w:rFonts w:hint="eastAsia" w:hAnsi="宋体"/>
                <w:color w:val="auto"/>
                <w:sz w:val="24"/>
                <w:highlight w:val="none"/>
                <w:lang w:eastAsia="zh-CN"/>
              </w:rPr>
              <w:t>砂</w:t>
            </w:r>
            <w:r>
              <w:rPr>
                <w:rFonts w:hint="eastAsia"/>
                <w:color w:val="auto"/>
                <w:sz w:val="24"/>
                <w:highlight w:val="none"/>
              </w:rPr>
              <w:t>分别堆存于对应区域。</w:t>
            </w:r>
            <w:r>
              <w:rPr>
                <w:color w:val="auto"/>
                <w:sz w:val="24"/>
                <w:highlight w:val="none"/>
              </w:rPr>
              <w:t>本次评价要求建设单位对</w:t>
            </w:r>
            <w:r>
              <w:rPr>
                <w:rFonts w:hint="eastAsia"/>
                <w:color w:val="auto"/>
                <w:sz w:val="24"/>
                <w:highlight w:val="none"/>
              </w:rPr>
              <w:t>原料区</w:t>
            </w:r>
            <w:r>
              <w:rPr>
                <w:color w:val="auto"/>
                <w:sz w:val="24"/>
                <w:highlight w:val="none"/>
              </w:rPr>
              <w:t>及</w:t>
            </w:r>
            <w:r>
              <w:rPr>
                <w:rFonts w:hint="eastAsia"/>
                <w:color w:val="auto"/>
                <w:sz w:val="24"/>
                <w:highlight w:val="none"/>
              </w:rPr>
              <w:t>成</w:t>
            </w:r>
          </w:p>
          <w:p>
            <w:pPr>
              <w:spacing w:line="360" w:lineRule="auto"/>
              <w:rPr>
                <w:color w:val="auto"/>
                <w:sz w:val="24"/>
                <w:highlight w:val="none"/>
              </w:rPr>
            </w:pPr>
            <w:r>
              <w:rPr>
                <w:rFonts w:hint="eastAsia"/>
                <w:color w:val="auto"/>
                <w:sz w:val="24"/>
                <w:highlight w:val="none"/>
              </w:rPr>
              <w:t>品区</w:t>
            </w:r>
            <w:r>
              <w:rPr>
                <w:color w:val="auto"/>
                <w:sz w:val="24"/>
                <w:highlight w:val="none"/>
              </w:rPr>
              <w:t>地</w:t>
            </w:r>
            <w:r>
              <w:rPr>
                <w:rFonts w:hint="eastAsia"/>
                <w:color w:val="auto"/>
                <w:sz w:val="24"/>
                <w:highlight w:val="none"/>
              </w:rPr>
              <w:t>面</w:t>
            </w:r>
            <w:r>
              <w:rPr>
                <w:color w:val="auto"/>
                <w:sz w:val="24"/>
                <w:highlight w:val="none"/>
              </w:rPr>
              <w:t>进行硬化，顶部加盖处理，</w:t>
            </w:r>
            <w:r>
              <w:rPr>
                <w:rFonts w:hint="eastAsia"/>
                <w:color w:val="auto"/>
                <w:sz w:val="24"/>
                <w:highlight w:val="none"/>
              </w:rPr>
              <w:t>原料区</w:t>
            </w:r>
            <w:r>
              <w:rPr>
                <w:color w:val="auto"/>
                <w:sz w:val="24"/>
                <w:highlight w:val="none"/>
              </w:rPr>
              <w:t>及</w:t>
            </w:r>
            <w:r>
              <w:rPr>
                <w:rFonts w:hint="eastAsia"/>
                <w:color w:val="auto"/>
                <w:sz w:val="24"/>
                <w:highlight w:val="none"/>
              </w:rPr>
              <w:t>成品区</w:t>
            </w:r>
            <w:r>
              <w:rPr>
                <w:color w:val="auto"/>
                <w:sz w:val="24"/>
                <w:highlight w:val="none"/>
              </w:rPr>
              <w:t>至少三面封闭，采取上述措施后，</w:t>
            </w:r>
            <w:r>
              <w:rPr>
                <w:rFonts w:hint="eastAsia"/>
                <w:color w:val="auto"/>
                <w:sz w:val="24"/>
                <w:highlight w:val="none"/>
              </w:rPr>
              <w:t>物料堆存粉尘</w:t>
            </w:r>
            <w:r>
              <w:rPr>
                <w:color w:val="auto"/>
                <w:sz w:val="24"/>
                <w:highlight w:val="none"/>
              </w:rPr>
              <w:t>产生量较小，且在</w:t>
            </w:r>
            <w:r>
              <w:rPr>
                <w:rFonts w:hint="eastAsia"/>
                <w:color w:val="auto"/>
                <w:sz w:val="24"/>
                <w:highlight w:val="none"/>
              </w:rPr>
              <w:t>堆存区</w:t>
            </w:r>
            <w:r>
              <w:rPr>
                <w:color w:val="auto"/>
                <w:sz w:val="24"/>
                <w:highlight w:val="none"/>
              </w:rPr>
              <w:t>内自然沉降</w:t>
            </w:r>
            <w:r>
              <w:rPr>
                <w:rFonts w:hint="eastAsia"/>
                <w:color w:val="auto"/>
                <w:sz w:val="24"/>
                <w:highlight w:val="none"/>
              </w:rPr>
              <w:t>，故本次暂不进行堆存过程粉尘的定量计算。</w:t>
            </w:r>
          </w:p>
          <w:p>
            <w:pPr>
              <w:spacing w:line="360" w:lineRule="auto"/>
              <w:ind w:firstLine="480"/>
              <w:rPr>
                <w:color w:val="auto"/>
                <w:kern w:val="0"/>
                <w:sz w:val="24"/>
                <w:highlight w:val="none"/>
              </w:rPr>
            </w:pPr>
            <w:r>
              <w:rPr>
                <w:rFonts w:hint="eastAsia"/>
                <w:color w:val="auto"/>
                <w:sz w:val="24"/>
                <w:highlight w:val="none"/>
              </w:rPr>
              <w:t>综上，</w:t>
            </w:r>
            <w:r>
              <w:rPr>
                <w:color w:val="auto"/>
                <w:sz w:val="24"/>
                <w:highlight w:val="none"/>
              </w:rPr>
              <w:t>本项目</w:t>
            </w:r>
            <w:r>
              <w:rPr>
                <w:rFonts w:hint="eastAsia"/>
                <w:color w:val="auto"/>
                <w:sz w:val="24"/>
                <w:highlight w:val="none"/>
              </w:rPr>
              <w:t>物</w:t>
            </w:r>
            <w:r>
              <w:rPr>
                <w:color w:val="auto"/>
                <w:sz w:val="24"/>
                <w:highlight w:val="none"/>
              </w:rPr>
              <w:t>料</w:t>
            </w:r>
            <w:r>
              <w:rPr>
                <w:rFonts w:hint="eastAsia"/>
                <w:color w:val="auto"/>
                <w:sz w:val="24"/>
                <w:highlight w:val="none"/>
              </w:rPr>
              <w:t>装卸、堆存粉尘合计产生</w:t>
            </w:r>
            <w:r>
              <w:rPr>
                <w:color w:val="auto"/>
                <w:sz w:val="24"/>
                <w:highlight w:val="none"/>
              </w:rPr>
              <w:t>量</w:t>
            </w:r>
            <w:r>
              <w:rPr>
                <w:rFonts w:hint="eastAsia"/>
                <w:color w:val="auto"/>
                <w:sz w:val="24"/>
                <w:highlight w:val="none"/>
              </w:rPr>
              <w:t>约合0.18</w:t>
            </w:r>
            <w:r>
              <w:rPr>
                <w:rFonts w:hint="eastAsia"/>
                <w:color w:val="auto"/>
                <w:sz w:val="24"/>
                <w:highlight w:val="none"/>
                <w:lang w:val="en-US" w:eastAsia="zh-CN"/>
              </w:rPr>
              <w:t>t</w:t>
            </w:r>
            <w:r>
              <w:rPr>
                <w:color w:val="auto"/>
                <w:sz w:val="24"/>
                <w:highlight w:val="none"/>
              </w:rPr>
              <w:t>/a</w:t>
            </w:r>
            <w:r>
              <w:rPr>
                <w:rFonts w:hint="eastAsia"/>
                <w:color w:val="auto"/>
                <w:sz w:val="24"/>
                <w:highlight w:val="none"/>
              </w:rPr>
              <w:t>。</w:t>
            </w:r>
          </w:p>
          <w:p>
            <w:pPr>
              <w:adjustRightInd w:val="0"/>
              <w:snapToGrid w:val="0"/>
              <w:spacing w:line="360" w:lineRule="auto"/>
              <w:ind w:firstLine="482" w:firstLineChars="200"/>
              <w:rPr>
                <w:b/>
                <w:bCs/>
                <w:color w:val="auto"/>
                <w:kern w:val="0"/>
                <w:sz w:val="24"/>
                <w:highlight w:val="none"/>
              </w:rPr>
            </w:pPr>
            <w:r>
              <w:rPr>
                <w:rFonts w:hint="eastAsia"/>
                <w:b/>
                <w:bCs/>
                <w:color w:val="auto"/>
                <w:kern w:val="0"/>
                <w:sz w:val="24"/>
                <w:highlight w:val="none"/>
              </w:rPr>
              <w:t>治理措施：</w:t>
            </w:r>
            <w:r>
              <w:rPr>
                <w:rFonts w:hint="eastAsia"/>
                <w:color w:val="auto"/>
                <w:kern w:val="0"/>
                <w:sz w:val="24"/>
                <w:highlight w:val="none"/>
              </w:rPr>
              <w:t>物料装车及卸车</w:t>
            </w:r>
            <w:r>
              <w:rPr>
                <w:color w:val="auto"/>
                <w:kern w:val="28"/>
                <w:sz w:val="24"/>
                <w:szCs w:val="22"/>
                <w:highlight w:val="none"/>
              </w:rPr>
              <w:t>过程均在半封闭车间内，</w:t>
            </w:r>
            <w:r>
              <w:rPr>
                <w:color w:val="auto"/>
                <w:sz w:val="24"/>
                <w:highlight w:val="none"/>
              </w:rPr>
              <w:t>通过合理控制</w:t>
            </w:r>
            <w:r>
              <w:rPr>
                <w:rFonts w:hint="eastAsia"/>
                <w:color w:val="auto"/>
                <w:sz w:val="24"/>
                <w:highlight w:val="none"/>
              </w:rPr>
              <w:t>卸料</w:t>
            </w:r>
            <w:r>
              <w:rPr>
                <w:color w:val="auto"/>
                <w:sz w:val="24"/>
                <w:highlight w:val="none"/>
              </w:rPr>
              <w:t>高度</w:t>
            </w:r>
            <w:r>
              <w:rPr>
                <w:rFonts w:hint="eastAsia"/>
                <w:color w:val="auto"/>
                <w:sz w:val="24"/>
                <w:highlight w:val="none"/>
              </w:rPr>
              <w:t>并</w:t>
            </w:r>
            <w:r>
              <w:rPr>
                <w:rFonts w:hint="eastAsia"/>
                <w:color w:val="auto"/>
                <w:kern w:val="28"/>
                <w:sz w:val="24"/>
                <w:szCs w:val="22"/>
                <w:highlight w:val="none"/>
              </w:rPr>
              <w:t>及时喷洒水</w:t>
            </w:r>
            <w:r>
              <w:rPr>
                <w:color w:val="auto"/>
                <w:kern w:val="28"/>
                <w:sz w:val="24"/>
                <w:szCs w:val="22"/>
                <w:highlight w:val="none"/>
              </w:rPr>
              <w:t>，</w:t>
            </w:r>
            <w:r>
              <w:rPr>
                <w:rFonts w:hint="eastAsia"/>
                <w:color w:val="auto"/>
                <w:kern w:val="28"/>
                <w:sz w:val="24"/>
                <w:szCs w:val="22"/>
                <w:highlight w:val="none"/>
              </w:rPr>
              <w:t>抑尘效率约为8</w:t>
            </w:r>
            <w:r>
              <w:rPr>
                <w:rFonts w:hint="eastAsia"/>
                <w:color w:val="auto"/>
                <w:kern w:val="28"/>
                <w:sz w:val="24"/>
                <w:szCs w:val="22"/>
                <w:highlight w:val="none"/>
                <w:lang w:val="en-US" w:eastAsia="zh-CN"/>
              </w:rPr>
              <w:t>5</w:t>
            </w:r>
            <w:r>
              <w:rPr>
                <w:rFonts w:hint="eastAsia"/>
                <w:color w:val="auto"/>
                <w:kern w:val="28"/>
                <w:sz w:val="24"/>
                <w:szCs w:val="22"/>
                <w:highlight w:val="none"/>
              </w:rPr>
              <w:t>%，则装卸过程粉尘排放量约合0.03t</w:t>
            </w:r>
            <w:r>
              <w:rPr>
                <w:color w:val="auto"/>
                <w:sz w:val="24"/>
                <w:highlight w:val="none"/>
              </w:rPr>
              <w:t>/a</w:t>
            </w:r>
            <w:r>
              <w:rPr>
                <w:color w:val="auto"/>
                <w:sz w:val="24"/>
                <w:szCs w:val="22"/>
                <w:highlight w:val="none"/>
              </w:rPr>
              <w:t>。</w:t>
            </w:r>
          </w:p>
          <w:p>
            <w:pPr>
              <w:adjustRightInd w:val="0"/>
              <w:snapToGrid w:val="0"/>
              <w:spacing w:line="360" w:lineRule="auto"/>
              <w:ind w:firstLine="482" w:firstLineChars="200"/>
              <w:rPr>
                <w:color w:val="auto"/>
                <w:sz w:val="24"/>
                <w:highlight w:val="none"/>
              </w:rPr>
            </w:pPr>
            <w:r>
              <w:rPr>
                <w:rFonts w:hint="eastAsia"/>
                <w:b/>
                <w:bCs/>
                <w:color w:val="auto"/>
                <w:kern w:val="0"/>
                <w:sz w:val="24"/>
                <w:highlight w:val="none"/>
              </w:rPr>
              <w:t>可行性分析：</w:t>
            </w:r>
            <w:r>
              <w:rPr>
                <w:color w:val="auto"/>
                <w:sz w:val="24"/>
                <w:highlight w:val="none"/>
              </w:rPr>
              <w:t>通过合理控制</w:t>
            </w:r>
            <w:r>
              <w:rPr>
                <w:rFonts w:hint="eastAsia"/>
                <w:color w:val="auto"/>
                <w:sz w:val="24"/>
                <w:highlight w:val="none"/>
              </w:rPr>
              <w:t>卸料</w:t>
            </w:r>
            <w:r>
              <w:rPr>
                <w:color w:val="auto"/>
                <w:sz w:val="24"/>
                <w:highlight w:val="none"/>
              </w:rPr>
              <w:t>高度和原料表面进行喷洒水</w:t>
            </w:r>
            <w:r>
              <w:rPr>
                <w:rFonts w:hint="eastAsia"/>
                <w:color w:val="auto"/>
                <w:sz w:val="24"/>
                <w:highlight w:val="none"/>
              </w:rPr>
              <w:t>；原料区</w:t>
            </w:r>
            <w:r>
              <w:rPr>
                <w:color w:val="auto"/>
                <w:sz w:val="24"/>
                <w:highlight w:val="none"/>
              </w:rPr>
              <w:t>及</w:t>
            </w:r>
            <w:r>
              <w:rPr>
                <w:rFonts w:hint="eastAsia"/>
                <w:color w:val="auto"/>
                <w:sz w:val="24"/>
                <w:highlight w:val="none"/>
              </w:rPr>
              <w:t>成品区采取</w:t>
            </w:r>
            <w:r>
              <w:rPr>
                <w:color w:val="auto"/>
                <w:sz w:val="24"/>
                <w:highlight w:val="none"/>
              </w:rPr>
              <w:t>三面封闭</w:t>
            </w:r>
            <w:r>
              <w:rPr>
                <w:rFonts w:hint="eastAsia"/>
                <w:color w:val="auto"/>
                <w:sz w:val="24"/>
                <w:highlight w:val="none"/>
              </w:rPr>
              <w:t>后，可有效控制物</w:t>
            </w:r>
            <w:r>
              <w:rPr>
                <w:color w:val="auto"/>
                <w:sz w:val="24"/>
                <w:highlight w:val="none"/>
              </w:rPr>
              <w:t>料</w:t>
            </w:r>
            <w:r>
              <w:rPr>
                <w:rFonts w:hint="eastAsia"/>
                <w:color w:val="auto"/>
                <w:sz w:val="24"/>
                <w:highlight w:val="none"/>
              </w:rPr>
              <w:t>装卸、堆存粉尘产生量，对外环境影响不大，因此上述环保措施可行。</w:t>
            </w:r>
          </w:p>
          <w:p>
            <w:pPr>
              <w:adjustRightInd w:val="0"/>
              <w:snapToGrid w:val="0"/>
              <w:spacing w:line="360" w:lineRule="auto"/>
              <w:ind w:firstLine="480" w:firstLineChars="200"/>
              <w:rPr>
                <w:bCs/>
                <w:color w:val="auto"/>
                <w:sz w:val="24"/>
                <w:highlight w:val="none"/>
              </w:rPr>
            </w:pPr>
            <w:r>
              <w:rPr>
                <w:rFonts w:hint="eastAsia"/>
                <w:bCs/>
                <w:color w:val="auto"/>
                <w:sz w:val="24"/>
                <w:highlight w:val="none"/>
              </w:rPr>
              <w:t>2、筛分粉尘</w:t>
            </w:r>
          </w:p>
          <w:p>
            <w:pPr>
              <w:spacing w:line="360" w:lineRule="auto"/>
              <w:ind w:firstLine="472" w:firstLineChars="196"/>
              <w:rPr>
                <w:color w:val="auto"/>
                <w:sz w:val="24"/>
                <w:highlight w:val="none"/>
              </w:rPr>
            </w:pPr>
            <w:r>
              <w:rPr>
                <w:rFonts w:hint="eastAsia"/>
                <w:b/>
                <w:bCs/>
                <w:color w:val="auto"/>
                <w:sz w:val="24"/>
                <w:highlight w:val="none"/>
              </w:rPr>
              <w:t>源强核算：</w:t>
            </w:r>
            <w:r>
              <w:rPr>
                <w:rFonts w:hint="eastAsia"/>
                <w:color w:val="auto"/>
                <w:sz w:val="24"/>
                <w:highlight w:val="none"/>
              </w:rPr>
              <w:t>根据工程分析可知，本项目需先对粗</w:t>
            </w:r>
            <w:r>
              <w:rPr>
                <w:rFonts w:hint="eastAsia" w:hAnsi="宋体"/>
                <w:color w:val="auto"/>
                <w:sz w:val="24"/>
                <w:highlight w:val="none"/>
                <w:lang w:eastAsia="zh-CN"/>
              </w:rPr>
              <w:t>砂</w:t>
            </w:r>
            <w:r>
              <w:rPr>
                <w:rFonts w:hint="eastAsia"/>
                <w:color w:val="auto"/>
                <w:sz w:val="24"/>
                <w:highlight w:val="none"/>
              </w:rPr>
              <w:t>进行筛分，该过程会产生一定量粉尘。参照《</w:t>
            </w:r>
            <w:r>
              <w:rPr>
                <w:rFonts w:ascii="宋体" w:hAnsi="宋体" w:cs="宋体"/>
                <w:color w:val="auto"/>
                <w:sz w:val="24"/>
                <w:highlight w:val="none"/>
              </w:rPr>
              <w:t>排放源统计调查产排污核算方法和系数手册</w:t>
            </w:r>
            <w:r>
              <w:rPr>
                <w:rFonts w:hint="eastAsia"/>
                <w:color w:val="auto"/>
                <w:sz w:val="24"/>
                <w:highlight w:val="none"/>
              </w:rPr>
              <w:t>》（生态环境部）中“3039 其他建筑材料制造行业”，砂石骨料破碎、筛分工艺产污系数为1.89kg/t产品。根据建设单位提供资料，本项目年产成品</w:t>
            </w:r>
            <w:r>
              <w:rPr>
                <w:rFonts w:hint="eastAsia" w:hAnsi="宋体"/>
                <w:color w:val="auto"/>
                <w:sz w:val="24"/>
                <w:highlight w:val="none"/>
                <w:lang w:eastAsia="zh-CN"/>
              </w:rPr>
              <w:t>砂</w:t>
            </w:r>
            <w:r>
              <w:rPr>
                <w:rFonts w:hint="eastAsia"/>
                <w:color w:val="auto"/>
                <w:sz w:val="24"/>
                <w:highlight w:val="none"/>
              </w:rPr>
              <w:t>料20万t，则筛分工序粉尘产生量为378t/a。</w:t>
            </w:r>
          </w:p>
          <w:p>
            <w:pPr>
              <w:adjustRightInd w:val="0"/>
              <w:snapToGrid w:val="0"/>
              <w:spacing w:line="360" w:lineRule="auto"/>
              <w:ind w:firstLine="482" w:firstLineChars="200"/>
              <w:rPr>
                <w:color w:val="auto"/>
                <w:sz w:val="24"/>
                <w:highlight w:val="none"/>
              </w:rPr>
            </w:pPr>
            <w:r>
              <w:rPr>
                <w:rFonts w:hint="eastAsia" w:ascii="宋体" w:hAnsi="宋体" w:cs="宋体"/>
                <w:b/>
                <w:bCs/>
                <w:color w:val="auto"/>
                <w:kern w:val="0"/>
                <w:sz w:val="24"/>
                <w:highlight w:val="none"/>
              </w:rPr>
              <w:t>治理措施：</w:t>
            </w:r>
            <w:r>
              <w:rPr>
                <w:color w:val="auto"/>
                <w:kern w:val="0"/>
                <w:sz w:val="24"/>
                <w:highlight w:val="none"/>
              </w:rPr>
              <w:t>建设单位拟将</w:t>
            </w:r>
            <w:r>
              <w:rPr>
                <w:rFonts w:hint="eastAsia"/>
                <w:color w:val="auto"/>
                <w:kern w:val="0"/>
                <w:sz w:val="24"/>
                <w:highlight w:val="none"/>
              </w:rPr>
              <w:t>筛分工序布置于半封闭车间（三面封闭+顶棚）内，分离筛工作时处于封闭状态，分离筛入料口和出料口个设置一个喷淋装置，</w:t>
            </w:r>
            <w:r>
              <w:rPr>
                <w:color w:val="auto"/>
                <w:kern w:val="0"/>
                <w:sz w:val="24"/>
                <w:highlight w:val="none"/>
              </w:rPr>
              <w:t>将物料含水率控制在</w:t>
            </w:r>
            <w:r>
              <w:rPr>
                <w:rFonts w:hint="eastAsia"/>
                <w:color w:val="auto"/>
                <w:kern w:val="0"/>
                <w:sz w:val="24"/>
                <w:highlight w:val="none"/>
              </w:rPr>
              <w:t>2</w:t>
            </w:r>
            <w:r>
              <w:rPr>
                <w:color w:val="auto"/>
                <w:kern w:val="0"/>
                <w:sz w:val="24"/>
                <w:highlight w:val="none"/>
              </w:rPr>
              <w:t>0%左右，</w:t>
            </w:r>
            <w:r>
              <w:rPr>
                <w:rFonts w:hint="eastAsia"/>
                <w:color w:val="auto"/>
                <w:kern w:val="0"/>
                <w:sz w:val="24"/>
                <w:highlight w:val="none"/>
              </w:rPr>
              <w:t>湿法</w:t>
            </w:r>
            <w:r>
              <w:rPr>
                <w:color w:val="auto"/>
                <w:kern w:val="0"/>
                <w:sz w:val="24"/>
                <w:highlight w:val="none"/>
              </w:rPr>
              <w:t>效率以</w:t>
            </w:r>
            <w:r>
              <w:rPr>
                <w:rFonts w:hint="eastAsia"/>
                <w:color w:val="auto"/>
                <w:kern w:val="0"/>
                <w:sz w:val="24"/>
                <w:highlight w:val="none"/>
              </w:rPr>
              <w:t>90</w:t>
            </w:r>
            <w:r>
              <w:rPr>
                <w:color w:val="auto"/>
                <w:kern w:val="0"/>
                <w:sz w:val="24"/>
                <w:highlight w:val="none"/>
              </w:rPr>
              <w:t>%计</w:t>
            </w:r>
            <w:r>
              <w:rPr>
                <w:rFonts w:hint="eastAsia"/>
                <w:color w:val="auto"/>
                <w:kern w:val="0"/>
                <w:sz w:val="24"/>
                <w:highlight w:val="none"/>
              </w:rPr>
              <w:t>。</w:t>
            </w:r>
            <w:r>
              <w:rPr>
                <w:color w:val="auto"/>
                <w:kern w:val="0"/>
                <w:sz w:val="24"/>
                <w:highlight w:val="none"/>
              </w:rPr>
              <w:t>同时，约6</w:t>
            </w:r>
            <w:r>
              <w:rPr>
                <w:rFonts w:hint="eastAsia"/>
                <w:color w:val="auto"/>
                <w:kern w:val="0"/>
                <w:sz w:val="24"/>
                <w:highlight w:val="none"/>
              </w:rPr>
              <w:t>0</w:t>
            </w:r>
            <w:r>
              <w:rPr>
                <w:color w:val="auto"/>
                <w:kern w:val="0"/>
                <w:sz w:val="24"/>
                <w:highlight w:val="none"/>
              </w:rPr>
              <w:t>%的粉尘会在车间内沉降</w:t>
            </w:r>
            <w:r>
              <w:rPr>
                <w:rFonts w:hint="eastAsia"/>
                <w:color w:val="auto"/>
                <w:kern w:val="0"/>
                <w:sz w:val="24"/>
                <w:highlight w:val="none"/>
                <w:lang w:eastAsia="zh-CN"/>
              </w:rPr>
              <w:t>，</w:t>
            </w:r>
            <w:r>
              <w:rPr>
                <w:color w:val="auto"/>
                <w:sz w:val="24"/>
                <w:highlight w:val="none"/>
              </w:rPr>
              <w:t>并对未沉降的逸散性粉尘采用</w:t>
            </w:r>
            <w:r>
              <w:rPr>
                <w:rFonts w:hint="eastAsia"/>
                <w:color w:val="auto"/>
                <w:sz w:val="24"/>
                <w:highlight w:val="none"/>
              </w:rPr>
              <w:t>车间顶部喷雾</w:t>
            </w:r>
            <w:r>
              <w:rPr>
                <w:color w:val="auto"/>
                <w:sz w:val="24"/>
                <w:highlight w:val="none"/>
              </w:rPr>
              <w:t>除尘设施，</w:t>
            </w:r>
            <w:r>
              <w:rPr>
                <w:rFonts w:hint="eastAsia"/>
                <w:color w:val="auto"/>
                <w:sz w:val="24"/>
                <w:highlight w:val="none"/>
              </w:rPr>
              <w:t>喷雾</w:t>
            </w:r>
            <w:r>
              <w:rPr>
                <w:color w:val="auto"/>
                <w:sz w:val="24"/>
                <w:highlight w:val="none"/>
              </w:rPr>
              <w:t>除尘效率可达到</w:t>
            </w:r>
            <w:r>
              <w:rPr>
                <w:rFonts w:hint="eastAsia"/>
                <w:color w:val="auto"/>
                <w:sz w:val="24"/>
                <w:highlight w:val="none"/>
              </w:rPr>
              <w:t>9</w:t>
            </w:r>
            <w:r>
              <w:rPr>
                <w:color w:val="auto"/>
                <w:sz w:val="24"/>
                <w:highlight w:val="none"/>
              </w:rPr>
              <w:t>0%以上</w:t>
            </w:r>
            <w:r>
              <w:rPr>
                <w:rFonts w:hint="eastAsia"/>
                <w:color w:val="auto"/>
                <w:sz w:val="24"/>
                <w:highlight w:val="none"/>
              </w:rPr>
              <w:t>（</w:t>
            </w:r>
            <w:r>
              <w:rPr>
                <w:color w:val="auto"/>
                <w:sz w:val="24"/>
                <w:highlight w:val="none"/>
              </w:rPr>
              <w:t>本次评价按</w:t>
            </w:r>
            <w:r>
              <w:rPr>
                <w:rFonts w:hint="eastAsia"/>
                <w:color w:val="auto"/>
                <w:sz w:val="24"/>
                <w:highlight w:val="none"/>
              </w:rPr>
              <w:t>9</w:t>
            </w:r>
            <w:r>
              <w:rPr>
                <w:color w:val="auto"/>
                <w:sz w:val="24"/>
                <w:highlight w:val="none"/>
              </w:rPr>
              <w:t>0%计</w:t>
            </w:r>
            <w:r>
              <w:rPr>
                <w:rFonts w:hint="eastAsia"/>
                <w:color w:val="auto"/>
                <w:sz w:val="24"/>
                <w:highlight w:val="none"/>
              </w:rPr>
              <w:t>），</w:t>
            </w:r>
            <w:r>
              <w:rPr>
                <w:color w:val="auto"/>
                <w:sz w:val="24"/>
                <w:highlight w:val="none"/>
              </w:rPr>
              <w:t>经</w:t>
            </w:r>
            <w:r>
              <w:rPr>
                <w:rFonts w:hint="eastAsia"/>
                <w:color w:val="auto"/>
                <w:sz w:val="24"/>
                <w:highlight w:val="none"/>
              </w:rPr>
              <w:t>喷雾</w:t>
            </w:r>
            <w:r>
              <w:rPr>
                <w:color w:val="auto"/>
                <w:sz w:val="24"/>
                <w:highlight w:val="none"/>
              </w:rPr>
              <w:t>除尘后，</w:t>
            </w:r>
            <w:r>
              <w:rPr>
                <w:rFonts w:hint="eastAsia"/>
                <w:color w:val="auto"/>
                <w:sz w:val="24"/>
                <w:highlight w:val="none"/>
              </w:rPr>
              <w:t>生产</w:t>
            </w:r>
            <w:r>
              <w:rPr>
                <w:color w:val="auto"/>
                <w:sz w:val="24"/>
                <w:highlight w:val="none"/>
              </w:rPr>
              <w:t>车间</w:t>
            </w:r>
            <w:r>
              <w:rPr>
                <w:rFonts w:hint="eastAsia"/>
                <w:color w:val="auto"/>
                <w:kern w:val="0"/>
                <w:sz w:val="24"/>
                <w:highlight w:val="none"/>
              </w:rPr>
              <w:t>粉尘</w:t>
            </w:r>
            <w:r>
              <w:rPr>
                <w:color w:val="auto"/>
                <w:sz w:val="24"/>
                <w:highlight w:val="none"/>
              </w:rPr>
              <w:t>无组织粉尘排放量约为</w:t>
            </w:r>
            <w:r>
              <w:rPr>
                <w:rFonts w:hint="eastAsia"/>
                <w:color w:val="auto"/>
                <w:sz w:val="24"/>
                <w:highlight w:val="none"/>
              </w:rPr>
              <w:t>1.51</w:t>
            </w:r>
            <w:r>
              <w:rPr>
                <w:color w:val="auto"/>
                <w:sz w:val="24"/>
                <w:highlight w:val="none"/>
              </w:rPr>
              <w:t>t/a。</w:t>
            </w:r>
          </w:p>
          <w:p>
            <w:pPr>
              <w:adjustRightInd w:val="0"/>
              <w:snapToGrid w:val="0"/>
              <w:jc w:val="center"/>
              <w:rPr>
                <w:color w:val="auto"/>
                <w:szCs w:val="21"/>
                <w:highlight w:val="none"/>
              </w:rPr>
            </w:pPr>
            <w:r>
              <w:rPr>
                <w:rFonts w:hint="eastAsia" w:ascii="宋体" w:hAnsi="宋体" w:cs="宋体"/>
                <w:b/>
                <w:bCs/>
                <w:color w:val="auto"/>
                <w:kern w:val="0"/>
                <w:szCs w:val="21"/>
                <w:highlight w:val="none"/>
              </w:rPr>
              <w:t>表</w:t>
            </w:r>
            <w:r>
              <w:rPr>
                <w:b/>
                <w:bCs/>
                <w:color w:val="auto"/>
                <w:kern w:val="0"/>
                <w:szCs w:val="21"/>
                <w:highlight w:val="none"/>
              </w:rPr>
              <w:t>4-</w:t>
            </w:r>
            <w:r>
              <w:rPr>
                <w:rFonts w:hint="eastAsia"/>
                <w:b/>
                <w:bCs/>
                <w:color w:val="auto"/>
                <w:kern w:val="0"/>
                <w:szCs w:val="21"/>
                <w:highlight w:val="none"/>
              </w:rPr>
              <w:t>1</w:t>
            </w:r>
            <w:r>
              <w:rPr>
                <w:b/>
                <w:bCs/>
                <w:color w:val="auto"/>
                <w:kern w:val="0"/>
                <w:szCs w:val="21"/>
                <w:highlight w:val="none"/>
              </w:rPr>
              <w:t xml:space="preserve"> </w:t>
            </w:r>
            <w:r>
              <w:rPr>
                <w:rFonts w:hint="eastAsia"/>
                <w:b/>
                <w:bCs/>
                <w:color w:val="auto"/>
                <w:kern w:val="0"/>
                <w:szCs w:val="21"/>
                <w:highlight w:val="none"/>
              </w:rPr>
              <w:t xml:space="preserve"> </w:t>
            </w:r>
            <w:r>
              <w:rPr>
                <w:rFonts w:hint="eastAsia" w:ascii="宋体" w:hAnsi="宋体" w:cs="宋体"/>
                <w:b/>
                <w:bCs/>
                <w:color w:val="auto"/>
                <w:kern w:val="0"/>
                <w:szCs w:val="21"/>
                <w:highlight w:val="none"/>
              </w:rPr>
              <w:t>生产车间无组织粉尘产生及排放情况表</w:t>
            </w:r>
          </w:p>
          <w:tbl>
            <w:tblPr>
              <w:tblStyle w:val="3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10"/>
              <w:gridCol w:w="2595"/>
              <w:gridCol w:w="1710"/>
              <w:gridCol w:w="1306"/>
              <w:gridCol w:w="12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24" w:type="dxa"/>
                  <w:vMerge w:val="restart"/>
                  <w:tcBorders>
                    <w:tl2br w:val="nil"/>
                    <w:tr2bl w:val="nil"/>
                  </w:tcBorders>
                  <w:vAlign w:val="center"/>
                </w:tcPr>
                <w:p>
                  <w:pPr>
                    <w:jc w:val="center"/>
                    <w:rPr>
                      <w:color w:val="auto"/>
                      <w:highlight w:val="none"/>
                    </w:rPr>
                  </w:pPr>
                  <w:r>
                    <w:rPr>
                      <w:rFonts w:hint="eastAsia"/>
                      <w:color w:val="auto"/>
                      <w:highlight w:val="none"/>
                    </w:rPr>
                    <w:t>污染物</w:t>
                  </w:r>
                </w:p>
              </w:tc>
              <w:tc>
                <w:tcPr>
                  <w:tcW w:w="810" w:type="dxa"/>
                  <w:vMerge w:val="restart"/>
                  <w:tcBorders>
                    <w:tl2br w:val="nil"/>
                    <w:tr2bl w:val="nil"/>
                  </w:tcBorders>
                  <w:vAlign w:val="center"/>
                </w:tcPr>
                <w:p>
                  <w:pPr>
                    <w:jc w:val="center"/>
                    <w:rPr>
                      <w:color w:val="auto"/>
                      <w:highlight w:val="none"/>
                    </w:rPr>
                  </w:pPr>
                  <w:r>
                    <w:rPr>
                      <w:rFonts w:hint="eastAsia"/>
                      <w:color w:val="auto"/>
                      <w:highlight w:val="none"/>
                    </w:rPr>
                    <w:t>产生源强</w:t>
                  </w:r>
                  <w:r>
                    <w:rPr>
                      <w:color w:val="auto"/>
                      <w:highlight w:val="none"/>
                    </w:rPr>
                    <w:t>t/a</w:t>
                  </w:r>
                </w:p>
              </w:tc>
              <w:tc>
                <w:tcPr>
                  <w:tcW w:w="4305" w:type="dxa"/>
                  <w:gridSpan w:val="2"/>
                  <w:tcBorders>
                    <w:tl2br w:val="nil"/>
                    <w:tr2bl w:val="nil"/>
                  </w:tcBorders>
                  <w:vAlign w:val="center"/>
                </w:tcPr>
                <w:p>
                  <w:pPr>
                    <w:jc w:val="center"/>
                    <w:rPr>
                      <w:color w:val="auto"/>
                      <w:highlight w:val="none"/>
                    </w:rPr>
                  </w:pPr>
                  <w:r>
                    <w:rPr>
                      <w:rFonts w:hint="eastAsia"/>
                      <w:color w:val="auto"/>
                      <w:highlight w:val="none"/>
                    </w:rPr>
                    <w:t>治理措施</w:t>
                  </w:r>
                </w:p>
              </w:tc>
              <w:tc>
                <w:tcPr>
                  <w:tcW w:w="1306" w:type="dxa"/>
                  <w:vMerge w:val="restart"/>
                  <w:tcBorders>
                    <w:tl2br w:val="nil"/>
                    <w:tr2bl w:val="nil"/>
                  </w:tcBorders>
                  <w:vAlign w:val="center"/>
                </w:tcPr>
                <w:p>
                  <w:pPr>
                    <w:jc w:val="center"/>
                    <w:rPr>
                      <w:color w:val="auto"/>
                      <w:highlight w:val="none"/>
                    </w:rPr>
                  </w:pPr>
                  <w:r>
                    <w:rPr>
                      <w:rFonts w:hint="eastAsia"/>
                      <w:color w:val="auto"/>
                      <w:highlight w:val="none"/>
                    </w:rPr>
                    <w:t>无组织排放量</w:t>
                  </w:r>
                  <w:r>
                    <w:rPr>
                      <w:color w:val="auto"/>
                      <w:highlight w:val="none"/>
                    </w:rPr>
                    <w:t>t/a</w:t>
                  </w:r>
                </w:p>
              </w:tc>
              <w:tc>
                <w:tcPr>
                  <w:tcW w:w="1256" w:type="dxa"/>
                  <w:vMerge w:val="restart"/>
                  <w:tcBorders>
                    <w:tl2br w:val="nil"/>
                    <w:tr2bl w:val="nil"/>
                  </w:tcBorders>
                  <w:vAlign w:val="center"/>
                </w:tcPr>
                <w:p>
                  <w:pPr>
                    <w:jc w:val="center"/>
                    <w:rPr>
                      <w:color w:val="auto"/>
                      <w:highlight w:val="none"/>
                    </w:rPr>
                  </w:pPr>
                  <w:r>
                    <w:rPr>
                      <w:rFonts w:hint="eastAsia"/>
                      <w:color w:val="auto"/>
                      <w:highlight w:val="none"/>
                    </w:rPr>
                    <w:t>排放标准</w:t>
                  </w:r>
                </w:p>
                <w:p>
                  <w:pPr>
                    <w:jc w:val="center"/>
                    <w:rPr>
                      <w:color w:val="auto"/>
                      <w:highlight w:val="none"/>
                    </w:rPr>
                  </w:pPr>
                  <w:r>
                    <w:rPr>
                      <w:color w:val="auto"/>
                      <w:highlight w:val="none"/>
                    </w:rPr>
                    <w:t>mg/m</w:t>
                  </w:r>
                  <w:r>
                    <w:rPr>
                      <w:rFonts w:hint="eastAsia"/>
                      <w:color w:val="auto"/>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4" w:type="dxa"/>
                  <w:vMerge w:val="continue"/>
                  <w:tcBorders>
                    <w:tl2br w:val="nil"/>
                    <w:tr2bl w:val="nil"/>
                  </w:tcBorders>
                  <w:vAlign w:val="center"/>
                </w:tcPr>
                <w:p>
                  <w:pPr>
                    <w:jc w:val="center"/>
                    <w:rPr>
                      <w:color w:val="auto"/>
                      <w:highlight w:val="none"/>
                    </w:rPr>
                  </w:pPr>
                </w:p>
              </w:tc>
              <w:tc>
                <w:tcPr>
                  <w:tcW w:w="810" w:type="dxa"/>
                  <w:vMerge w:val="continue"/>
                  <w:tcBorders>
                    <w:tl2br w:val="nil"/>
                    <w:tr2bl w:val="nil"/>
                  </w:tcBorders>
                  <w:vAlign w:val="center"/>
                </w:tcPr>
                <w:p>
                  <w:pPr>
                    <w:jc w:val="center"/>
                    <w:rPr>
                      <w:color w:val="auto"/>
                      <w:highlight w:val="none"/>
                    </w:rPr>
                  </w:pPr>
                </w:p>
              </w:tc>
              <w:tc>
                <w:tcPr>
                  <w:tcW w:w="2595" w:type="dxa"/>
                  <w:tcBorders>
                    <w:tl2br w:val="nil"/>
                    <w:tr2bl w:val="nil"/>
                  </w:tcBorders>
                  <w:vAlign w:val="center"/>
                </w:tcPr>
                <w:p>
                  <w:pPr>
                    <w:jc w:val="center"/>
                    <w:rPr>
                      <w:color w:val="auto"/>
                      <w:highlight w:val="none"/>
                    </w:rPr>
                  </w:pPr>
                  <w:r>
                    <w:rPr>
                      <w:rFonts w:hint="eastAsia"/>
                      <w:color w:val="auto"/>
                      <w:highlight w:val="none"/>
                    </w:rPr>
                    <w:t>措施</w:t>
                  </w:r>
                </w:p>
              </w:tc>
              <w:tc>
                <w:tcPr>
                  <w:tcW w:w="1710" w:type="dxa"/>
                  <w:tcBorders>
                    <w:tl2br w:val="nil"/>
                    <w:tr2bl w:val="nil"/>
                  </w:tcBorders>
                  <w:vAlign w:val="center"/>
                </w:tcPr>
                <w:p>
                  <w:pPr>
                    <w:jc w:val="center"/>
                    <w:rPr>
                      <w:color w:val="auto"/>
                      <w:highlight w:val="none"/>
                    </w:rPr>
                  </w:pPr>
                  <w:r>
                    <w:rPr>
                      <w:rFonts w:hint="eastAsia"/>
                      <w:color w:val="auto"/>
                      <w:highlight w:val="none"/>
                    </w:rPr>
                    <w:t>处理</w:t>
                  </w:r>
                </w:p>
                <w:p>
                  <w:pPr>
                    <w:jc w:val="center"/>
                    <w:rPr>
                      <w:color w:val="auto"/>
                      <w:highlight w:val="none"/>
                    </w:rPr>
                  </w:pPr>
                  <w:r>
                    <w:rPr>
                      <w:rFonts w:hint="eastAsia"/>
                      <w:color w:val="auto"/>
                      <w:highlight w:val="none"/>
                    </w:rPr>
                    <w:t>效率</w:t>
                  </w:r>
                </w:p>
              </w:tc>
              <w:tc>
                <w:tcPr>
                  <w:tcW w:w="1306" w:type="dxa"/>
                  <w:vMerge w:val="continue"/>
                  <w:tcBorders>
                    <w:tl2br w:val="nil"/>
                    <w:tr2bl w:val="nil"/>
                  </w:tcBorders>
                  <w:vAlign w:val="center"/>
                </w:tcPr>
                <w:p>
                  <w:pPr>
                    <w:jc w:val="center"/>
                    <w:rPr>
                      <w:color w:val="auto"/>
                      <w:highlight w:val="none"/>
                    </w:rPr>
                  </w:pPr>
                </w:p>
              </w:tc>
              <w:tc>
                <w:tcPr>
                  <w:tcW w:w="1256" w:type="dxa"/>
                  <w:vMerge w:val="continue"/>
                  <w:tcBorders>
                    <w:tl2br w:val="nil"/>
                    <w:tr2bl w:val="nil"/>
                  </w:tcBorders>
                  <w:vAlign w:val="center"/>
                </w:tcPr>
                <w:p>
                  <w:pPr>
                    <w:jc w:val="center"/>
                    <w:rPr>
                      <w:color w:val="auto"/>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4" w:type="dxa"/>
                  <w:tcBorders>
                    <w:tl2br w:val="nil"/>
                    <w:tr2bl w:val="nil"/>
                  </w:tcBorders>
                  <w:vAlign w:val="center"/>
                </w:tcPr>
                <w:p>
                  <w:pPr>
                    <w:jc w:val="center"/>
                    <w:rPr>
                      <w:color w:val="auto"/>
                      <w:highlight w:val="none"/>
                    </w:rPr>
                  </w:pPr>
                  <w:r>
                    <w:rPr>
                      <w:rFonts w:hint="eastAsia"/>
                      <w:color w:val="auto"/>
                      <w:highlight w:val="none"/>
                    </w:rPr>
                    <w:t>粉尘</w:t>
                  </w:r>
                </w:p>
              </w:tc>
              <w:tc>
                <w:tcPr>
                  <w:tcW w:w="810" w:type="dxa"/>
                  <w:tcBorders>
                    <w:tl2br w:val="nil"/>
                    <w:tr2bl w:val="nil"/>
                  </w:tcBorders>
                  <w:vAlign w:val="center"/>
                </w:tcPr>
                <w:p>
                  <w:pPr>
                    <w:jc w:val="center"/>
                    <w:rPr>
                      <w:color w:val="auto"/>
                      <w:highlight w:val="none"/>
                    </w:rPr>
                  </w:pPr>
                  <w:r>
                    <w:rPr>
                      <w:rFonts w:hint="eastAsia"/>
                      <w:color w:val="auto"/>
                      <w:highlight w:val="none"/>
                    </w:rPr>
                    <w:t>378</w:t>
                  </w:r>
                </w:p>
              </w:tc>
              <w:tc>
                <w:tcPr>
                  <w:tcW w:w="2595" w:type="dxa"/>
                  <w:tcBorders>
                    <w:tl2br w:val="nil"/>
                    <w:tr2bl w:val="nil"/>
                  </w:tcBorders>
                  <w:vAlign w:val="center"/>
                </w:tcPr>
                <w:p>
                  <w:pPr>
                    <w:jc w:val="center"/>
                    <w:rPr>
                      <w:color w:val="auto"/>
                      <w:highlight w:val="none"/>
                    </w:rPr>
                  </w:pPr>
                  <w:r>
                    <w:rPr>
                      <w:rFonts w:hint="eastAsia"/>
                      <w:color w:val="auto"/>
                      <w:highlight w:val="none"/>
                    </w:rPr>
                    <w:t>生产</w:t>
                  </w:r>
                  <w:r>
                    <w:rPr>
                      <w:color w:val="auto"/>
                      <w:highlight w:val="none"/>
                    </w:rPr>
                    <w:t>车间</w:t>
                  </w:r>
                  <w:r>
                    <w:rPr>
                      <w:rFonts w:hint="eastAsia"/>
                      <w:color w:val="auto"/>
                      <w:highlight w:val="none"/>
                    </w:rPr>
                    <w:t>半封闭</w:t>
                  </w:r>
                  <w:r>
                    <w:rPr>
                      <w:color w:val="auto"/>
                      <w:highlight w:val="none"/>
                    </w:rPr>
                    <w:t>，</w:t>
                  </w:r>
                  <w:r>
                    <w:rPr>
                      <w:rFonts w:hint="eastAsia"/>
                      <w:color w:val="auto"/>
                      <w:highlight w:val="none"/>
                    </w:rPr>
                    <w:t>筛分</w:t>
                  </w:r>
                  <w:r>
                    <w:rPr>
                      <w:color w:val="auto"/>
                      <w:highlight w:val="none"/>
                    </w:rPr>
                    <w:t>设备密封，</w:t>
                  </w:r>
                  <w:r>
                    <w:rPr>
                      <w:color w:val="auto"/>
                      <w:kern w:val="0"/>
                      <w:szCs w:val="21"/>
                      <w:highlight w:val="none"/>
                    </w:rPr>
                    <w:t>湿法作业</w:t>
                  </w:r>
                  <w:r>
                    <w:rPr>
                      <w:rFonts w:hint="eastAsia"/>
                      <w:color w:val="auto"/>
                      <w:kern w:val="0"/>
                      <w:szCs w:val="21"/>
                      <w:highlight w:val="none"/>
                    </w:rPr>
                    <w:t>，</w:t>
                  </w:r>
                  <w:r>
                    <w:rPr>
                      <w:color w:val="auto"/>
                      <w:highlight w:val="none"/>
                    </w:rPr>
                    <w:t>筛分工序入料口和出料口各设置1个喷淋装置</w:t>
                  </w:r>
                  <w:r>
                    <w:rPr>
                      <w:rFonts w:hint="eastAsia"/>
                      <w:color w:val="auto"/>
                      <w:highlight w:val="none"/>
                    </w:rPr>
                    <w:t>，</w:t>
                  </w:r>
                  <w:r>
                    <w:rPr>
                      <w:color w:val="auto"/>
                      <w:highlight w:val="none"/>
                    </w:rPr>
                    <w:t>车间顶棚设置喷雾除尘设备</w:t>
                  </w:r>
                </w:p>
              </w:tc>
              <w:tc>
                <w:tcPr>
                  <w:tcW w:w="1710" w:type="dxa"/>
                  <w:tcBorders>
                    <w:tl2br w:val="nil"/>
                    <w:tr2bl w:val="nil"/>
                  </w:tcBorders>
                  <w:vAlign w:val="center"/>
                </w:tcPr>
                <w:p>
                  <w:pPr>
                    <w:jc w:val="center"/>
                    <w:rPr>
                      <w:color w:val="auto"/>
                      <w:highlight w:val="none"/>
                    </w:rPr>
                  </w:pPr>
                  <w:r>
                    <w:rPr>
                      <w:color w:val="auto"/>
                      <w:kern w:val="0"/>
                      <w:szCs w:val="21"/>
                      <w:highlight w:val="none"/>
                    </w:rPr>
                    <w:t>湿法作业</w:t>
                  </w:r>
                  <w:r>
                    <w:rPr>
                      <w:rFonts w:hint="eastAsia"/>
                      <w:color w:val="auto"/>
                      <w:kern w:val="0"/>
                      <w:szCs w:val="21"/>
                      <w:highlight w:val="none"/>
                    </w:rPr>
                    <w:t>除尘效率90%，</w:t>
                  </w:r>
                  <w:r>
                    <w:rPr>
                      <w:color w:val="auto"/>
                      <w:kern w:val="0"/>
                      <w:szCs w:val="21"/>
                      <w:highlight w:val="none"/>
                    </w:rPr>
                    <w:t>厂房</w:t>
                  </w:r>
                  <w:r>
                    <w:rPr>
                      <w:rFonts w:hint="eastAsia"/>
                      <w:color w:val="auto"/>
                      <w:kern w:val="0"/>
                      <w:szCs w:val="21"/>
                      <w:highlight w:val="none"/>
                    </w:rPr>
                    <w:t>阻隔60%，</w:t>
                  </w:r>
                  <w:r>
                    <w:rPr>
                      <w:color w:val="auto"/>
                      <w:highlight w:val="none"/>
                    </w:rPr>
                    <w:t>喷雾除尘</w:t>
                  </w:r>
                  <w:r>
                    <w:rPr>
                      <w:rFonts w:hint="eastAsia"/>
                      <w:color w:val="auto"/>
                      <w:kern w:val="0"/>
                      <w:szCs w:val="21"/>
                      <w:highlight w:val="none"/>
                    </w:rPr>
                    <w:t>效率90%</w:t>
                  </w:r>
                </w:p>
              </w:tc>
              <w:tc>
                <w:tcPr>
                  <w:tcW w:w="1306" w:type="dxa"/>
                  <w:tcBorders>
                    <w:tl2br w:val="nil"/>
                    <w:tr2bl w:val="nil"/>
                  </w:tcBorders>
                  <w:vAlign w:val="center"/>
                </w:tcPr>
                <w:p>
                  <w:pPr>
                    <w:jc w:val="center"/>
                    <w:rPr>
                      <w:color w:val="auto"/>
                      <w:highlight w:val="none"/>
                    </w:rPr>
                  </w:pPr>
                  <w:r>
                    <w:rPr>
                      <w:rFonts w:hint="eastAsia"/>
                      <w:color w:val="auto"/>
                      <w:highlight w:val="none"/>
                    </w:rPr>
                    <w:t>1.51</w:t>
                  </w:r>
                </w:p>
              </w:tc>
              <w:tc>
                <w:tcPr>
                  <w:tcW w:w="1256" w:type="dxa"/>
                  <w:tcBorders>
                    <w:tl2br w:val="nil"/>
                    <w:tr2bl w:val="nil"/>
                  </w:tcBorders>
                  <w:vAlign w:val="center"/>
                </w:tcPr>
                <w:p>
                  <w:pPr>
                    <w:jc w:val="center"/>
                    <w:rPr>
                      <w:color w:val="auto"/>
                      <w:highlight w:val="none"/>
                    </w:rPr>
                  </w:pPr>
                  <w:r>
                    <w:rPr>
                      <w:rFonts w:hint="eastAsia"/>
                      <w:color w:val="auto"/>
                      <w:highlight w:val="non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01" w:type="dxa"/>
                  <w:gridSpan w:val="6"/>
                  <w:tcBorders>
                    <w:tl2br w:val="nil"/>
                    <w:tr2bl w:val="nil"/>
                  </w:tcBorders>
                  <w:vAlign w:val="center"/>
                </w:tcPr>
                <w:p>
                  <w:pPr>
                    <w:jc w:val="both"/>
                    <w:rPr>
                      <w:rFonts w:hint="default" w:eastAsia="宋体"/>
                      <w:color w:val="auto"/>
                      <w:highlight w:val="none"/>
                      <w:lang w:val="en-US" w:eastAsia="zh-CN"/>
                    </w:rPr>
                  </w:pPr>
                  <w:r>
                    <w:rPr>
                      <w:rFonts w:hint="eastAsia"/>
                      <w:color w:val="auto"/>
                      <w:highlight w:val="none"/>
                      <w:lang w:eastAsia="zh-CN"/>
                    </w:rPr>
                    <w:t>注：进出口湿法作业和车间顶部喷雾除尘效率类比同类型项目，车间阻隔效率参照《固体物料堆存颗粒物产排污核算系数手册》附录</w:t>
                  </w:r>
                  <w:r>
                    <w:rPr>
                      <w:rFonts w:hint="eastAsia"/>
                      <w:color w:val="auto"/>
                      <w:highlight w:val="none"/>
                      <w:lang w:val="en-US" w:eastAsia="zh-CN"/>
                    </w:rPr>
                    <w:t>5中控制效率。</w:t>
                  </w:r>
                </w:p>
              </w:tc>
            </w:tr>
          </w:tbl>
          <w:p>
            <w:pPr>
              <w:adjustRightInd w:val="0"/>
              <w:snapToGrid w:val="0"/>
              <w:spacing w:line="360" w:lineRule="auto"/>
              <w:ind w:firstLine="482" w:firstLineChars="200"/>
              <w:rPr>
                <w:color w:val="auto"/>
                <w:sz w:val="24"/>
                <w:highlight w:val="none"/>
              </w:rPr>
            </w:pPr>
            <w:r>
              <w:rPr>
                <w:rFonts w:hint="eastAsia"/>
                <w:b/>
                <w:bCs/>
                <w:color w:val="auto"/>
                <w:sz w:val="24"/>
                <w:highlight w:val="none"/>
              </w:rPr>
              <w:t>可行性分析：</w:t>
            </w:r>
            <w:r>
              <w:rPr>
                <w:rFonts w:hint="eastAsia"/>
                <w:color w:val="auto"/>
                <w:sz w:val="24"/>
                <w:highlight w:val="none"/>
              </w:rPr>
              <w:t>由于无本行业《排污许可申请与核发技术规范》相关规定，参照《</w:t>
            </w:r>
            <w:r>
              <w:rPr>
                <w:rFonts w:ascii="宋体" w:hAnsi="宋体" w:cs="宋体"/>
                <w:color w:val="auto"/>
                <w:sz w:val="24"/>
                <w:highlight w:val="none"/>
              </w:rPr>
              <w:t>排放源统计调查产排污核算方法和系数手册</w:t>
            </w:r>
            <w:r>
              <w:rPr>
                <w:rFonts w:hint="eastAsia"/>
                <w:color w:val="auto"/>
                <w:sz w:val="24"/>
                <w:highlight w:val="none"/>
              </w:rPr>
              <w:t>》（生态环境部）中“3039 其他建筑材料制造行业”，砂石骨料</w:t>
            </w:r>
            <w:r>
              <w:rPr>
                <w:rFonts w:hint="eastAsia"/>
                <w:color w:val="auto"/>
                <w:kern w:val="0"/>
                <w:sz w:val="24"/>
                <w:highlight w:val="none"/>
              </w:rPr>
              <w:t>破碎、筛分工艺中采用湿式除尘技术治理效率可达90%。同时，</w:t>
            </w:r>
            <w:r>
              <w:rPr>
                <w:rFonts w:hint="eastAsia"/>
                <w:color w:val="auto"/>
                <w:sz w:val="24"/>
                <w:highlight w:val="none"/>
              </w:rPr>
              <w:t>通过采取设备密封、设置喷淋装置、车间半封闭等措施可有效降低车间生产粉尘产生量，该方法可行。</w:t>
            </w:r>
          </w:p>
          <w:p>
            <w:pPr>
              <w:adjustRightInd w:val="0"/>
              <w:snapToGrid w:val="0"/>
              <w:spacing w:line="360" w:lineRule="auto"/>
              <w:ind w:firstLine="482" w:firstLineChars="200"/>
              <w:rPr>
                <w:b/>
                <w:color w:val="auto"/>
                <w:szCs w:val="21"/>
                <w:highlight w:val="none"/>
              </w:rPr>
            </w:pPr>
            <w:r>
              <w:rPr>
                <w:rFonts w:hint="eastAsia"/>
                <w:b/>
                <w:bCs/>
                <w:color w:val="auto"/>
                <w:sz w:val="24"/>
                <w:highlight w:val="none"/>
              </w:rPr>
              <w:t>达标性分析：</w:t>
            </w:r>
            <w:r>
              <w:rPr>
                <w:color w:val="auto"/>
                <w:kern w:val="0"/>
                <w:sz w:val="24"/>
                <w:highlight w:val="none"/>
              </w:rPr>
              <w:t>按照《环境影响评价技术导则 大气环境》</w:t>
            </w:r>
            <w:r>
              <w:rPr>
                <w:rFonts w:hint="eastAsia"/>
                <w:color w:val="auto"/>
                <w:kern w:val="0"/>
                <w:sz w:val="24"/>
                <w:highlight w:val="none"/>
              </w:rPr>
              <w:t>（</w:t>
            </w:r>
            <w:r>
              <w:rPr>
                <w:color w:val="auto"/>
                <w:kern w:val="0"/>
                <w:sz w:val="24"/>
                <w:highlight w:val="none"/>
              </w:rPr>
              <w:t>HJ 2.2-2018</w:t>
            </w:r>
            <w:r>
              <w:rPr>
                <w:rFonts w:hint="eastAsia"/>
                <w:color w:val="auto"/>
                <w:kern w:val="0"/>
                <w:sz w:val="24"/>
                <w:highlight w:val="none"/>
              </w:rPr>
              <w:t>）</w:t>
            </w:r>
            <w:r>
              <w:rPr>
                <w:color w:val="auto"/>
                <w:kern w:val="0"/>
                <w:sz w:val="24"/>
                <w:highlight w:val="none"/>
              </w:rPr>
              <w:t>要求，评价采用推荐的AERSCREEN估算模式对项目废气无组织排放进行估算，估算结果如下：</w:t>
            </w:r>
          </w:p>
          <w:p>
            <w:pPr>
              <w:snapToGrid w:val="0"/>
              <w:jc w:val="center"/>
              <w:rPr>
                <w:b/>
                <w:color w:val="auto"/>
                <w:szCs w:val="21"/>
                <w:highlight w:val="none"/>
              </w:rPr>
            </w:pPr>
            <w:r>
              <w:rPr>
                <w:b/>
                <w:color w:val="auto"/>
                <w:szCs w:val="21"/>
                <w:highlight w:val="none"/>
              </w:rPr>
              <w:t>表4-</w:t>
            </w:r>
            <w:r>
              <w:rPr>
                <w:rFonts w:hint="eastAsia"/>
                <w:b/>
                <w:color w:val="auto"/>
                <w:szCs w:val="21"/>
                <w:highlight w:val="none"/>
              </w:rPr>
              <w:t>2</w:t>
            </w:r>
            <w:r>
              <w:rPr>
                <w:b/>
                <w:color w:val="auto"/>
                <w:szCs w:val="21"/>
                <w:highlight w:val="none"/>
              </w:rPr>
              <w:t xml:space="preserve">  </w:t>
            </w:r>
            <w:r>
              <w:rPr>
                <w:rFonts w:hint="eastAsia"/>
                <w:b/>
                <w:color w:val="auto"/>
                <w:szCs w:val="21"/>
                <w:highlight w:val="none"/>
              </w:rPr>
              <w:t>项目</w:t>
            </w:r>
            <w:r>
              <w:rPr>
                <w:rFonts w:hint="eastAsia"/>
                <w:b/>
                <w:color w:val="auto"/>
                <w:szCs w:val="21"/>
                <w:highlight w:val="none"/>
                <w:lang w:eastAsia="zh-CN"/>
              </w:rPr>
              <w:t>泥砂分离</w:t>
            </w:r>
            <w:r>
              <w:rPr>
                <w:rFonts w:hint="eastAsia"/>
                <w:b/>
                <w:color w:val="auto"/>
                <w:szCs w:val="21"/>
                <w:highlight w:val="none"/>
              </w:rPr>
              <w:t>车间</w:t>
            </w:r>
            <w:r>
              <w:rPr>
                <w:b/>
                <w:color w:val="auto"/>
                <w:szCs w:val="21"/>
                <w:highlight w:val="none"/>
              </w:rPr>
              <w:t>无组织废气污染物排放参数</w:t>
            </w:r>
          </w:p>
          <w:tbl>
            <w:tblPr>
              <w:tblStyle w:val="34"/>
              <w:tblW w:w="8495"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934"/>
              <w:gridCol w:w="760"/>
              <w:gridCol w:w="832"/>
              <w:gridCol w:w="830"/>
              <w:gridCol w:w="561"/>
              <w:gridCol w:w="561"/>
              <w:gridCol w:w="744"/>
              <w:gridCol w:w="752"/>
              <w:gridCol w:w="723"/>
              <w:gridCol w:w="618"/>
              <w:gridCol w:w="118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659" w:hRule="atLeast"/>
              </w:trPr>
              <w:tc>
                <w:tcPr>
                  <w:tcW w:w="934" w:type="dxa"/>
                  <w:vMerge w:val="restart"/>
                  <w:vAlign w:val="center"/>
                </w:tcPr>
                <w:p>
                  <w:pPr>
                    <w:widowControl/>
                    <w:adjustRightInd w:val="0"/>
                    <w:snapToGrid w:val="0"/>
                    <w:spacing w:beforeLines="20" w:afterLines="20"/>
                    <w:jc w:val="center"/>
                    <w:rPr>
                      <w:color w:val="auto"/>
                      <w:kern w:val="0"/>
                      <w:szCs w:val="21"/>
                      <w:highlight w:val="none"/>
                    </w:rPr>
                  </w:pPr>
                  <w:r>
                    <w:rPr>
                      <w:rFonts w:hint="eastAsia"/>
                      <w:color w:val="auto"/>
                      <w:kern w:val="0"/>
                      <w:szCs w:val="21"/>
                      <w:highlight w:val="none"/>
                    </w:rPr>
                    <w:t>面源</w:t>
                  </w:r>
                </w:p>
              </w:tc>
              <w:tc>
                <w:tcPr>
                  <w:tcW w:w="1592" w:type="dxa"/>
                  <w:gridSpan w:val="2"/>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面源起点坐标/m</w:t>
                  </w:r>
                </w:p>
              </w:tc>
              <w:tc>
                <w:tcPr>
                  <w:tcW w:w="830" w:type="dxa"/>
                  <w:vMerge w:val="restart"/>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面源</w:t>
                  </w:r>
                  <w:r>
                    <w:rPr>
                      <w:rFonts w:hint="eastAsia"/>
                      <w:color w:val="auto"/>
                      <w:kern w:val="0"/>
                      <w:szCs w:val="21"/>
                      <w:highlight w:val="none"/>
                    </w:rPr>
                    <w:t>海拔</w:t>
                  </w:r>
                  <w:r>
                    <w:rPr>
                      <w:color w:val="auto"/>
                      <w:kern w:val="0"/>
                      <w:szCs w:val="21"/>
                      <w:highlight w:val="none"/>
                    </w:rPr>
                    <w:t>/m</w:t>
                  </w:r>
                </w:p>
              </w:tc>
              <w:tc>
                <w:tcPr>
                  <w:tcW w:w="561" w:type="dxa"/>
                  <w:vMerge w:val="restart"/>
                  <w:vAlign w:val="center"/>
                </w:tcPr>
                <w:p>
                  <w:pPr>
                    <w:widowControl/>
                    <w:adjustRightInd w:val="0"/>
                    <w:snapToGrid w:val="0"/>
                    <w:spacing w:beforeLines="20" w:afterLines="20"/>
                    <w:jc w:val="center"/>
                    <w:rPr>
                      <w:rFonts w:hint="eastAsia" w:eastAsia="宋体"/>
                      <w:color w:val="auto"/>
                      <w:kern w:val="0"/>
                      <w:szCs w:val="21"/>
                      <w:highlight w:val="none"/>
                      <w:lang w:eastAsia="zh-CN"/>
                    </w:rPr>
                  </w:pPr>
                  <w:r>
                    <w:rPr>
                      <w:rFonts w:hint="eastAsia"/>
                      <w:color w:val="auto"/>
                      <w:kern w:val="0"/>
                      <w:szCs w:val="21"/>
                      <w:highlight w:val="none"/>
                      <w:lang w:eastAsia="zh-CN"/>
                    </w:rPr>
                    <w:t>与正北方向夹角</w:t>
                  </w:r>
                </w:p>
              </w:tc>
              <w:tc>
                <w:tcPr>
                  <w:tcW w:w="561" w:type="dxa"/>
                  <w:vMerge w:val="restart"/>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面源长度/m</w:t>
                  </w:r>
                </w:p>
              </w:tc>
              <w:tc>
                <w:tcPr>
                  <w:tcW w:w="744" w:type="dxa"/>
                  <w:vMerge w:val="restart"/>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面源宽度/m</w:t>
                  </w:r>
                </w:p>
              </w:tc>
              <w:tc>
                <w:tcPr>
                  <w:tcW w:w="752" w:type="dxa"/>
                  <w:vMerge w:val="restart"/>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面源有效排放高度/m</w:t>
                  </w:r>
                </w:p>
              </w:tc>
              <w:tc>
                <w:tcPr>
                  <w:tcW w:w="723" w:type="dxa"/>
                  <w:vMerge w:val="restart"/>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年排放小时数/h</w:t>
                  </w:r>
                </w:p>
              </w:tc>
              <w:tc>
                <w:tcPr>
                  <w:tcW w:w="618" w:type="dxa"/>
                  <w:vMerge w:val="restart"/>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排放</w:t>
                  </w:r>
                </w:p>
                <w:p>
                  <w:pPr>
                    <w:widowControl/>
                    <w:adjustRightInd w:val="0"/>
                    <w:snapToGrid w:val="0"/>
                    <w:spacing w:beforeLines="20" w:afterLines="20"/>
                    <w:jc w:val="center"/>
                    <w:rPr>
                      <w:color w:val="auto"/>
                      <w:kern w:val="0"/>
                      <w:szCs w:val="21"/>
                      <w:highlight w:val="none"/>
                    </w:rPr>
                  </w:pPr>
                  <w:r>
                    <w:rPr>
                      <w:color w:val="auto"/>
                      <w:kern w:val="0"/>
                      <w:szCs w:val="21"/>
                      <w:highlight w:val="none"/>
                    </w:rPr>
                    <w:t>工况</w:t>
                  </w:r>
                </w:p>
              </w:tc>
              <w:tc>
                <w:tcPr>
                  <w:tcW w:w="1180" w:type="dxa"/>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污染物排放速率/（kg/h)</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06" w:hRule="atLeast"/>
              </w:trPr>
              <w:tc>
                <w:tcPr>
                  <w:tcW w:w="934" w:type="dxa"/>
                  <w:vMerge w:val="continue"/>
                  <w:vAlign w:val="center"/>
                </w:tcPr>
                <w:p>
                  <w:pPr>
                    <w:widowControl/>
                    <w:adjustRightInd w:val="0"/>
                    <w:snapToGrid w:val="0"/>
                    <w:spacing w:beforeLines="20" w:afterLines="20"/>
                    <w:jc w:val="center"/>
                    <w:rPr>
                      <w:color w:val="auto"/>
                      <w:kern w:val="0"/>
                      <w:szCs w:val="21"/>
                      <w:highlight w:val="none"/>
                    </w:rPr>
                  </w:pPr>
                </w:p>
              </w:tc>
              <w:tc>
                <w:tcPr>
                  <w:tcW w:w="760" w:type="dxa"/>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X</w:t>
                  </w:r>
                </w:p>
              </w:tc>
              <w:tc>
                <w:tcPr>
                  <w:tcW w:w="832" w:type="dxa"/>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Y</w:t>
                  </w:r>
                </w:p>
              </w:tc>
              <w:tc>
                <w:tcPr>
                  <w:tcW w:w="830" w:type="dxa"/>
                  <w:vMerge w:val="continue"/>
                  <w:vAlign w:val="center"/>
                </w:tcPr>
                <w:p>
                  <w:pPr>
                    <w:widowControl/>
                    <w:adjustRightInd w:val="0"/>
                    <w:snapToGrid w:val="0"/>
                    <w:spacing w:beforeLines="20" w:afterLines="20"/>
                    <w:jc w:val="left"/>
                    <w:rPr>
                      <w:color w:val="auto"/>
                      <w:kern w:val="0"/>
                      <w:szCs w:val="21"/>
                      <w:highlight w:val="none"/>
                    </w:rPr>
                  </w:pPr>
                </w:p>
              </w:tc>
              <w:tc>
                <w:tcPr>
                  <w:tcW w:w="561" w:type="dxa"/>
                  <w:vMerge w:val="continue"/>
                  <w:vAlign w:val="center"/>
                </w:tcPr>
                <w:p>
                  <w:pPr>
                    <w:widowControl/>
                    <w:adjustRightInd w:val="0"/>
                    <w:snapToGrid w:val="0"/>
                    <w:spacing w:beforeLines="20" w:afterLines="20"/>
                    <w:jc w:val="left"/>
                    <w:rPr>
                      <w:color w:val="auto"/>
                      <w:kern w:val="0"/>
                      <w:szCs w:val="21"/>
                      <w:highlight w:val="none"/>
                    </w:rPr>
                  </w:pPr>
                </w:p>
              </w:tc>
              <w:tc>
                <w:tcPr>
                  <w:tcW w:w="561" w:type="dxa"/>
                  <w:vMerge w:val="continue"/>
                  <w:vAlign w:val="center"/>
                </w:tcPr>
                <w:p>
                  <w:pPr>
                    <w:widowControl/>
                    <w:adjustRightInd w:val="0"/>
                    <w:snapToGrid w:val="0"/>
                    <w:spacing w:beforeLines="20" w:afterLines="20"/>
                    <w:jc w:val="left"/>
                    <w:rPr>
                      <w:color w:val="auto"/>
                      <w:kern w:val="0"/>
                      <w:szCs w:val="21"/>
                      <w:highlight w:val="none"/>
                    </w:rPr>
                  </w:pPr>
                </w:p>
              </w:tc>
              <w:tc>
                <w:tcPr>
                  <w:tcW w:w="744" w:type="dxa"/>
                  <w:vMerge w:val="continue"/>
                  <w:vAlign w:val="center"/>
                </w:tcPr>
                <w:p>
                  <w:pPr>
                    <w:widowControl/>
                    <w:adjustRightInd w:val="0"/>
                    <w:snapToGrid w:val="0"/>
                    <w:spacing w:beforeLines="20" w:afterLines="20"/>
                    <w:jc w:val="left"/>
                    <w:rPr>
                      <w:color w:val="auto"/>
                      <w:kern w:val="0"/>
                      <w:szCs w:val="21"/>
                      <w:highlight w:val="none"/>
                    </w:rPr>
                  </w:pPr>
                </w:p>
              </w:tc>
              <w:tc>
                <w:tcPr>
                  <w:tcW w:w="752" w:type="dxa"/>
                  <w:vMerge w:val="continue"/>
                  <w:vAlign w:val="center"/>
                </w:tcPr>
                <w:p>
                  <w:pPr>
                    <w:widowControl/>
                    <w:adjustRightInd w:val="0"/>
                    <w:snapToGrid w:val="0"/>
                    <w:spacing w:beforeLines="20" w:afterLines="20"/>
                    <w:jc w:val="left"/>
                    <w:rPr>
                      <w:color w:val="auto"/>
                      <w:kern w:val="0"/>
                      <w:szCs w:val="21"/>
                      <w:highlight w:val="none"/>
                    </w:rPr>
                  </w:pPr>
                </w:p>
              </w:tc>
              <w:tc>
                <w:tcPr>
                  <w:tcW w:w="723" w:type="dxa"/>
                  <w:vMerge w:val="continue"/>
                  <w:vAlign w:val="center"/>
                </w:tcPr>
                <w:p>
                  <w:pPr>
                    <w:widowControl/>
                    <w:adjustRightInd w:val="0"/>
                    <w:snapToGrid w:val="0"/>
                    <w:spacing w:beforeLines="20" w:afterLines="20"/>
                    <w:jc w:val="left"/>
                    <w:rPr>
                      <w:color w:val="auto"/>
                      <w:kern w:val="0"/>
                      <w:szCs w:val="21"/>
                      <w:highlight w:val="none"/>
                    </w:rPr>
                  </w:pPr>
                </w:p>
              </w:tc>
              <w:tc>
                <w:tcPr>
                  <w:tcW w:w="618" w:type="dxa"/>
                  <w:vMerge w:val="continue"/>
                  <w:vAlign w:val="center"/>
                </w:tcPr>
                <w:p>
                  <w:pPr>
                    <w:widowControl/>
                    <w:adjustRightInd w:val="0"/>
                    <w:snapToGrid w:val="0"/>
                    <w:spacing w:beforeLines="20" w:afterLines="20"/>
                    <w:jc w:val="left"/>
                    <w:rPr>
                      <w:color w:val="auto"/>
                      <w:kern w:val="0"/>
                      <w:szCs w:val="21"/>
                      <w:highlight w:val="none"/>
                    </w:rPr>
                  </w:pPr>
                </w:p>
              </w:tc>
              <w:tc>
                <w:tcPr>
                  <w:tcW w:w="1180" w:type="dxa"/>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TSP</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674" w:hRule="atLeast"/>
              </w:trPr>
              <w:tc>
                <w:tcPr>
                  <w:tcW w:w="934" w:type="dxa"/>
                  <w:vAlign w:val="center"/>
                </w:tcPr>
                <w:p>
                  <w:pPr>
                    <w:pStyle w:val="42"/>
                    <w:snapToGrid w:val="0"/>
                    <w:spacing w:beforeLines="20" w:afterLines="20"/>
                    <w:jc w:val="center"/>
                    <w:rPr>
                      <w:rFonts w:ascii="Times New Roman" w:cs="Times New Roman"/>
                      <w:color w:val="auto"/>
                      <w:sz w:val="21"/>
                      <w:szCs w:val="21"/>
                      <w:highlight w:val="none"/>
                    </w:rPr>
                  </w:pPr>
                  <w:r>
                    <w:rPr>
                      <w:rFonts w:hint="eastAsia" w:ascii="Times New Roman" w:cs="Times New Roman"/>
                      <w:color w:val="auto"/>
                      <w:sz w:val="21"/>
                      <w:szCs w:val="21"/>
                      <w:highlight w:val="none"/>
                      <w:lang w:eastAsia="zh-CN"/>
                    </w:rPr>
                    <w:t>泥砂分离</w:t>
                  </w:r>
                  <w:r>
                    <w:rPr>
                      <w:rFonts w:hint="eastAsia" w:ascii="Times New Roman" w:cs="Times New Roman"/>
                      <w:color w:val="auto"/>
                      <w:sz w:val="21"/>
                      <w:szCs w:val="21"/>
                      <w:highlight w:val="none"/>
                    </w:rPr>
                    <w:t>车间</w:t>
                  </w:r>
                </w:p>
              </w:tc>
              <w:tc>
                <w:tcPr>
                  <w:tcW w:w="760" w:type="dxa"/>
                  <w:vAlign w:val="center"/>
                </w:tcPr>
                <w:p>
                  <w:pPr>
                    <w:pStyle w:val="42"/>
                    <w:snapToGrid w:val="0"/>
                    <w:spacing w:beforeLines="20" w:afterLines="20"/>
                    <w:jc w:val="center"/>
                    <w:rPr>
                      <w:rFonts w:ascii="Times New Roman" w:cs="Times New Roman"/>
                      <w:color w:val="auto"/>
                      <w:sz w:val="21"/>
                      <w:szCs w:val="21"/>
                      <w:highlight w:val="none"/>
                    </w:rPr>
                  </w:pPr>
                  <w:r>
                    <w:rPr>
                      <w:rFonts w:hint="eastAsia" w:ascii="Times New Roman" w:cs="Times New Roman"/>
                      <w:color w:val="auto"/>
                      <w:sz w:val="21"/>
                      <w:szCs w:val="21"/>
                      <w:highlight w:val="none"/>
                    </w:rPr>
                    <w:t>735341</w:t>
                  </w:r>
                </w:p>
              </w:tc>
              <w:tc>
                <w:tcPr>
                  <w:tcW w:w="832" w:type="dxa"/>
                  <w:vAlign w:val="center"/>
                </w:tcPr>
                <w:p>
                  <w:pPr>
                    <w:pStyle w:val="42"/>
                    <w:snapToGrid w:val="0"/>
                    <w:spacing w:beforeLines="20" w:afterLines="20"/>
                    <w:jc w:val="center"/>
                    <w:rPr>
                      <w:rFonts w:ascii="Times New Roman" w:cs="Times New Roman"/>
                      <w:color w:val="auto"/>
                      <w:sz w:val="21"/>
                      <w:szCs w:val="21"/>
                      <w:highlight w:val="none"/>
                    </w:rPr>
                  </w:pPr>
                  <w:r>
                    <w:rPr>
                      <w:rFonts w:hint="eastAsia" w:ascii="Times New Roman" w:cs="Times New Roman"/>
                      <w:color w:val="auto"/>
                      <w:sz w:val="21"/>
                      <w:szCs w:val="21"/>
                      <w:highlight w:val="none"/>
                    </w:rPr>
                    <w:t>3674136</w:t>
                  </w:r>
                </w:p>
              </w:tc>
              <w:tc>
                <w:tcPr>
                  <w:tcW w:w="830" w:type="dxa"/>
                  <w:vAlign w:val="center"/>
                </w:tcPr>
                <w:p>
                  <w:pPr>
                    <w:widowControl/>
                    <w:adjustRightInd w:val="0"/>
                    <w:snapToGrid w:val="0"/>
                    <w:spacing w:beforeLines="20" w:afterLines="20"/>
                    <w:jc w:val="center"/>
                    <w:rPr>
                      <w:color w:val="auto"/>
                      <w:kern w:val="0"/>
                      <w:szCs w:val="21"/>
                      <w:highlight w:val="none"/>
                    </w:rPr>
                  </w:pPr>
                  <w:r>
                    <w:rPr>
                      <w:rFonts w:hint="eastAsia"/>
                      <w:color w:val="auto"/>
                      <w:kern w:val="0"/>
                      <w:szCs w:val="21"/>
                      <w:highlight w:val="none"/>
                    </w:rPr>
                    <w:t>487</w:t>
                  </w:r>
                </w:p>
              </w:tc>
              <w:tc>
                <w:tcPr>
                  <w:tcW w:w="561" w:type="dxa"/>
                  <w:vAlign w:val="center"/>
                </w:tcPr>
                <w:p>
                  <w:pPr>
                    <w:widowControl/>
                    <w:adjustRightInd w:val="0"/>
                    <w:snapToGrid w:val="0"/>
                    <w:spacing w:beforeLines="20" w:after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30</w:t>
                  </w:r>
                </w:p>
              </w:tc>
              <w:tc>
                <w:tcPr>
                  <w:tcW w:w="561" w:type="dxa"/>
                  <w:vAlign w:val="center"/>
                </w:tcPr>
                <w:p>
                  <w:pPr>
                    <w:widowControl/>
                    <w:adjustRightInd w:val="0"/>
                    <w:snapToGrid w:val="0"/>
                    <w:spacing w:beforeLines="20" w:afterLines="20"/>
                    <w:jc w:val="center"/>
                    <w:rPr>
                      <w:color w:val="auto"/>
                      <w:kern w:val="0"/>
                      <w:szCs w:val="21"/>
                      <w:highlight w:val="none"/>
                    </w:rPr>
                  </w:pPr>
                  <w:r>
                    <w:rPr>
                      <w:rFonts w:hint="eastAsia"/>
                      <w:color w:val="auto"/>
                      <w:kern w:val="0"/>
                      <w:szCs w:val="21"/>
                      <w:highlight w:val="none"/>
                    </w:rPr>
                    <w:t>40</w:t>
                  </w:r>
                </w:p>
              </w:tc>
              <w:tc>
                <w:tcPr>
                  <w:tcW w:w="744" w:type="dxa"/>
                  <w:vAlign w:val="center"/>
                </w:tcPr>
                <w:p>
                  <w:pPr>
                    <w:widowControl/>
                    <w:adjustRightInd w:val="0"/>
                    <w:snapToGrid w:val="0"/>
                    <w:spacing w:beforeLines="20" w:afterLines="20"/>
                    <w:jc w:val="center"/>
                    <w:rPr>
                      <w:color w:val="auto"/>
                      <w:kern w:val="0"/>
                      <w:szCs w:val="21"/>
                      <w:highlight w:val="none"/>
                    </w:rPr>
                  </w:pPr>
                  <w:r>
                    <w:rPr>
                      <w:rFonts w:hint="eastAsia"/>
                      <w:color w:val="auto"/>
                      <w:kern w:val="0"/>
                      <w:szCs w:val="21"/>
                      <w:highlight w:val="none"/>
                    </w:rPr>
                    <w:t>20</w:t>
                  </w:r>
                </w:p>
              </w:tc>
              <w:tc>
                <w:tcPr>
                  <w:tcW w:w="752" w:type="dxa"/>
                  <w:vAlign w:val="center"/>
                </w:tcPr>
                <w:p>
                  <w:pPr>
                    <w:widowControl/>
                    <w:adjustRightInd w:val="0"/>
                    <w:snapToGrid w:val="0"/>
                    <w:spacing w:beforeLines="20" w:afterLines="20"/>
                    <w:jc w:val="center"/>
                    <w:rPr>
                      <w:color w:val="auto"/>
                      <w:kern w:val="0"/>
                      <w:szCs w:val="21"/>
                      <w:highlight w:val="none"/>
                    </w:rPr>
                  </w:pPr>
                  <w:r>
                    <w:rPr>
                      <w:rFonts w:hint="eastAsia"/>
                      <w:color w:val="auto"/>
                      <w:kern w:val="0"/>
                      <w:szCs w:val="21"/>
                      <w:highlight w:val="none"/>
                    </w:rPr>
                    <w:t>8</w:t>
                  </w:r>
                </w:p>
              </w:tc>
              <w:tc>
                <w:tcPr>
                  <w:tcW w:w="723" w:type="dxa"/>
                  <w:vAlign w:val="center"/>
                </w:tcPr>
                <w:p>
                  <w:pPr>
                    <w:widowControl/>
                    <w:adjustRightInd w:val="0"/>
                    <w:snapToGrid w:val="0"/>
                    <w:spacing w:beforeLines="20" w:afterLines="20"/>
                    <w:jc w:val="center"/>
                    <w:rPr>
                      <w:color w:val="auto"/>
                      <w:kern w:val="0"/>
                      <w:szCs w:val="21"/>
                      <w:highlight w:val="none"/>
                    </w:rPr>
                  </w:pPr>
                  <w:r>
                    <w:rPr>
                      <w:rFonts w:hint="eastAsia"/>
                      <w:color w:val="auto"/>
                      <w:kern w:val="0"/>
                      <w:szCs w:val="21"/>
                      <w:highlight w:val="none"/>
                    </w:rPr>
                    <w:t>2400</w:t>
                  </w:r>
                </w:p>
              </w:tc>
              <w:tc>
                <w:tcPr>
                  <w:tcW w:w="618" w:type="dxa"/>
                  <w:vAlign w:val="center"/>
                </w:tcPr>
                <w:p>
                  <w:pPr>
                    <w:widowControl/>
                    <w:adjustRightInd w:val="0"/>
                    <w:snapToGrid w:val="0"/>
                    <w:spacing w:beforeLines="20" w:afterLines="20"/>
                    <w:jc w:val="center"/>
                    <w:rPr>
                      <w:color w:val="auto"/>
                      <w:kern w:val="0"/>
                      <w:szCs w:val="21"/>
                      <w:highlight w:val="none"/>
                    </w:rPr>
                  </w:pPr>
                  <w:r>
                    <w:rPr>
                      <w:color w:val="auto"/>
                      <w:kern w:val="0"/>
                      <w:szCs w:val="21"/>
                      <w:highlight w:val="none"/>
                    </w:rPr>
                    <w:t>正常</w:t>
                  </w:r>
                </w:p>
              </w:tc>
              <w:tc>
                <w:tcPr>
                  <w:tcW w:w="1180" w:type="dxa"/>
                  <w:vAlign w:val="center"/>
                </w:tcPr>
                <w:p>
                  <w:pPr>
                    <w:widowControl/>
                    <w:adjustRightInd w:val="0"/>
                    <w:snapToGrid w:val="0"/>
                    <w:spacing w:beforeLines="20" w:afterLines="20"/>
                    <w:jc w:val="center"/>
                    <w:rPr>
                      <w:color w:val="auto"/>
                      <w:kern w:val="0"/>
                      <w:szCs w:val="21"/>
                      <w:highlight w:val="none"/>
                    </w:rPr>
                  </w:pPr>
                  <w:r>
                    <w:rPr>
                      <w:rFonts w:hint="eastAsia"/>
                      <w:color w:val="auto"/>
                      <w:kern w:val="0"/>
                      <w:szCs w:val="21"/>
                      <w:highlight w:val="none"/>
                    </w:rPr>
                    <w:t>0.63</w:t>
                  </w:r>
                </w:p>
              </w:tc>
            </w:tr>
          </w:tbl>
          <w:p>
            <w:pPr>
              <w:snapToGrid w:val="0"/>
              <w:spacing w:line="360" w:lineRule="auto"/>
              <w:ind w:firstLine="480" w:firstLineChars="200"/>
              <w:rPr>
                <w:b/>
                <w:color w:val="auto"/>
                <w:szCs w:val="21"/>
                <w:highlight w:val="none"/>
              </w:rPr>
            </w:pPr>
            <w:r>
              <w:rPr>
                <w:bCs/>
                <w:color w:val="auto"/>
                <w:sz w:val="24"/>
                <w:highlight w:val="none"/>
              </w:rPr>
              <w:t>估算结果如下表所示：</w:t>
            </w:r>
          </w:p>
          <w:p>
            <w:pPr>
              <w:snapToGrid w:val="0"/>
              <w:jc w:val="center"/>
              <w:rPr>
                <w:b/>
                <w:color w:val="auto"/>
                <w:szCs w:val="21"/>
                <w:highlight w:val="none"/>
              </w:rPr>
            </w:pPr>
            <w:r>
              <w:rPr>
                <w:b/>
                <w:color w:val="auto"/>
                <w:szCs w:val="21"/>
                <w:highlight w:val="none"/>
              </w:rPr>
              <w:t>表4-</w:t>
            </w:r>
            <w:r>
              <w:rPr>
                <w:rFonts w:hint="eastAsia"/>
                <w:b/>
                <w:color w:val="auto"/>
                <w:szCs w:val="21"/>
                <w:highlight w:val="none"/>
              </w:rPr>
              <w:t>3</w:t>
            </w:r>
            <w:r>
              <w:rPr>
                <w:b/>
                <w:color w:val="auto"/>
                <w:szCs w:val="21"/>
                <w:highlight w:val="none"/>
              </w:rPr>
              <w:t xml:space="preserve">  项目</w:t>
            </w:r>
            <w:r>
              <w:rPr>
                <w:rFonts w:hint="eastAsia"/>
                <w:b/>
                <w:color w:val="auto"/>
                <w:szCs w:val="21"/>
                <w:highlight w:val="none"/>
                <w:lang w:eastAsia="zh-CN"/>
              </w:rPr>
              <w:t>泥砂分离</w:t>
            </w:r>
            <w:r>
              <w:rPr>
                <w:rFonts w:hint="eastAsia"/>
                <w:b/>
                <w:color w:val="auto"/>
                <w:szCs w:val="21"/>
                <w:highlight w:val="none"/>
              </w:rPr>
              <w:t>车间</w:t>
            </w:r>
            <w:r>
              <w:rPr>
                <w:b/>
                <w:color w:val="auto"/>
                <w:szCs w:val="21"/>
                <w:highlight w:val="none"/>
              </w:rPr>
              <w:t>废气排放源估算模型计算结果表</w:t>
            </w:r>
          </w:p>
          <w:tbl>
            <w:tblPr>
              <w:tblStyle w:val="34"/>
              <w:tblW w:w="849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
            <w:tblGrid>
              <w:gridCol w:w="2416"/>
              <w:gridCol w:w="1129"/>
              <w:gridCol w:w="2490"/>
              <w:gridCol w:w="24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436" w:hRule="exact"/>
                <w:jc w:val="center"/>
              </w:trPr>
              <w:tc>
                <w:tcPr>
                  <w:tcW w:w="2416" w:type="dxa"/>
                  <w:vAlign w:val="center"/>
                </w:tcPr>
                <w:p>
                  <w:pPr>
                    <w:snapToGrid w:val="0"/>
                    <w:spacing w:beforeLines="20" w:afterLines="20"/>
                    <w:jc w:val="center"/>
                    <w:rPr>
                      <w:color w:val="auto"/>
                      <w:szCs w:val="21"/>
                      <w:highlight w:val="none"/>
                    </w:rPr>
                  </w:pPr>
                  <w:r>
                    <w:rPr>
                      <w:color w:val="auto"/>
                      <w:szCs w:val="21"/>
                      <w:highlight w:val="none"/>
                    </w:rPr>
                    <w:t>污染源</w:t>
                  </w:r>
                </w:p>
              </w:tc>
              <w:tc>
                <w:tcPr>
                  <w:tcW w:w="1129" w:type="dxa"/>
                  <w:vAlign w:val="center"/>
                </w:tcPr>
                <w:p>
                  <w:pPr>
                    <w:snapToGrid w:val="0"/>
                    <w:spacing w:beforeLines="20" w:afterLines="20"/>
                    <w:jc w:val="center"/>
                    <w:rPr>
                      <w:color w:val="auto"/>
                      <w:szCs w:val="21"/>
                      <w:highlight w:val="none"/>
                    </w:rPr>
                  </w:pPr>
                  <w:r>
                    <w:rPr>
                      <w:color w:val="auto"/>
                      <w:szCs w:val="21"/>
                      <w:highlight w:val="none"/>
                    </w:rPr>
                    <w:t>污染物</w:t>
                  </w:r>
                </w:p>
              </w:tc>
              <w:tc>
                <w:tcPr>
                  <w:tcW w:w="2490" w:type="dxa"/>
                  <w:vAlign w:val="center"/>
                </w:tcPr>
                <w:p>
                  <w:pPr>
                    <w:snapToGrid w:val="0"/>
                    <w:spacing w:beforeLines="20" w:afterLines="20"/>
                    <w:jc w:val="center"/>
                    <w:rPr>
                      <w:color w:val="auto"/>
                      <w:szCs w:val="21"/>
                      <w:highlight w:val="none"/>
                    </w:rPr>
                  </w:pPr>
                  <w:r>
                    <w:rPr>
                      <w:color w:val="auto"/>
                      <w:szCs w:val="21"/>
                      <w:highlight w:val="none"/>
                    </w:rPr>
                    <w:t>最大落地浓度距离（m）</w:t>
                  </w:r>
                </w:p>
              </w:tc>
              <w:tc>
                <w:tcPr>
                  <w:tcW w:w="2456" w:type="dxa"/>
                  <w:vAlign w:val="center"/>
                </w:tcPr>
                <w:p>
                  <w:pPr>
                    <w:snapToGrid w:val="0"/>
                    <w:spacing w:beforeLines="20" w:afterLines="20"/>
                    <w:jc w:val="center"/>
                    <w:rPr>
                      <w:color w:val="auto"/>
                      <w:szCs w:val="21"/>
                      <w:highlight w:val="none"/>
                    </w:rPr>
                  </w:pPr>
                  <w:r>
                    <w:rPr>
                      <w:color w:val="auto"/>
                      <w:szCs w:val="21"/>
                      <w:highlight w:val="none"/>
                    </w:rPr>
                    <w:t>最大落地浓度（μ</w:t>
                  </w:r>
                  <w:r>
                    <w:rPr>
                      <w:rFonts w:hint="eastAsia"/>
                      <w:color w:val="auto"/>
                      <w:szCs w:val="21"/>
                      <w:highlight w:val="none"/>
                    </w:rPr>
                    <w:t>g/m</w:t>
                  </w:r>
                  <w:r>
                    <w:rPr>
                      <w:rFonts w:hint="eastAsia"/>
                      <w:color w:val="auto"/>
                      <w:szCs w:val="21"/>
                      <w:highlight w:val="none"/>
                      <w:vertAlign w:val="superscript"/>
                    </w:rPr>
                    <w:t>3</w:t>
                  </w:r>
                  <w:r>
                    <w:rPr>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403" w:hRule="exact"/>
                <w:jc w:val="center"/>
              </w:trPr>
              <w:tc>
                <w:tcPr>
                  <w:tcW w:w="2416" w:type="dxa"/>
                  <w:vAlign w:val="center"/>
                </w:tcPr>
                <w:p>
                  <w:pPr>
                    <w:pStyle w:val="42"/>
                    <w:snapToGrid w:val="0"/>
                    <w:spacing w:beforeLines="20" w:afterLines="20"/>
                    <w:jc w:val="center"/>
                    <w:rPr>
                      <w:rFonts w:ascii="Times New Roman" w:cs="Times New Roman"/>
                      <w:color w:val="auto"/>
                      <w:szCs w:val="21"/>
                      <w:highlight w:val="none"/>
                    </w:rPr>
                  </w:pPr>
                  <w:r>
                    <w:rPr>
                      <w:rFonts w:hint="eastAsia" w:ascii="Times New Roman" w:cs="Times New Roman"/>
                      <w:color w:val="auto"/>
                      <w:sz w:val="21"/>
                      <w:szCs w:val="21"/>
                      <w:highlight w:val="none"/>
                      <w:lang w:eastAsia="zh-CN"/>
                    </w:rPr>
                    <w:t>泥砂分离</w:t>
                  </w:r>
                  <w:r>
                    <w:rPr>
                      <w:rFonts w:hint="eastAsia" w:ascii="Times New Roman" w:cs="Times New Roman"/>
                      <w:color w:val="auto"/>
                      <w:sz w:val="21"/>
                      <w:szCs w:val="21"/>
                      <w:highlight w:val="none"/>
                    </w:rPr>
                    <w:t>车间</w:t>
                  </w:r>
                </w:p>
              </w:tc>
              <w:tc>
                <w:tcPr>
                  <w:tcW w:w="1129" w:type="dxa"/>
                  <w:vAlign w:val="center"/>
                </w:tcPr>
                <w:p>
                  <w:pPr>
                    <w:snapToGrid w:val="0"/>
                    <w:spacing w:beforeLines="20" w:afterLines="20"/>
                    <w:jc w:val="center"/>
                    <w:rPr>
                      <w:color w:val="auto"/>
                      <w:szCs w:val="21"/>
                      <w:highlight w:val="none"/>
                    </w:rPr>
                  </w:pPr>
                  <w:r>
                    <w:rPr>
                      <w:color w:val="auto"/>
                      <w:szCs w:val="21"/>
                      <w:highlight w:val="none"/>
                    </w:rPr>
                    <w:t>TSP</w:t>
                  </w:r>
                </w:p>
              </w:tc>
              <w:tc>
                <w:tcPr>
                  <w:tcW w:w="2490" w:type="dxa"/>
                  <w:vAlign w:val="center"/>
                </w:tcPr>
                <w:p>
                  <w:pPr>
                    <w:widowControl/>
                    <w:spacing w:beforeLines="20" w:afterLines="20"/>
                    <w:jc w:val="center"/>
                    <w:textAlignment w:val="center"/>
                    <w:rPr>
                      <w:rFonts w:hint="eastAsia" w:eastAsia="宋体"/>
                      <w:color w:val="auto"/>
                      <w:szCs w:val="21"/>
                      <w:highlight w:val="none"/>
                      <w:lang w:eastAsia="zh-CN"/>
                    </w:rPr>
                  </w:pPr>
                  <w:r>
                    <w:rPr>
                      <w:rFonts w:hint="eastAsia"/>
                      <w:color w:val="auto"/>
                      <w:szCs w:val="21"/>
                      <w:highlight w:val="none"/>
                    </w:rPr>
                    <w:t>4</w:t>
                  </w:r>
                  <w:r>
                    <w:rPr>
                      <w:rFonts w:hint="eastAsia"/>
                      <w:color w:val="auto"/>
                      <w:szCs w:val="21"/>
                      <w:highlight w:val="none"/>
                      <w:lang w:val="en-US" w:eastAsia="zh-CN"/>
                    </w:rPr>
                    <w:t>5</w:t>
                  </w:r>
                </w:p>
              </w:tc>
              <w:tc>
                <w:tcPr>
                  <w:tcW w:w="2456" w:type="dxa"/>
                  <w:vAlign w:val="center"/>
                </w:tcPr>
                <w:p>
                  <w:pPr>
                    <w:adjustRightInd w:val="0"/>
                    <w:snapToGrid w:val="0"/>
                    <w:spacing w:beforeLines="20" w:afterLines="20"/>
                    <w:jc w:val="center"/>
                    <w:rPr>
                      <w:rFonts w:hint="default" w:eastAsia="宋体"/>
                      <w:color w:val="auto"/>
                      <w:szCs w:val="21"/>
                      <w:highlight w:val="none"/>
                      <w:lang w:val="en-US" w:eastAsia="zh-CN"/>
                    </w:rPr>
                  </w:pPr>
                  <w:r>
                    <w:rPr>
                      <w:rFonts w:hint="eastAsia"/>
                      <w:color w:val="auto"/>
                      <w:szCs w:val="21"/>
                      <w:highlight w:val="none"/>
                    </w:rPr>
                    <w:t>3</w:t>
                  </w:r>
                  <w:r>
                    <w:rPr>
                      <w:rFonts w:hint="eastAsia"/>
                      <w:color w:val="auto"/>
                      <w:szCs w:val="21"/>
                      <w:highlight w:val="none"/>
                      <w:lang w:val="en-US" w:eastAsia="zh-CN"/>
                    </w:rPr>
                    <w:t>5</w:t>
                  </w:r>
                  <w:r>
                    <w:rPr>
                      <w:rFonts w:hint="eastAsia"/>
                      <w:color w:val="auto"/>
                      <w:szCs w:val="21"/>
                      <w:highlight w:val="none"/>
                    </w:rPr>
                    <w:t>.</w:t>
                  </w:r>
                  <w:r>
                    <w:rPr>
                      <w:rFonts w:hint="eastAsia"/>
                      <w:color w:val="auto"/>
                      <w:szCs w:val="21"/>
                      <w:highlight w:val="none"/>
                      <w:lang w:val="en-US" w:eastAsia="zh-CN"/>
                    </w:rPr>
                    <w:t>236</w:t>
                  </w:r>
                </w:p>
              </w:tc>
            </w:tr>
          </w:tbl>
          <w:p>
            <w:pPr>
              <w:pStyle w:val="43"/>
              <w:rPr>
                <w:rFonts w:hint="eastAsia" w:eastAsia="宋体"/>
                <w:color w:val="auto"/>
                <w:sz w:val="24"/>
                <w:highlight w:val="none"/>
                <w:lang w:eastAsia="zh-CN"/>
              </w:rPr>
            </w:pPr>
            <w:r>
              <w:rPr>
                <w:rFonts w:hint="eastAsia" w:ascii="Times New Roman" w:hAnsi="Times New Roman"/>
                <w:color w:val="auto"/>
                <w:kern w:val="0"/>
                <w:szCs w:val="24"/>
                <w:highlight w:val="none"/>
              </w:rPr>
              <w:t>由上表可知</w:t>
            </w:r>
            <w:r>
              <w:rPr>
                <w:rFonts w:ascii="Times New Roman" w:hAnsi="Times New Roman"/>
                <w:color w:val="auto"/>
                <w:kern w:val="0"/>
                <w:szCs w:val="24"/>
                <w:highlight w:val="none"/>
              </w:rPr>
              <w:t>，项目</w:t>
            </w:r>
            <w:r>
              <w:rPr>
                <w:rFonts w:hint="eastAsia" w:ascii="Times New Roman" w:hAnsi="Times New Roman"/>
                <w:color w:val="auto"/>
                <w:kern w:val="0"/>
                <w:szCs w:val="24"/>
                <w:highlight w:val="none"/>
                <w:lang w:eastAsia="zh-CN"/>
              </w:rPr>
              <w:t>泥砂分离</w:t>
            </w:r>
            <w:r>
              <w:rPr>
                <w:rFonts w:hint="eastAsia" w:ascii="Times New Roman" w:hAnsi="Times New Roman"/>
                <w:color w:val="auto"/>
                <w:kern w:val="0"/>
                <w:szCs w:val="24"/>
                <w:highlight w:val="none"/>
              </w:rPr>
              <w:t>车间</w:t>
            </w:r>
            <w:r>
              <w:rPr>
                <w:rFonts w:ascii="Times New Roman" w:hAnsi="Times New Roman"/>
                <w:color w:val="auto"/>
                <w:kern w:val="0"/>
                <w:szCs w:val="24"/>
                <w:highlight w:val="none"/>
              </w:rPr>
              <w:t>无组织粉尘最大落地浓度</w:t>
            </w:r>
            <w:r>
              <w:rPr>
                <w:rFonts w:hint="eastAsia" w:ascii="Times New Roman" w:hAnsi="Times New Roman"/>
                <w:color w:val="auto"/>
                <w:kern w:val="0"/>
                <w:szCs w:val="24"/>
                <w:highlight w:val="none"/>
              </w:rPr>
              <w:t>均</w:t>
            </w:r>
            <w:r>
              <w:rPr>
                <w:rFonts w:ascii="Times New Roman" w:hAnsi="Times New Roman"/>
                <w:color w:val="auto"/>
                <w:kern w:val="0"/>
                <w:szCs w:val="24"/>
                <w:highlight w:val="none"/>
              </w:rPr>
              <w:t>出现在下风向</w:t>
            </w:r>
            <w:r>
              <w:rPr>
                <w:rFonts w:hint="eastAsia" w:ascii="Times New Roman" w:hAnsi="Times New Roman"/>
                <w:color w:val="auto"/>
                <w:kern w:val="0"/>
                <w:szCs w:val="24"/>
                <w:highlight w:val="none"/>
              </w:rPr>
              <w:t>4</w:t>
            </w:r>
            <w:r>
              <w:rPr>
                <w:rFonts w:hint="eastAsia" w:ascii="Times New Roman" w:hAnsi="Times New Roman"/>
                <w:color w:val="auto"/>
                <w:kern w:val="0"/>
                <w:szCs w:val="24"/>
                <w:highlight w:val="none"/>
                <w:lang w:val="en-US" w:eastAsia="zh-CN"/>
              </w:rPr>
              <w:t>5</w:t>
            </w:r>
            <w:r>
              <w:rPr>
                <w:rFonts w:ascii="Times New Roman" w:hAnsi="Times New Roman"/>
                <w:color w:val="auto"/>
                <w:kern w:val="0"/>
                <w:szCs w:val="24"/>
                <w:highlight w:val="none"/>
              </w:rPr>
              <w:t>m处，</w:t>
            </w:r>
            <w:r>
              <w:rPr>
                <w:rFonts w:hint="eastAsia" w:ascii="Times New Roman" w:hAnsi="Times New Roman"/>
                <w:color w:val="auto"/>
                <w:kern w:val="0"/>
                <w:szCs w:val="24"/>
                <w:highlight w:val="none"/>
              </w:rPr>
              <w:t>最大</w:t>
            </w:r>
            <w:r>
              <w:rPr>
                <w:rFonts w:ascii="Times New Roman" w:hAnsi="Times New Roman"/>
                <w:color w:val="auto"/>
                <w:kern w:val="0"/>
                <w:szCs w:val="24"/>
                <w:highlight w:val="none"/>
              </w:rPr>
              <w:t>落地浓度为</w:t>
            </w:r>
            <w:r>
              <w:rPr>
                <w:rFonts w:hint="eastAsia" w:ascii="Times New Roman" w:hAnsi="Times New Roman"/>
                <w:color w:val="auto"/>
                <w:kern w:val="0"/>
                <w:szCs w:val="24"/>
                <w:highlight w:val="none"/>
              </w:rPr>
              <w:t>3</w:t>
            </w:r>
            <w:r>
              <w:rPr>
                <w:rFonts w:hint="eastAsia" w:ascii="Times New Roman" w:hAnsi="Times New Roman"/>
                <w:color w:val="auto"/>
                <w:kern w:val="0"/>
                <w:szCs w:val="24"/>
                <w:highlight w:val="none"/>
                <w:lang w:val="en-US" w:eastAsia="zh-CN"/>
              </w:rPr>
              <w:t>5</w:t>
            </w:r>
            <w:r>
              <w:rPr>
                <w:rFonts w:hint="eastAsia" w:ascii="Times New Roman" w:hAnsi="Times New Roman"/>
                <w:color w:val="auto"/>
                <w:kern w:val="0"/>
                <w:szCs w:val="24"/>
                <w:highlight w:val="none"/>
              </w:rPr>
              <w:t>.</w:t>
            </w:r>
            <w:r>
              <w:rPr>
                <w:rFonts w:hint="eastAsia" w:ascii="Times New Roman" w:hAnsi="Times New Roman"/>
                <w:color w:val="auto"/>
                <w:kern w:val="0"/>
                <w:szCs w:val="24"/>
                <w:highlight w:val="none"/>
                <w:lang w:val="en-US" w:eastAsia="zh-CN"/>
              </w:rPr>
              <w:t>236</w:t>
            </w:r>
            <w:r>
              <w:rPr>
                <w:rFonts w:ascii="Times New Roman" w:hAnsi="Times New Roman"/>
                <w:color w:val="auto"/>
                <w:kern w:val="0"/>
                <w:szCs w:val="24"/>
                <w:highlight w:val="none"/>
              </w:rPr>
              <w:t>μg/m</w:t>
            </w:r>
            <w:r>
              <w:rPr>
                <w:rFonts w:ascii="Times New Roman" w:hAnsi="Times New Roman"/>
                <w:color w:val="auto"/>
                <w:kern w:val="0"/>
                <w:szCs w:val="24"/>
                <w:highlight w:val="none"/>
                <w:vertAlign w:val="superscript"/>
              </w:rPr>
              <w:t>3</w:t>
            </w:r>
            <w:r>
              <w:rPr>
                <w:rFonts w:hint="eastAsia" w:ascii="Times New Roman" w:hAnsi="Times New Roman"/>
                <w:color w:val="auto"/>
                <w:kern w:val="0"/>
                <w:szCs w:val="24"/>
                <w:highlight w:val="none"/>
                <w:lang w:eastAsia="zh-CN"/>
              </w:rPr>
              <w:t>；结合现有工程</w:t>
            </w:r>
            <w:r>
              <w:rPr>
                <w:rFonts w:hint="eastAsia"/>
                <w:color w:val="auto"/>
                <w:sz w:val="24"/>
                <w:highlight w:val="none"/>
              </w:rPr>
              <w:t>竣工环境保护验收</w:t>
            </w:r>
            <w:r>
              <w:rPr>
                <w:rFonts w:hint="eastAsia"/>
                <w:color w:val="auto"/>
                <w:sz w:val="24"/>
                <w:highlight w:val="none"/>
                <w:lang w:eastAsia="zh-CN"/>
              </w:rPr>
              <w:t>监测中颗粒物无组织浓度，综合分析扩建后全厂颗粒物无组织排放浓度满足</w:t>
            </w:r>
            <w:r>
              <w:rPr>
                <w:rFonts w:ascii="Times New Roman" w:hAnsi="Times New Roman"/>
                <w:color w:val="auto"/>
                <w:kern w:val="0"/>
                <w:szCs w:val="24"/>
                <w:highlight w:val="none"/>
              </w:rPr>
              <w:t>《大气污染物综合排放标准》（GB 16297-1996）中颗粒物无组织1 mg/m</w:t>
            </w:r>
            <w:r>
              <w:rPr>
                <w:rFonts w:ascii="Times New Roman" w:hAnsi="Times New Roman"/>
                <w:color w:val="auto"/>
                <w:kern w:val="0"/>
                <w:szCs w:val="24"/>
                <w:highlight w:val="none"/>
                <w:vertAlign w:val="superscript"/>
              </w:rPr>
              <w:t>3</w:t>
            </w:r>
            <w:r>
              <w:rPr>
                <w:rFonts w:hint="eastAsia" w:ascii="Times New Roman" w:hAnsi="Times New Roman"/>
                <w:color w:val="auto"/>
                <w:kern w:val="0"/>
                <w:szCs w:val="24"/>
                <w:highlight w:val="none"/>
              </w:rPr>
              <w:t>的排放监控</w:t>
            </w:r>
            <w:r>
              <w:rPr>
                <w:rFonts w:ascii="Times New Roman" w:hAnsi="Times New Roman"/>
                <w:color w:val="auto"/>
                <w:kern w:val="0"/>
                <w:szCs w:val="24"/>
                <w:highlight w:val="none"/>
              </w:rPr>
              <w:t>浓度</w:t>
            </w:r>
            <w:r>
              <w:rPr>
                <w:rFonts w:hint="eastAsia" w:ascii="Times New Roman" w:hAnsi="Times New Roman"/>
                <w:color w:val="auto"/>
                <w:kern w:val="0"/>
                <w:szCs w:val="24"/>
                <w:highlight w:val="none"/>
              </w:rPr>
              <w:t>限值</w:t>
            </w:r>
            <w:r>
              <w:rPr>
                <w:rFonts w:hint="eastAsia" w:ascii="Times New Roman" w:hAnsi="Times New Roman"/>
                <w:color w:val="auto"/>
                <w:kern w:val="0"/>
                <w:szCs w:val="24"/>
                <w:highlight w:val="none"/>
                <w:lang w:eastAsia="zh-CN"/>
              </w:rPr>
              <w:t>。</w:t>
            </w:r>
          </w:p>
          <w:p>
            <w:pPr>
              <w:adjustRightInd w:val="0"/>
              <w:snapToGrid w:val="0"/>
              <w:spacing w:line="360" w:lineRule="auto"/>
              <w:ind w:firstLine="480" w:firstLineChars="200"/>
              <w:rPr>
                <w:bCs/>
                <w:color w:val="auto"/>
                <w:sz w:val="24"/>
                <w:highlight w:val="none"/>
              </w:rPr>
            </w:pPr>
            <w:r>
              <w:rPr>
                <w:rFonts w:hint="eastAsia"/>
                <w:bCs/>
                <w:color w:val="auto"/>
                <w:sz w:val="24"/>
                <w:highlight w:val="none"/>
              </w:rPr>
              <w:t>3、</w:t>
            </w:r>
            <w:r>
              <w:rPr>
                <w:bCs/>
                <w:color w:val="auto"/>
                <w:sz w:val="24"/>
                <w:highlight w:val="none"/>
              </w:rPr>
              <w:t>运输扬尘</w:t>
            </w:r>
          </w:p>
          <w:p>
            <w:pPr>
              <w:adjustRightInd w:val="0"/>
              <w:snapToGrid w:val="0"/>
              <w:spacing w:line="360" w:lineRule="auto"/>
              <w:ind w:firstLine="482" w:firstLineChars="200"/>
              <w:rPr>
                <w:color w:val="auto"/>
                <w:sz w:val="24"/>
                <w:highlight w:val="none"/>
              </w:rPr>
            </w:pPr>
            <w:r>
              <w:rPr>
                <w:rFonts w:hint="eastAsia"/>
                <w:b/>
                <w:bCs/>
                <w:color w:val="auto"/>
                <w:sz w:val="24"/>
                <w:highlight w:val="none"/>
              </w:rPr>
              <w:t>源强核算：</w:t>
            </w:r>
            <w:r>
              <w:rPr>
                <w:color w:val="auto"/>
                <w:sz w:val="24"/>
                <w:highlight w:val="none"/>
              </w:rPr>
              <w:t>车辆行驶按起尘的原因可分为风力起尘和动力起尘，其中风力起尘主要是由于裸露的路面表层浮尘由于天气干燥及大风，产生风力扬尘；而动力起尘，主要是装卸过程中，由于外力而产生的尘粒再悬浮所造成的。</w:t>
            </w:r>
          </w:p>
          <w:p>
            <w:pPr>
              <w:adjustRightInd w:val="0"/>
              <w:snapToGrid w:val="0"/>
              <w:spacing w:line="360" w:lineRule="auto"/>
              <w:ind w:firstLine="480" w:firstLineChars="200"/>
              <w:rPr>
                <w:color w:val="auto"/>
                <w:sz w:val="24"/>
                <w:highlight w:val="none"/>
              </w:rPr>
            </w:pPr>
            <w:r>
              <w:rPr>
                <w:color w:val="auto"/>
                <w:sz w:val="24"/>
                <w:highlight w:val="none"/>
              </w:rPr>
              <w:t>据有关文献资料介绍，车辆行驶产生的扬尘占总扬尘的60%以上。车辆行驶产生的扬尘，在完全干燥情况下，可按下列经验公式计算：</w:t>
            </w:r>
          </w:p>
          <w:p>
            <w:pPr>
              <w:adjustRightInd w:val="0"/>
              <w:snapToGrid w:val="0"/>
              <w:spacing w:line="360" w:lineRule="auto"/>
              <w:ind w:firstLine="480" w:firstLineChars="200"/>
              <w:rPr>
                <w:color w:val="auto"/>
                <w:sz w:val="24"/>
                <w:highlight w:val="none"/>
              </w:rPr>
            </w:pPr>
            <w:r>
              <w:rPr>
                <w:color w:val="auto"/>
                <w:sz w:val="24"/>
                <w:highlight w:val="none"/>
              </w:rPr>
              <w:drawing>
                <wp:inline distT="0" distB="0" distL="0" distR="0">
                  <wp:extent cx="3423920" cy="223520"/>
                  <wp:effectExtent l="19050" t="0" r="0" b="0"/>
                  <wp:docPr id="2"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3"/>
                          <pic:cNvPicPr>
                            <a:picLocks noChangeAspect="1" noChangeArrowheads="1"/>
                          </pic:cNvPicPr>
                        </pic:nvPicPr>
                        <pic:blipFill>
                          <a:blip r:embed="rId15" cstate="print"/>
                          <a:srcRect/>
                          <a:stretch>
                            <a:fillRect/>
                          </a:stretch>
                        </pic:blipFill>
                        <pic:spPr>
                          <a:xfrm>
                            <a:off x="0" y="0"/>
                            <a:ext cx="3423920" cy="223520"/>
                          </a:xfrm>
                          <a:prstGeom prst="rect">
                            <a:avLst/>
                          </a:prstGeom>
                          <a:noFill/>
                          <a:ln w="9525" cmpd="sng">
                            <a:noFill/>
                            <a:miter lim="800000"/>
                            <a:headEnd/>
                            <a:tailEnd/>
                          </a:ln>
                        </pic:spPr>
                      </pic:pic>
                    </a:graphicData>
                  </a:graphic>
                </wp:inline>
              </w:drawing>
            </w:r>
          </w:p>
          <w:p>
            <w:pPr>
              <w:adjustRightInd w:val="0"/>
              <w:snapToGrid w:val="0"/>
              <w:spacing w:line="360" w:lineRule="auto"/>
              <w:ind w:firstLine="480" w:firstLineChars="200"/>
              <w:rPr>
                <w:color w:val="auto"/>
                <w:sz w:val="24"/>
                <w:highlight w:val="none"/>
              </w:rPr>
            </w:pPr>
            <w:r>
              <w:rPr>
                <w:color w:val="auto"/>
                <w:sz w:val="24"/>
                <w:highlight w:val="none"/>
              </w:rPr>
              <w:object>
                <v:shape id="_x0000_i1027" o:spt="75" type="#_x0000_t75" style="height:16.5pt;width:91.5pt;" o:ole="t" filled="f" o:preferrelative="t" stroked="f" coordsize="21600,21600">
                  <v:path/>
                  <v:fill on="f" focussize="0,0"/>
                  <v:stroke on="f" joinstyle="miter"/>
                  <v:imagedata r:id="rId17" o:title=""/>
                  <o:lock v:ext="edit" aspectratio="t"/>
                  <w10:wrap type="none"/>
                  <w10:anchorlock/>
                </v:shape>
                <o:OLEObject Type="Embed" ProgID="Equations" ShapeID="_x0000_i1027" DrawAspect="Content" ObjectID="_1468075727" r:id="rId16">
                  <o:LockedField>false</o:LockedField>
                </o:OLEObject>
              </w:object>
            </w:r>
          </w:p>
          <w:p>
            <w:pPr>
              <w:adjustRightInd w:val="0"/>
              <w:snapToGrid w:val="0"/>
              <w:spacing w:line="360" w:lineRule="auto"/>
              <w:ind w:firstLine="480" w:firstLineChars="200"/>
              <w:rPr>
                <w:color w:val="auto"/>
                <w:sz w:val="24"/>
                <w:highlight w:val="none"/>
              </w:rPr>
            </w:pPr>
            <w:r>
              <w:rPr>
                <w:color w:val="auto"/>
                <w:sz w:val="24"/>
                <w:highlight w:val="none"/>
              </w:rPr>
              <w:t>式中：Q——汽车行驶的扬尘，kg/km·辆；</w:t>
            </w:r>
          </w:p>
          <w:p>
            <w:pPr>
              <w:adjustRightInd w:val="0"/>
              <w:snapToGrid w:val="0"/>
              <w:spacing w:line="360" w:lineRule="auto"/>
              <w:ind w:firstLine="480" w:firstLineChars="200"/>
              <w:rPr>
                <w:color w:val="auto"/>
                <w:sz w:val="24"/>
                <w:highlight w:val="none"/>
              </w:rPr>
            </w:pPr>
            <w:r>
              <w:rPr>
                <w:rFonts w:hint="eastAsia"/>
                <w:color w:val="auto"/>
                <w:sz w:val="24"/>
                <w:highlight w:val="none"/>
              </w:rPr>
              <w:t>Q</w:t>
            </w:r>
            <w:r>
              <w:rPr>
                <w:color w:val="auto"/>
                <w:sz w:val="24"/>
                <w:highlight w:val="none"/>
              </w:rPr>
              <w:drawing>
                <wp:inline distT="0" distB="0" distL="0" distR="0">
                  <wp:extent cx="53340" cy="106045"/>
                  <wp:effectExtent l="19050" t="0" r="3810" b="0"/>
                  <wp:docPr id="4"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5"/>
                          <pic:cNvPicPr>
                            <a:picLocks noChangeAspect="1" noChangeArrowheads="1"/>
                          </pic:cNvPicPr>
                        </pic:nvPicPr>
                        <pic:blipFill>
                          <a:blip r:embed="rId18" cstate="print"/>
                          <a:srcRect/>
                          <a:stretch>
                            <a:fillRect/>
                          </a:stretch>
                        </pic:blipFill>
                        <pic:spPr>
                          <a:xfrm>
                            <a:off x="0" y="0"/>
                            <a:ext cx="53340" cy="106045"/>
                          </a:xfrm>
                          <a:prstGeom prst="rect">
                            <a:avLst/>
                          </a:prstGeom>
                          <a:noFill/>
                          <a:ln w="9525" cmpd="sng">
                            <a:noFill/>
                            <a:miter lim="800000"/>
                            <a:headEnd/>
                            <a:tailEnd/>
                          </a:ln>
                        </pic:spPr>
                      </pic:pic>
                    </a:graphicData>
                  </a:graphic>
                </wp:inline>
              </w:drawing>
            </w:r>
            <w:r>
              <w:rPr>
                <w:color w:val="auto"/>
                <w:sz w:val="24"/>
                <w:highlight w:val="none"/>
              </w:rPr>
              <w:t>——</w:t>
            </w:r>
            <w:r>
              <w:rPr>
                <w:rFonts w:hint="eastAsia"/>
                <w:color w:val="auto"/>
                <w:sz w:val="24"/>
                <w:highlight w:val="none"/>
              </w:rPr>
              <w:t>运输途中起尘量，</w:t>
            </w:r>
            <w:r>
              <w:rPr>
                <w:color w:val="auto"/>
                <w:sz w:val="24"/>
                <w:highlight w:val="none"/>
              </w:rPr>
              <w:t>kg/</w:t>
            </w:r>
            <w:r>
              <w:rPr>
                <w:rFonts w:hint="eastAsia"/>
                <w:color w:val="auto"/>
                <w:sz w:val="24"/>
                <w:highlight w:val="none"/>
              </w:rPr>
              <w:t>a；</w:t>
            </w:r>
          </w:p>
          <w:p>
            <w:pPr>
              <w:adjustRightInd w:val="0"/>
              <w:snapToGrid w:val="0"/>
              <w:spacing w:line="360" w:lineRule="auto"/>
              <w:ind w:firstLine="480" w:firstLineChars="200"/>
              <w:rPr>
                <w:color w:val="auto"/>
                <w:sz w:val="24"/>
                <w:highlight w:val="none"/>
              </w:rPr>
            </w:pPr>
            <w:r>
              <w:rPr>
                <w:rFonts w:hint="eastAsia"/>
                <w:color w:val="auto"/>
                <w:sz w:val="24"/>
                <w:highlight w:val="none"/>
              </w:rPr>
              <w:t>Q</w:t>
            </w:r>
            <w:r>
              <w:rPr>
                <w:color w:val="auto"/>
                <w:sz w:val="24"/>
                <w:highlight w:val="none"/>
              </w:rPr>
              <w:t>p——</w:t>
            </w:r>
            <w:r>
              <w:rPr>
                <w:rFonts w:hint="eastAsia"/>
                <w:color w:val="auto"/>
                <w:sz w:val="24"/>
                <w:highlight w:val="none"/>
              </w:rPr>
              <w:t>运输量，t</w:t>
            </w:r>
            <w:r>
              <w:rPr>
                <w:color w:val="auto"/>
                <w:sz w:val="24"/>
                <w:highlight w:val="none"/>
              </w:rPr>
              <w:t>/</w:t>
            </w:r>
            <w:r>
              <w:rPr>
                <w:rFonts w:hint="eastAsia"/>
                <w:color w:val="auto"/>
                <w:sz w:val="24"/>
                <w:highlight w:val="none"/>
              </w:rPr>
              <w:t>a；</w:t>
            </w:r>
          </w:p>
          <w:p>
            <w:pPr>
              <w:adjustRightInd w:val="0"/>
              <w:snapToGrid w:val="0"/>
              <w:spacing w:line="360" w:lineRule="auto"/>
              <w:ind w:firstLine="480" w:firstLineChars="200"/>
              <w:rPr>
                <w:color w:val="auto"/>
                <w:sz w:val="24"/>
                <w:highlight w:val="none"/>
              </w:rPr>
            </w:pPr>
            <w:r>
              <w:rPr>
                <w:color w:val="auto"/>
                <w:sz w:val="24"/>
                <w:highlight w:val="none"/>
              </w:rPr>
              <w:t>V——汽车行驶速度，km/h；</w:t>
            </w:r>
          </w:p>
          <w:p>
            <w:pPr>
              <w:adjustRightInd w:val="0"/>
              <w:snapToGrid w:val="0"/>
              <w:spacing w:line="360" w:lineRule="auto"/>
              <w:ind w:firstLine="480" w:firstLineChars="200"/>
              <w:rPr>
                <w:color w:val="auto"/>
                <w:sz w:val="24"/>
                <w:highlight w:val="none"/>
              </w:rPr>
            </w:pPr>
            <w:r>
              <w:rPr>
                <w:color w:val="auto"/>
                <w:sz w:val="24"/>
                <w:highlight w:val="none"/>
              </w:rPr>
              <w:t>W——汽车载重量，吨</w:t>
            </w:r>
            <w:r>
              <w:rPr>
                <w:rFonts w:hint="eastAsia"/>
                <w:color w:val="auto"/>
                <w:sz w:val="24"/>
                <w:highlight w:val="none"/>
              </w:rPr>
              <w:t>/辆</w:t>
            </w:r>
            <w:r>
              <w:rPr>
                <w:color w:val="auto"/>
                <w:sz w:val="24"/>
                <w:highlight w:val="none"/>
              </w:rPr>
              <w:t>；</w:t>
            </w:r>
          </w:p>
          <w:p>
            <w:pPr>
              <w:adjustRightInd w:val="0"/>
              <w:snapToGrid w:val="0"/>
              <w:spacing w:line="360" w:lineRule="auto"/>
              <w:ind w:firstLine="480" w:firstLineChars="200"/>
              <w:rPr>
                <w:color w:val="auto"/>
                <w:sz w:val="24"/>
                <w:highlight w:val="none"/>
              </w:rPr>
            </w:pPr>
            <w:r>
              <w:rPr>
                <w:color w:val="auto"/>
                <w:sz w:val="24"/>
                <w:highlight w:val="none"/>
              </w:rPr>
              <w:t>P——道路表面粉尘量，kg/m</w:t>
            </w:r>
            <w:r>
              <w:rPr>
                <w:color w:val="auto"/>
                <w:sz w:val="24"/>
                <w:highlight w:val="none"/>
                <w:vertAlign w:val="superscript"/>
              </w:rPr>
              <w:t>2</w:t>
            </w:r>
            <w:r>
              <w:rPr>
                <w:rFonts w:hint="eastAsia"/>
                <w:color w:val="auto"/>
                <w:sz w:val="24"/>
                <w:highlight w:val="none"/>
              </w:rPr>
              <w:t>；</w:t>
            </w:r>
          </w:p>
          <w:p>
            <w:pPr>
              <w:adjustRightInd w:val="0"/>
              <w:snapToGrid w:val="0"/>
              <w:spacing w:line="360" w:lineRule="auto"/>
              <w:ind w:firstLine="480" w:firstLineChars="200"/>
              <w:rPr>
                <w:color w:val="auto"/>
                <w:sz w:val="24"/>
                <w:highlight w:val="none"/>
              </w:rPr>
            </w:pPr>
            <w:r>
              <w:rPr>
                <w:rFonts w:hint="eastAsia"/>
                <w:color w:val="auto"/>
                <w:sz w:val="24"/>
                <w:highlight w:val="none"/>
              </w:rPr>
              <w:t>L</w:t>
            </w:r>
            <w:r>
              <w:rPr>
                <w:color w:val="auto"/>
                <w:sz w:val="24"/>
                <w:highlight w:val="none"/>
              </w:rPr>
              <w:t>——</w:t>
            </w:r>
            <w:r>
              <w:rPr>
                <w:rFonts w:hint="eastAsia"/>
                <w:color w:val="auto"/>
                <w:sz w:val="24"/>
                <w:highlight w:val="none"/>
              </w:rPr>
              <w:t>运输距离，km</w:t>
            </w:r>
            <w:r>
              <w:rPr>
                <w:color w:val="auto"/>
                <w:sz w:val="24"/>
                <w:highlight w:val="none"/>
              </w:rPr>
              <w:t>。</w:t>
            </w:r>
          </w:p>
          <w:p>
            <w:pPr>
              <w:adjustRightInd w:val="0"/>
              <w:spacing w:line="360" w:lineRule="auto"/>
              <w:ind w:firstLine="480" w:firstLineChars="200"/>
              <w:rPr>
                <w:color w:val="auto"/>
                <w:sz w:val="24"/>
                <w:highlight w:val="none"/>
              </w:rPr>
            </w:pPr>
            <w:r>
              <w:rPr>
                <w:rFonts w:hint="eastAsia"/>
                <w:color w:val="auto"/>
                <w:sz w:val="24"/>
                <w:highlight w:val="none"/>
                <w:lang w:eastAsia="zh-CN"/>
              </w:rPr>
              <w:t>运输</w:t>
            </w:r>
            <w:r>
              <w:rPr>
                <w:color w:val="auto"/>
                <w:sz w:val="24"/>
                <w:highlight w:val="none"/>
              </w:rPr>
              <w:t>车辆在厂区内</w:t>
            </w:r>
            <w:r>
              <w:rPr>
                <w:rFonts w:hint="eastAsia"/>
                <w:color w:val="auto"/>
                <w:sz w:val="24"/>
                <w:highlight w:val="none"/>
              </w:rPr>
              <w:t>累计</w:t>
            </w:r>
            <w:r>
              <w:rPr>
                <w:color w:val="auto"/>
                <w:sz w:val="24"/>
                <w:highlight w:val="none"/>
              </w:rPr>
              <w:t>行驶距离按</w:t>
            </w:r>
            <w:r>
              <w:rPr>
                <w:rFonts w:hint="eastAsia"/>
                <w:color w:val="auto"/>
                <w:sz w:val="24"/>
                <w:highlight w:val="none"/>
              </w:rPr>
              <w:t>200m</w:t>
            </w:r>
            <w:r>
              <w:rPr>
                <w:color w:val="auto"/>
                <w:sz w:val="24"/>
                <w:highlight w:val="none"/>
              </w:rPr>
              <w:t>计，厂区道路表面粉尘量按0.2kg/m</w:t>
            </w:r>
            <w:r>
              <w:rPr>
                <w:color w:val="auto"/>
                <w:sz w:val="24"/>
                <w:highlight w:val="none"/>
                <w:vertAlign w:val="superscript"/>
              </w:rPr>
              <w:t>2</w:t>
            </w:r>
            <w:r>
              <w:rPr>
                <w:rFonts w:hint="eastAsia"/>
                <w:color w:val="auto"/>
                <w:sz w:val="24"/>
                <w:highlight w:val="none"/>
              </w:rPr>
              <w:t>，车速以5</w:t>
            </w:r>
            <w:r>
              <w:rPr>
                <w:color w:val="auto"/>
                <w:kern w:val="28"/>
                <w:sz w:val="24"/>
                <w:highlight w:val="none"/>
              </w:rPr>
              <w:t>km/h</w:t>
            </w:r>
            <w:r>
              <w:rPr>
                <w:color w:val="auto"/>
                <w:sz w:val="24"/>
                <w:highlight w:val="none"/>
              </w:rPr>
              <w:t>计，</w:t>
            </w:r>
            <w:r>
              <w:rPr>
                <w:rFonts w:hint="eastAsia"/>
                <w:color w:val="auto"/>
                <w:sz w:val="24"/>
                <w:highlight w:val="none"/>
              </w:rPr>
              <w:t>原料、成品运输量约45万t，汽车载重量约20t/辆。</w:t>
            </w:r>
            <w:r>
              <w:rPr>
                <w:color w:val="auto"/>
                <w:sz w:val="24"/>
                <w:highlight w:val="none"/>
              </w:rPr>
              <w:t>经计算，厂区道路汽车运输扬尘量</w:t>
            </w:r>
            <w:r>
              <w:rPr>
                <w:rFonts w:hint="eastAsia"/>
                <w:color w:val="auto"/>
                <w:sz w:val="24"/>
                <w:highlight w:val="none"/>
              </w:rPr>
              <w:t>约0.7</w:t>
            </w:r>
            <w:r>
              <w:rPr>
                <w:color w:val="auto"/>
                <w:sz w:val="24"/>
                <w:highlight w:val="none"/>
              </w:rPr>
              <w:t>t/a。</w:t>
            </w:r>
          </w:p>
          <w:p>
            <w:pPr>
              <w:adjustRightInd w:val="0"/>
              <w:spacing w:line="360" w:lineRule="auto"/>
              <w:ind w:firstLine="482" w:firstLineChars="200"/>
              <w:rPr>
                <w:color w:val="auto"/>
                <w:highlight w:val="none"/>
              </w:rPr>
            </w:pPr>
            <w:r>
              <w:rPr>
                <w:rFonts w:hint="eastAsia" w:ascii="宋体" w:hAnsi="宋体" w:cs="宋体"/>
                <w:b/>
                <w:bCs/>
                <w:color w:val="auto"/>
                <w:kern w:val="0"/>
                <w:sz w:val="24"/>
                <w:highlight w:val="none"/>
              </w:rPr>
              <w:t>治理措施：</w:t>
            </w:r>
            <w:r>
              <w:rPr>
                <w:color w:val="auto"/>
                <w:sz w:val="24"/>
                <w:highlight w:val="none"/>
              </w:rPr>
              <w:t>环评要求企业对</w:t>
            </w:r>
            <w:r>
              <w:rPr>
                <w:rFonts w:hint="eastAsia"/>
                <w:color w:val="auto"/>
                <w:sz w:val="24"/>
                <w:highlight w:val="none"/>
              </w:rPr>
              <w:t>扩建区域出入口道路进行硬化，</w:t>
            </w:r>
            <w:r>
              <w:rPr>
                <w:color w:val="auto"/>
                <w:sz w:val="24"/>
                <w:highlight w:val="none"/>
              </w:rPr>
              <w:t>定</w:t>
            </w:r>
            <w:r>
              <w:rPr>
                <w:rFonts w:hint="eastAsia"/>
                <w:color w:val="auto"/>
                <w:sz w:val="24"/>
                <w:highlight w:val="none"/>
              </w:rPr>
              <w:t>期</w:t>
            </w:r>
            <w:r>
              <w:rPr>
                <w:color w:val="auto"/>
                <w:sz w:val="24"/>
                <w:highlight w:val="none"/>
              </w:rPr>
              <w:t>洒水</w:t>
            </w:r>
            <w:r>
              <w:rPr>
                <w:rFonts w:hint="eastAsia"/>
                <w:color w:val="auto"/>
                <w:sz w:val="24"/>
                <w:highlight w:val="none"/>
              </w:rPr>
              <w:t>并利用现有车辆冲洗平台</w:t>
            </w:r>
            <w:r>
              <w:rPr>
                <w:rFonts w:hint="eastAsia"/>
                <w:color w:val="auto"/>
                <w:sz w:val="24"/>
                <w:szCs w:val="24"/>
                <w:highlight w:val="none"/>
                <w:lang w:eastAsia="zh-CN"/>
              </w:rPr>
              <w:t>（依托现有主干道和窑体附近道路）</w:t>
            </w:r>
            <w:r>
              <w:rPr>
                <w:rFonts w:hint="eastAsia"/>
                <w:color w:val="auto"/>
                <w:sz w:val="24"/>
                <w:highlight w:val="none"/>
              </w:rPr>
              <w:t>，</w:t>
            </w:r>
            <w:r>
              <w:rPr>
                <w:color w:val="auto"/>
                <w:sz w:val="24"/>
                <w:highlight w:val="none"/>
              </w:rPr>
              <w:t>以减少汽车运输扬尘</w:t>
            </w:r>
            <w:r>
              <w:rPr>
                <w:rFonts w:hint="eastAsia"/>
                <w:color w:val="auto"/>
                <w:sz w:val="24"/>
                <w:highlight w:val="none"/>
              </w:rPr>
              <w:t>。</w:t>
            </w:r>
            <w:r>
              <w:rPr>
                <w:color w:val="auto"/>
                <w:sz w:val="24"/>
                <w:highlight w:val="none"/>
              </w:rPr>
              <w:t>经采取</w:t>
            </w:r>
            <w:r>
              <w:rPr>
                <w:rFonts w:hint="eastAsia"/>
                <w:color w:val="auto"/>
                <w:sz w:val="24"/>
                <w:highlight w:val="none"/>
              </w:rPr>
              <w:t>车辆冲洗、</w:t>
            </w:r>
            <w:r>
              <w:rPr>
                <w:color w:val="auto"/>
                <w:sz w:val="24"/>
                <w:highlight w:val="none"/>
              </w:rPr>
              <w:t>洒水抑尘</w:t>
            </w:r>
            <w:r>
              <w:rPr>
                <w:rFonts w:hint="eastAsia"/>
                <w:color w:val="auto"/>
                <w:sz w:val="24"/>
                <w:highlight w:val="none"/>
              </w:rPr>
              <w:t>等</w:t>
            </w:r>
            <w:r>
              <w:rPr>
                <w:color w:val="auto"/>
                <w:sz w:val="24"/>
                <w:highlight w:val="none"/>
              </w:rPr>
              <w:t>措施后，扬尘量可减少</w:t>
            </w:r>
            <w:r>
              <w:rPr>
                <w:rFonts w:hint="eastAsia"/>
                <w:color w:val="auto"/>
                <w:sz w:val="24"/>
                <w:highlight w:val="none"/>
              </w:rPr>
              <w:t>8</w:t>
            </w:r>
            <w:r>
              <w:rPr>
                <w:color w:val="auto"/>
                <w:sz w:val="24"/>
                <w:highlight w:val="none"/>
              </w:rPr>
              <w:t>0%左右，则汽车运输扬尘量约</w:t>
            </w:r>
            <w:r>
              <w:rPr>
                <w:rFonts w:hint="eastAsia"/>
                <w:color w:val="auto"/>
                <w:sz w:val="24"/>
                <w:highlight w:val="none"/>
              </w:rPr>
              <w:t>0.14</w:t>
            </w:r>
            <w:r>
              <w:rPr>
                <w:color w:val="auto"/>
                <w:sz w:val="24"/>
                <w:highlight w:val="none"/>
              </w:rPr>
              <w:t>t/a。</w:t>
            </w:r>
          </w:p>
          <w:p>
            <w:pPr>
              <w:spacing w:line="360" w:lineRule="auto"/>
              <w:ind w:firstLine="540" w:firstLineChars="225"/>
              <w:rPr>
                <w:bCs/>
                <w:color w:val="auto"/>
                <w:sz w:val="24"/>
                <w:highlight w:val="none"/>
              </w:rPr>
            </w:pPr>
            <w:r>
              <w:rPr>
                <w:rFonts w:hint="eastAsia"/>
                <w:bCs/>
                <w:color w:val="auto"/>
                <w:sz w:val="24"/>
                <w:highlight w:val="none"/>
              </w:rPr>
              <w:t>4、</w:t>
            </w:r>
            <w:r>
              <w:rPr>
                <w:bCs/>
                <w:color w:val="auto"/>
                <w:sz w:val="24"/>
                <w:highlight w:val="none"/>
              </w:rPr>
              <w:t>汽车尾气</w:t>
            </w:r>
          </w:p>
          <w:p>
            <w:pPr>
              <w:spacing w:line="360" w:lineRule="auto"/>
              <w:ind w:firstLine="540" w:firstLineChars="225"/>
              <w:rPr>
                <w:color w:val="auto"/>
                <w:sz w:val="24"/>
                <w:highlight w:val="none"/>
              </w:rPr>
            </w:pPr>
            <w:r>
              <w:rPr>
                <w:color w:val="auto"/>
                <w:sz w:val="24"/>
                <w:highlight w:val="none"/>
              </w:rPr>
              <w:t>项目营运期运输车辆会产生尾气，其主要污染因子为颗粒物、CO、NO</w:t>
            </w:r>
            <w:r>
              <w:rPr>
                <w:color w:val="auto"/>
                <w:sz w:val="24"/>
                <w:highlight w:val="none"/>
                <w:vertAlign w:val="subscript"/>
              </w:rPr>
              <w:t>x</w:t>
            </w:r>
            <w:r>
              <w:rPr>
                <w:color w:val="auto"/>
                <w:sz w:val="24"/>
                <w:highlight w:val="none"/>
              </w:rPr>
              <w:t>、</w:t>
            </w:r>
            <w:r>
              <w:rPr>
                <w:rFonts w:hint="eastAsia"/>
                <w:color w:val="auto"/>
                <w:sz w:val="24"/>
                <w:highlight w:val="none"/>
              </w:rPr>
              <w:t>T</w:t>
            </w:r>
            <w:r>
              <w:rPr>
                <w:color w:val="auto"/>
                <w:sz w:val="24"/>
                <w:highlight w:val="none"/>
              </w:rPr>
              <w:t>HC等。项目区域</w:t>
            </w:r>
            <w:r>
              <w:rPr>
                <w:rFonts w:hint="eastAsia"/>
                <w:color w:val="auto"/>
                <w:sz w:val="24"/>
                <w:highlight w:val="none"/>
              </w:rPr>
              <w:t>地势较为空旷，大气扩散条件</w:t>
            </w:r>
            <w:r>
              <w:rPr>
                <w:color w:val="auto"/>
                <w:sz w:val="24"/>
                <w:highlight w:val="none"/>
              </w:rPr>
              <w:t>良好，汽车进出时间较短，尾气排放影响有限。车辆尾气经自然通风的扩散、迁移和稀释作用，对周边大气环境影响较小。故本环评不对货运车尾气作定量估算。</w:t>
            </w:r>
          </w:p>
          <w:p>
            <w:pPr>
              <w:pStyle w:val="44"/>
              <w:spacing w:line="360" w:lineRule="auto"/>
              <w:ind w:firstLine="480" w:firstLineChars="200"/>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5、</w:t>
            </w:r>
            <w:r>
              <w:rPr>
                <w:rFonts w:ascii="Times New Roman" w:hAnsi="Times New Roman" w:cs="Times New Roman"/>
                <w:color w:val="auto"/>
                <w:kern w:val="0"/>
                <w:highlight w:val="none"/>
              </w:rPr>
              <w:t>环境影响分析</w:t>
            </w:r>
          </w:p>
          <w:p>
            <w:pPr>
              <w:pStyle w:val="46"/>
              <w:spacing w:line="360" w:lineRule="auto"/>
              <w:ind w:left="0" w:firstLine="480" w:firstLineChars="200"/>
              <w:rPr>
                <w:rFonts w:ascii="Times New Roman"/>
                <w:b w:val="0"/>
                <w:color w:val="auto"/>
                <w:highlight w:val="none"/>
              </w:rPr>
            </w:pPr>
            <w:r>
              <w:rPr>
                <w:rFonts w:hint="eastAsia"/>
                <w:b w:val="0"/>
                <w:bCs w:val="0"/>
                <w:color w:val="auto"/>
                <w:sz w:val="24"/>
                <w:szCs w:val="24"/>
                <w:highlight w:val="none"/>
              </w:rPr>
              <w:t>通过前文分析，本项目运营期废气主要为装卸及运输粉尘、筛分粉尘、汽车尾气，均呈无组织形式排放，建设单位采取的环保措施为：合理控制装卸料高度以及喷洒水、筛分设备密封且配备喷淋除尘、车辆进出场区冲洗、运输车辆加盖篷布遮挡等措施。通过采取上述措施可有效降低运营期粉尘，确保废气可达标排放，对周边住户和环境产生的影响较小。</w:t>
            </w:r>
          </w:p>
          <w:p>
            <w:pPr>
              <w:snapToGrid w:val="0"/>
              <w:spacing w:line="360" w:lineRule="auto"/>
              <w:ind w:firstLine="480" w:firstLineChars="200"/>
              <w:rPr>
                <w:color w:val="auto"/>
                <w:sz w:val="24"/>
                <w:szCs w:val="32"/>
                <w:highlight w:val="none"/>
              </w:rPr>
            </w:pPr>
            <w:r>
              <w:rPr>
                <w:rFonts w:hint="eastAsia"/>
                <w:color w:val="auto"/>
                <w:sz w:val="24"/>
                <w:szCs w:val="32"/>
                <w:highlight w:val="none"/>
                <w:lang w:val="en-US" w:eastAsia="zh-CN"/>
              </w:rPr>
              <w:t>6</w:t>
            </w:r>
            <w:r>
              <w:rPr>
                <w:rFonts w:hint="eastAsia"/>
                <w:color w:val="auto"/>
                <w:sz w:val="24"/>
                <w:szCs w:val="32"/>
                <w:highlight w:val="none"/>
              </w:rPr>
              <w:t>、监测要求</w:t>
            </w:r>
          </w:p>
          <w:p>
            <w:pPr>
              <w:snapToGrid w:val="0"/>
              <w:spacing w:line="360" w:lineRule="auto"/>
              <w:ind w:firstLine="468" w:firstLineChars="195"/>
              <w:rPr>
                <w:b/>
                <w:bCs/>
                <w:color w:val="auto"/>
                <w:highlight w:val="none"/>
              </w:rPr>
            </w:pPr>
            <w:r>
              <w:rPr>
                <w:color w:val="auto"/>
                <w:sz w:val="24"/>
                <w:highlight w:val="none"/>
              </w:rPr>
              <w:t>根据《排污单位自行监测技术指南 总则》（HJ819-2017）规定，</w:t>
            </w:r>
            <w:r>
              <w:rPr>
                <w:rFonts w:hint="eastAsia"/>
                <w:color w:val="auto"/>
                <w:sz w:val="24"/>
                <w:highlight w:val="none"/>
                <w:lang w:eastAsia="zh-CN"/>
              </w:rPr>
              <w:t>建设单位应</w:t>
            </w:r>
            <w:r>
              <w:rPr>
                <w:color w:val="auto"/>
                <w:sz w:val="24"/>
                <w:highlight w:val="none"/>
              </w:rPr>
              <w:t>定期开展污染源及环境监测，及时掌握产排污规律，加强污染治理。</w:t>
            </w:r>
            <w:r>
              <w:rPr>
                <w:rFonts w:hint="eastAsia"/>
                <w:color w:val="auto"/>
                <w:sz w:val="24"/>
                <w:highlight w:val="none"/>
                <w:lang w:eastAsia="zh-CN"/>
              </w:rPr>
              <w:t>本项目属扩建性质，因此本次扩建工程运营期监测计划应纳入全厂的例行监测计划中。本次扩建项目</w:t>
            </w:r>
            <w:r>
              <w:rPr>
                <w:color w:val="auto"/>
                <w:sz w:val="24"/>
                <w:highlight w:val="none"/>
              </w:rPr>
              <w:t>运营期污染源与环境监测计划见下表</w:t>
            </w:r>
            <w:r>
              <w:rPr>
                <w:rFonts w:hint="eastAsia"/>
                <w:color w:val="auto"/>
                <w:sz w:val="24"/>
                <w:highlight w:val="none"/>
              </w:rPr>
              <w:t>：</w:t>
            </w:r>
          </w:p>
          <w:p>
            <w:pPr>
              <w:snapToGrid w:val="0"/>
              <w:jc w:val="center"/>
              <w:rPr>
                <w:b/>
                <w:bCs/>
                <w:color w:val="auto"/>
                <w:highlight w:val="none"/>
              </w:rPr>
            </w:pPr>
            <w:r>
              <w:rPr>
                <w:b/>
                <w:bCs/>
                <w:color w:val="auto"/>
                <w:highlight w:val="none"/>
              </w:rPr>
              <w:t>表</w:t>
            </w:r>
            <w:r>
              <w:rPr>
                <w:rFonts w:hint="eastAsia"/>
                <w:b/>
                <w:bCs/>
                <w:color w:val="auto"/>
                <w:highlight w:val="none"/>
              </w:rPr>
              <w:t>4-</w:t>
            </w:r>
            <w:r>
              <w:rPr>
                <w:rFonts w:hint="eastAsia"/>
                <w:b/>
                <w:bCs/>
                <w:color w:val="auto"/>
                <w:highlight w:val="none"/>
                <w:lang w:val="en-US" w:eastAsia="zh-CN"/>
              </w:rPr>
              <w:t>4</w:t>
            </w:r>
            <w:r>
              <w:rPr>
                <w:b/>
                <w:bCs/>
                <w:color w:val="auto"/>
                <w:highlight w:val="none"/>
              </w:rPr>
              <w:t xml:space="preserve">   项目</w:t>
            </w:r>
            <w:r>
              <w:rPr>
                <w:rFonts w:hint="eastAsia"/>
                <w:b/>
                <w:bCs/>
                <w:color w:val="auto"/>
                <w:highlight w:val="none"/>
              </w:rPr>
              <w:t>废气</w:t>
            </w:r>
            <w:r>
              <w:rPr>
                <w:b/>
                <w:bCs/>
                <w:color w:val="auto"/>
                <w:highlight w:val="none"/>
              </w:rPr>
              <w:t>监测</w:t>
            </w:r>
            <w:r>
              <w:rPr>
                <w:rFonts w:hint="eastAsia"/>
                <w:b/>
                <w:bCs/>
                <w:color w:val="auto"/>
                <w:highlight w:val="none"/>
              </w:rPr>
              <w:t>计划</w:t>
            </w:r>
            <w:r>
              <w:rPr>
                <w:b/>
                <w:bCs/>
                <w:color w:val="auto"/>
                <w:highlight w:val="none"/>
              </w:rPr>
              <w:t>一览表</w:t>
            </w:r>
          </w:p>
          <w:tbl>
            <w:tblPr>
              <w:tblStyle w:val="34"/>
              <w:tblW w:w="838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62"/>
              <w:gridCol w:w="1945"/>
              <w:gridCol w:w="1200"/>
              <w:gridCol w:w="1844"/>
              <w:gridCol w:w="25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62" w:type="dxa"/>
                  <w:tcBorders>
                    <w:tl2br w:val="nil"/>
                    <w:tr2bl w:val="nil"/>
                  </w:tcBorders>
                  <w:vAlign w:val="center"/>
                </w:tcPr>
                <w:p>
                  <w:pPr>
                    <w:snapToGrid w:val="0"/>
                    <w:jc w:val="center"/>
                    <w:rPr>
                      <w:color w:val="auto"/>
                      <w:highlight w:val="none"/>
                    </w:rPr>
                  </w:pPr>
                  <w:r>
                    <w:rPr>
                      <w:color w:val="auto"/>
                      <w:highlight w:val="none"/>
                    </w:rPr>
                    <w:t>项目</w:t>
                  </w:r>
                </w:p>
              </w:tc>
              <w:tc>
                <w:tcPr>
                  <w:tcW w:w="1945" w:type="dxa"/>
                  <w:tcBorders>
                    <w:tl2br w:val="nil"/>
                    <w:tr2bl w:val="nil"/>
                  </w:tcBorders>
                  <w:vAlign w:val="center"/>
                </w:tcPr>
                <w:p>
                  <w:pPr>
                    <w:snapToGrid w:val="0"/>
                    <w:jc w:val="center"/>
                    <w:rPr>
                      <w:color w:val="auto"/>
                      <w:highlight w:val="none"/>
                    </w:rPr>
                  </w:pPr>
                  <w:r>
                    <w:rPr>
                      <w:color w:val="auto"/>
                      <w:highlight w:val="none"/>
                    </w:rPr>
                    <w:t>监测点位</w:t>
                  </w:r>
                </w:p>
              </w:tc>
              <w:tc>
                <w:tcPr>
                  <w:tcW w:w="1200" w:type="dxa"/>
                  <w:tcBorders>
                    <w:tl2br w:val="nil"/>
                    <w:tr2bl w:val="nil"/>
                  </w:tcBorders>
                  <w:vAlign w:val="center"/>
                </w:tcPr>
                <w:p>
                  <w:pPr>
                    <w:snapToGrid w:val="0"/>
                    <w:jc w:val="center"/>
                    <w:rPr>
                      <w:color w:val="auto"/>
                      <w:highlight w:val="none"/>
                    </w:rPr>
                  </w:pPr>
                  <w:r>
                    <w:rPr>
                      <w:color w:val="auto"/>
                      <w:highlight w:val="none"/>
                    </w:rPr>
                    <w:t>监测项目</w:t>
                  </w:r>
                </w:p>
              </w:tc>
              <w:tc>
                <w:tcPr>
                  <w:tcW w:w="1844" w:type="dxa"/>
                  <w:tcBorders>
                    <w:tl2br w:val="nil"/>
                    <w:tr2bl w:val="nil"/>
                  </w:tcBorders>
                  <w:vAlign w:val="center"/>
                </w:tcPr>
                <w:p>
                  <w:pPr>
                    <w:snapToGrid w:val="0"/>
                    <w:jc w:val="center"/>
                    <w:rPr>
                      <w:color w:val="auto"/>
                      <w:highlight w:val="none"/>
                    </w:rPr>
                  </w:pPr>
                  <w:r>
                    <w:rPr>
                      <w:color w:val="auto"/>
                      <w:highlight w:val="none"/>
                    </w:rPr>
                    <w:t>监测频率</w:t>
                  </w:r>
                </w:p>
              </w:tc>
              <w:tc>
                <w:tcPr>
                  <w:tcW w:w="2532" w:type="dxa"/>
                  <w:tcBorders>
                    <w:tl2br w:val="nil"/>
                    <w:tr2bl w:val="nil"/>
                  </w:tcBorders>
                  <w:vAlign w:val="center"/>
                </w:tcPr>
                <w:p>
                  <w:pPr>
                    <w:snapToGrid w:val="0"/>
                    <w:jc w:val="center"/>
                    <w:rPr>
                      <w:color w:val="auto"/>
                      <w:highlight w:val="none"/>
                    </w:rPr>
                  </w:pPr>
                  <w:r>
                    <w:rPr>
                      <w:rFonts w:hint="eastAsia"/>
                      <w:color w:val="auto"/>
                      <w:highlight w:val="none"/>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62" w:type="dxa"/>
                  <w:tcBorders>
                    <w:tl2br w:val="nil"/>
                    <w:tr2bl w:val="nil"/>
                  </w:tcBorders>
                  <w:vAlign w:val="center"/>
                </w:tcPr>
                <w:p>
                  <w:pPr>
                    <w:snapToGrid w:val="0"/>
                    <w:jc w:val="center"/>
                    <w:rPr>
                      <w:color w:val="auto"/>
                      <w:highlight w:val="none"/>
                    </w:rPr>
                  </w:pPr>
                  <w:r>
                    <w:rPr>
                      <w:color w:val="auto"/>
                      <w:highlight w:val="none"/>
                    </w:rPr>
                    <w:t>大气</w:t>
                  </w:r>
                </w:p>
              </w:tc>
              <w:tc>
                <w:tcPr>
                  <w:tcW w:w="1945" w:type="dxa"/>
                  <w:tcBorders>
                    <w:tl2br w:val="nil"/>
                    <w:tr2bl w:val="nil"/>
                  </w:tcBorders>
                  <w:vAlign w:val="center"/>
                </w:tcPr>
                <w:p>
                  <w:pPr>
                    <w:snapToGrid w:val="0"/>
                    <w:jc w:val="center"/>
                    <w:rPr>
                      <w:color w:val="auto"/>
                      <w:highlight w:val="none"/>
                    </w:rPr>
                  </w:pPr>
                  <w:r>
                    <w:rPr>
                      <w:rFonts w:hint="eastAsia"/>
                      <w:color w:val="auto"/>
                      <w:highlight w:val="none"/>
                    </w:rPr>
                    <w:t>厂界上风向1个</w:t>
                  </w:r>
                </w:p>
                <w:p>
                  <w:pPr>
                    <w:snapToGrid w:val="0"/>
                    <w:jc w:val="center"/>
                    <w:rPr>
                      <w:color w:val="auto"/>
                      <w:highlight w:val="none"/>
                    </w:rPr>
                  </w:pPr>
                  <w:r>
                    <w:rPr>
                      <w:rFonts w:hint="eastAsia"/>
                      <w:color w:val="auto"/>
                      <w:highlight w:val="none"/>
                    </w:rPr>
                    <w:t>下风向3个</w:t>
                  </w:r>
                </w:p>
              </w:tc>
              <w:tc>
                <w:tcPr>
                  <w:tcW w:w="1200" w:type="dxa"/>
                  <w:tcBorders>
                    <w:tl2br w:val="nil"/>
                    <w:tr2bl w:val="nil"/>
                  </w:tcBorders>
                  <w:vAlign w:val="center"/>
                </w:tcPr>
                <w:p>
                  <w:pPr>
                    <w:snapToGrid w:val="0"/>
                    <w:jc w:val="center"/>
                    <w:rPr>
                      <w:color w:val="auto"/>
                      <w:highlight w:val="none"/>
                    </w:rPr>
                  </w:pPr>
                  <w:r>
                    <w:rPr>
                      <w:rFonts w:hint="eastAsia"/>
                      <w:color w:val="auto"/>
                      <w:highlight w:val="none"/>
                    </w:rPr>
                    <w:t>颗粒物</w:t>
                  </w:r>
                </w:p>
              </w:tc>
              <w:tc>
                <w:tcPr>
                  <w:tcW w:w="1844" w:type="dxa"/>
                  <w:tcBorders>
                    <w:tl2br w:val="nil"/>
                    <w:tr2bl w:val="nil"/>
                  </w:tcBorders>
                  <w:vAlign w:val="center"/>
                </w:tcPr>
                <w:p>
                  <w:pPr>
                    <w:snapToGrid w:val="0"/>
                    <w:jc w:val="center"/>
                    <w:rPr>
                      <w:color w:val="auto"/>
                      <w:highlight w:val="none"/>
                    </w:rPr>
                  </w:pPr>
                  <w:r>
                    <w:rPr>
                      <w:color w:val="auto"/>
                      <w:highlight w:val="none"/>
                    </w:rPr>
                    <w:t>每年监测1次</w:t>
                  </w:r>
                </w:p>
              </w:tc>
              <w:tc>
                <w:tcPr>
                  <w:tcW w:w="2532" w:type="dxa"/>
                  <w:tcBorders>
                    <w:tl2br w:val="nil"/>
                    <w:tr2bl w:val="nil"/>
                  </w:tcBorders>
                  <w:vAlign w:val="center"/>
                </w:tcPr>
                <w:p>
                  <w:pPr>
                    <w:snapToGrid w:val="0"/>
                    <w:jc w:val="center"/>
                    <w:rPr>
                      <w:color w:val="auto"/>
                      <w:highlight w:val="none"/>
                    </w:rPr>
                  </w:pPr>
                  <w:r>
                    <w:rPr>
                      <w:color w:val="auto"/>
                      <w:kern w:val="0"/>
                      <w:szCs w:val="21"/>
                      <w:highlight w:val="none"/>
                    </w:rPr>
                    <w:t>《大气污染物综合排放标准》（GB 16297-1996）</w:t>
                  </w:r>
                </w:p>
              </w:tc>
            </w:tr>
          </w:tbl>
          <w:p>
            <w:pPr>
              <w:adjustRightInd w:val="0"/>
              <w:snapToGrid w:val="0"/>
              <w:spacing w:line="360" w:lineRule="auto"/>
              <w:rPr>
                <w:b/>
                <w:color w:val="auto"/>
                <w:kern w:val="0"/>
                <w:sz w:val="24"/>
                <w:highlight w:val="none"/>
              </w:rPr>
            </w:pPr>
            <w:r>
              <w:rPr>
                <w:rFonts w:hint="eastAsia"/>
                <w:b/>
                <w:color w:val="auto"/>
                <w:kern w:val="0"/>
                <w:sz w:val="24"/>
                <w:highlight w:val="none"/>
              </w:rPr>
              <w:t>（</w:t>
            </w:r>
            <w:r>
              <w:rPr>
                <w:b/>
                <w:color w:val="auto"/>
                <w:kern w:val="0"/>
                <w:sz w:val="24"/>
                <w:highlight w:val="none"/>
              </w:rPr>
              <w:t>二</w:t>
            </w:r>
            <w:r>
              <w:rPr>
                <w:rFonts w:hint="eastAsia"/>
                <w:b/>
                <w:color w:val="auto"/>
                <w:kern w:val="0"/>
                <w:sz w:val="24"/>
                <w:highlight w:val="none"/>
              </w:rPr>
              <w:t>）地表</w:t>
            </w:r>
            <w:r>
              <w:rPr>
                <w:b/>
                <w:color w:val="auto"/>
                <w:kern w:val="0"/>
                <w:sz w:val="24"/>
                <w:highlight w:val="none"/>
              </w:rPr>
              <w:t>水环境影响分析</w:t>
            </w:r>
          </w:p>
          <w:p>
            <w:pPr>
              <w:spacing w:line="360" w:lineRule="auto"/>
              <w:ind w:firstLine="482"/>
              <w:rPr>
                <w:color w:val="auto"/>
                <w:sz w:val="24"/>
                <w:highlight w:val="none"/>
              </w:rPr>
            </w:pPr>
            <w:r>
              <w:rPr>
                <w:rFonts w:hint="eastAsia"/>
                <w:color w:val="auto"/>
                <w:sz w:val="24"/>
                <w:highlight w:val="none"/>
              </w:rPr>
              <w:t>由于厂区道路抑尘用水最终会蒸发，因此该过程无废水产生，故</w:t>
            </w:r>
            <w:r>
              <w:rPr>
                <w:color w:val="auto"/>
                <w:sz w:val="24"/>
                <w:highlight w:val="none"/>
              </w:rPr>
              <w:t>项目运营期废水主要包括</w:t>
            </w:r>
            <w:r>
              <w:rPr>
                <w:rFonts w:hint="eastAsia"/>
                <w:color w:val="auto"/>
                <w:sz w:val="24"/>
                <w:highlight w:val="none"/>
              </w:rPr>
              <w:t>洗</w:t>
            </w:r>
            <w:r>
              <w:rPr>
                <w:rFonts w:hint="eastAsia" w:hAnsi="宋体"/>
                <w:color w:val="auto"/>
                <w:sz w:val="24"/>
                <w:highlight w:val="none"/>
                <w:lang w:eastAsia="zh-CN"/>
              </w:rPr>
              <w:t>砂</w:t>
            </w:r>
            <w:r>
              <w:rPr>
                <w:rFonts w:hint="eastAsia"/>
                <w:color w:val="auto"/>
                <w:sz w:val="24"/>
                <w:highlight w:val="none"/>
              </w:rPr>
              <w:t>及脱水工序废水、车辆冲洗废水</w:t>
            </w:r>
            <w:r>
              <w:rPr>
                <w:color w:val="auto"/>
                <w:sz w:val="24"/>
                <w:highlight w:val="none"/>
              </w:rPr>
              <w:t>和生活污水。</w:t>
            </w:r>
            <w:r>
              <w:rPr>
                <w:rFonts w:hint="eastAsia"/>
                <w:color w:val="auto"/>
                <w:sz w:val="24"/>
                <w:highlight w:val="none"/>
              </w:rPr>
              <w:t>具体分析如下：</w:t>
            </w:r>
          </w:p>
          <w:p>
            <w:pPr>
              <w:pStyle w:val="42"/>
              <w:spacing w:line="360" w:lineRule="auto"/>
              <w:ind w:firstLine="480" w:firstLineChars="200"/>
              <w:rPr>
                <w:rFonts w:ascii="Times New Roman" w:cs="Times New Roman"/>
                <w:color w:val="auto"/>
                <w:highlight w:val="none"/>
              </w:rPr>
            </w:pPr>
            <w:r>
              <w:rPr>
                <w:rFonts w:ascii="Times New Roman" w:cs="Times New Roman"/>
                <w:color w:val="auto"/>
                <w:highlight w:val="none"/>
              </w:rPr>
              <w:t>1、</w:t>
            </w:r>
            <w:r>
              <w:rPr>
                <w:rFonts w:hint="eastAsia" w:ascii="Times New Roman" w:cs="Times New Roman"/>
                <w:color w:val="auto"/>
                <w:highlight w:val="none"/>
              </w:rPr>
              <w:t>洗</w:t>
            </w:r>
            <w:r>
              <w:rPr>
                <w:rFonts w:hint="eastAsia" w:hAnsi="宋体"/>
                <w:color w:val="auto"/>
                <w:sz w:val="24"/>
                <w:highlight w:val="none"/>
                <w:lang w:eastAsia="zh-CN"/>
              </w:rPr>
              <w:t>砂</w:t>
            </w:r>
            <w:r>
              <w:rPr>
                <w:rFonts w:hint="eastAsia" w:ascii="Times New Roman" w:cs="Times New Roman"/>
                <w:color w:val="auto"/>
                <w:highlight w:val="none"/>
              </w:rPr>
              <w:t>及脱水工序废水</w:t>
            </w:r>
          </w:p>
          <w:p>
            <w:pPr>
              <w:spacing w:line="360" w:lineRule="auto"/>
              <w:ind w:firstLine="482"/>
              <w:rPr>
                <w:color w:val="auto"/>
                <w:sz w:val="24"/>
                <w:highlight w:val="none"/>
              </w:rPr>
            </w:pPr>
            <w:r>
              <w:rPr>
                <w:rFonts w:hint="eastAsia"/>
                <w:color w:val="auto"/>
                <w:sz w:val="24"/>
                <w:highlight w:val="none"/>
              </w:rPr>
              <w:t>根据水平衡计算可知：洗</w:t>
            </w:r>
            <w:r>
              <w:rPr>
                <w:rFonts w:hint="eastAsia" w:hAnsi="宋体"/>
                <w:color w:val="auto"/>
                <w:sz w:val="24"/>
                <w:highlight w:val="none"/>
                <w:lang w:eastAsia="zh-CN"/>
              </w:rPr>
              <w:t>砂</w:t>
            </w:r>
            <w:r>
              <w:rPr>
                <w:rFonts w:hint="eastAsia"/>
                <w:color w:val="auto"/>
                <w:sz w:val="24"/>
                <w:highlight w:val="none"/>
              </w:rPr>
              <w:t>及脱水工序废水产生量为765m</w:t>
            </w:r>
            <w:r>
              <w:rPr>
                <w:rFonts w:hint="eastAsia"/>
                <w:color w:val="auto"/>
                <w:sz w:val="24"/>
                <w:highlight w:val="none"/>
                <w:vertAlign w:val="superscript"/>
              </w:rPr>
              <w:t>3</w:t>
            </w:r>
            <w:r>
              <w:rPr>
                <w:rFonts w:hint="eastAsia"/>
                <w:color w:val="auto"/>
                <w:sz w:val="24"/>
                <w:highlight w:val="none"/>
              </w:rPr>
              <w:t>/d。</w:t>
            </w:r>
          </w:p>
          <w:p>
            <w:pPr>
              <w:spacing w:line="360" w:lineRule="auto"/>
              <w:ind w:firstLine="482"/>
              <w:rPr>
                <w:b/>
                <w:bCs/>
                <w:color w:val="auto"/>
                <w:sz w:val="24"/>
                <w:highlight w:val="none"/>
              </w:rPr>
            </w:pPr>
            <w:r>
              <w:rPr>
                <w:rFonts w:hint="eastAsia"/>
                <w:b/>
                <w:bCs/>
                <w:color w:val="auto"/>
                <w:sz w:val="24"/>
                <w:highlight w:val="none"/>
              </w:rPr>
              <w:t>治理措施：</w:t>
            </w:r>
            <w:r>
              <w:rPr>
                <w:color w:val="auto"/>
                <w:sz w:val="24"/>
                <w:highlight w:val="none"/>
              </w:rPr>
              <w:t>生产废水经</w:t>
            </w:r>
            <w:r>
              <w:rPr>
                <w:rFonts w:hint="eastAsia"/>
                <w:color w:val="auto"/>
                <w:sz w:val="24"/>
                <w:highlight w:val="none"/>
              </w:rPr>
              <w:t>絮凝沉淀处理后</w:t>
            </w:r>
            <w:r>
              <w:rPr>
                <w:color w:val="auto"/>
                <w:sz w:val="24"/>
                <w:highlight w:val="none"/>
              </w:rPr>
              <w:t>回用。</w:t>
            </w:r>
          </w:p>
          <w:p>
            <w:pPr>
              <w:pStyle w:val="43"/>
              <w:ind w:firstLine="482"/>
              <w:rPr>
                <w:b/>
                <w:bCs/>
                <w:color w:val="auto"/>
                <w:highlight w:val="none"/>
              </w:rPr>
            </w:pPr>
            <w:r>
              <w:rPr>
                <w:b/>
                <w:bCs/>
                <w:color w:val="auto"/>
                <w:highlight w:val="none"/>
              </w:rPr>
              <w:t>可行性分析</w:t>
            </w:r>
          </w:p>
          <w:p>
            <w:pPr>
              <w:pStyle w:val="43"/>
              <w:rPr>
                <w:rFonts w:ascii="Times New Roman" w:hAnsi="Times New Roman"/>
                <w:color w:val="auto"/>
                <w:highlight w:val="none"/>
              </w:rPr>
            </w:pPr>
            <w:r>
              <w:rPr>
                <w:rFonts w:hint="eastAsia" w:ascii="宋体" w:hAnsi="宋体"/>
                <w:color w:val="auto"/>
                <w:highlight w:val="none"/>
              </w:rPr>
              <w:t>①</w:t>
            </w:r>
            <w:r>
              <w:rPr>
                <w:rFonts w:hint="eastAsia" w:ascii="Times New Roman" w:hAnsi="Times New Roman"/>
                <w:color w:val="auto"/>
                <w:highlight w:val="none"/>
              </w:rPr>
              <w:t>水量方面</w:t>
            </w:r>
          </w:p>
          <w:p>
            <w:pPr>
              <w:pStyle w:val="43"/>
              <w:rPr>
                <w:color w:val="auto"/>
                <w:highlight w:val="none"/>
              </w:rPr>
            </w:pPr>
            <w:r>
              <w:rPr>
                <w:rFonts w:ascii="Times New Roman" w:hAnsi="Times New Roman"/>
                <w:color w:val="auto"/>
                <w:highlight w:val="none"/>
              </w:rPr>
              <w:t>废水</w:t>
            </w:r>
            <w:r>
              <w:rPr>
                <w:rFonts w:hint="eastAsia" w:ascii="Times New Roman" w:hAnsi="Times New Roman"/>
                <w:color w:val="auto"/>
                <w:highlight w:val="none"/>
              </w:rPr>
              <w:t>采用“絮凝沉淀”</w:t>
            </w:r>
            <w:r>
              <w:rPr>
                <w:rFonts w:ascii="Times New Roman" w:hAnsi="Times New Roman"/>
                <w:color w:val="auto"/>
                <w:highlight w:val="none"/>
              </w:rPr>
              <w:t>处理</w:t>
            </w:r>
            <w:r>
              <w:rPr>
                <w:rFonts w:hint="eastAsia" w:ascii="Times New Roman" w:hAnsi="Times New Roman"/>
                <w:color w:val="auto"/>
                <w:highlight w:val="none"/>
              </w:rPr>
              <w:t>，</w:t>
            </w:r>
            <w:r>
              <w:rPr>
                <w:rFonts w:ascii="Times New Roman" w:hAnsi="Times New Roman"/>
                <w:color w:val="auto"/>
                <w:highlight w:val="none"/>
              </w:rPr>
              <w:t>过程中</w:t>
            </w:r>
            <w:r>
              <w:rPr>
                <w:rFonts w:hint="eastAsia" w:ascii="Times New Roman" w:hAnsi="Times New Roman"/>
                <w:color w:val="auto"/>
                <w:highlight w:val="none"/>
              </w:rPr>
              <w:t>投加絮凝剂，从而</w:t>
            </w:r>
            <w:r>
              <w:rPr>
                <w:rFonts w:hint="eastAsia"/>
                <w:color w:val="auto"/>
                <w:highlight w:val="none"/>
              </w:rPr>
              <w:t>加速废水中悬浮颗粒的沉降速度，使废水中的泥土与水发生分离，搭配压滤机进行压滤，产生的泥饼暂存于页岩砖生产线配套原料库，废水则经清水池暂存后及时返回生产工序。</w:t>
            </w:r>
          </w:p>
          <w:p>
            <w:pPr>
              <w:pStyle w:val="43"/>
              <w:rPr>
                <w:rFonts w:ascii="Times New Roman" w:hAnsi="Times New Roman"/>
                <w:color w:val="auto"/>
                <w:highlight w:val="none"/>
              </w:rPr>
            </w:pPr>
            <w:r>
              <w:rPr>
                <w:rFonts w:ascii="Times New Roman" w:hAnsi="Times New Roman"/>
                <w:color w:val="auto"/>
                <w:szCs w:val="24"/>
                <w:highlight w:val="none"/>
              </w:rPr>
              <w:t>根据</w:t>
            </w:r>
            <w:r>
              <w:rPr>
                <w:rFonts w:hint="eastAsia" w:ascii="Times New Roman" w:hAnsi="Times New Roman"/>
                <w:color w:val="auto"/>
                <w:szCs w:val="24"/>
                <w:highlight w:val="none"/>
              </w:rPr>
              <w:t>建设单位介绍</w:t>
            </w:r>
            <w:r>
              <w:rPr>
                <w:rFonts w:ascii="Times New Roman" w:hAnsi="Times New Roman"/>
                <w:color w:val="auto"/>
                <w:szCs w:val="24"/>
                <w:highlight w:val="none"/>
              </w:rPr>
              <w:t>，本项目</w:t>
            </w:r>
            <w:r>
              <w:rPr>
                <w:rFonts w:hint="eastAsia" w:ascii="Times New Roman" w:hAnsi="Times New Roman"/>
                <w:color w:val="auto"/>
                <w:szCs w:val="24"/>
                <w:highlight w:val="none"/>
              </w:rPr>
              <w:t>污水罐</w:t>
            </w:r>
            <w:r>
              <w:rPr>
                <w:rFonts w:ascii="Times New Roman" w:hAnsi="Times New Roman"/>
                <w:color w:val="auto"/>
                <w:szCs w:val="24"/>
                <w:highlight w:val="none"/>
              </w:rPr>
              <w:t>废水最小处理能力约</w:t>
            </w:r>
            <w:r>
              <w:rPr>
                <w:rFonts w:ascii="Times New Roman" w:hAnsi="Times New Roman"/>
                <w:color w:val="auto"/>
                <w:highlight w:val="none"/>
              </w:rPr>
              <w:t>1</w:t>
            </w:r>
            <w:r>
              <w:rPr>
                <w:rFonts w:hint="eastAsia" w:ascii="Times New Roman" w:hAnsi="Times New Roman"/>
                <w:color w:val="auto"/>
                <w:highlight w:val="none"/>
              </w:rPr>
              <w:t>20</w:t>
            </w:r>
            <w:r>
              <w:rPr>
                <w:rFonts w:ascii="Times New Roman" w:hAnsi="Times New Roman"/>
                <w:color w:val="auto"/>
                <w:highlight w:val="none"/>
              </w:rPr>
              <w:t>m</w:t>
            </w:r>
            <w:r>
              <w:rPr>
                <w:rFonts w:ascii="Times New Roman" w:hAnsi="Times New Roman"/>
                <w:color w:val="auto"/>
                <w:highlight w:val="none"/>
                <w:vertAlign w:val="superscript"/>
              </w:rPr>
              <w:t>3</w:t>
            </w:r>
            <w:r>
              <w:rPr>
                <w:rFonts w:ascii="Times New Roman" w:hAnsi="Times New Roman"/>
                <w:color w:val="auto"/>
                <w:highlight w:val="none"/>
              </w:rPr>
              <w:t>/h</w:t>
            </w:r>
            <w:r>
              <w:rPr>
                <w:rFonts w:hint="eastAsia" w:ascii="Times New Roman" w:hAnsi="Times New Roman"/>
                <w:color w:val="auto"/>
                <w:highlight w:val="none"/>
              </w:rPr>
              <w:t>，大于本项目生产废水产生量95.62</w:t>
            </w:r>
            <w:r>
              <w:rPr>
                <w:rFonts w:ascii="Times New Roman" w:hAnsi="Times New Roman"/>
                <w:color w:val="auto"/>
                <w:kern w:val="0"/>
                <w:highlight w:val="none"/>
              </w:rPr>
              <w:t>m</w:t>
            </w:r>
            <w:r>
              <w:rPr>
                <w:rFonts w:ascii="Times New Roman" w:hAnsi="Times New Roman"/>
                <w:color w:val="auto"/>
                <w:kern w:val="0"/>
                <w:highlight w:val="none"/>
                <w:vertAlign w:val="superscript"/>
              </w:rPr>
              <w:t>3</w:t>
            </w:r>
            <w:r>
              <w:rPr>
                <w:rFonts w:hint="eastAsia" w:ascii="Times New Roman" w:hAnsi="Times New Roman"/>
                <w:color w:val="auto"/>
                <w:kern w:val="0"/>
                <w:highlight w:val="none"/>
              </w:rPr>
              <w:t>/h，</w:t>
            </w:r>
            <w:r>
              <w:rPr>
                <w:rFonts w:hint="eastAsia" w:ascii="Times New Roman" w:hAnsi="Times New Roman"/>
                <w:color w:val="auto"/>
                <w:kern w:val="0"/>
                <w:highlight w:val="none"/>
                <w:lang w:eastAsia="zh-CN"/>
              </w:rPr>
              <w:t>且絮凝沉淀时间约</w:t>
            </w:r>
            <w:r>
              <w:rPr>
                <w:rFonts w:hint="eastAsia" w:ascii="Times New Roman" w:hAnsi="Times New Roman"/>
                <w:color w:val="auto"/>
                <w:kern w:val="0"/>
                <w:highlight w:val="none"/>
                <w:lang w:val="en-US" w:eastAsia="zh-CN"/>
              </w:rPr>
              <w:t>1h，</w:t>
            </w:r>
            <w:r>
              <w:rPr>
                <w:rFonts w:hint="eastAsia" w:ascii="Times New Roman" w:hAnsi="Times New Roman"/>
                <w:color w:val="auto"/>
                <w:kern w:val="0"/>
                <w:highlight w:val="none"/>
              </w:rPr>
              <w:t>因此污水罐容积设置（100m</w:t>
            </w:r>
            <w:r>
              <w:rPr>
                <w:rFonts w:hint="eastAsia" w:ascii="Times New Roman" w:hAnsi="Times New Roman"/>
                <w:color w:val="auto"/>
                <w:kern w:val="0"/>
                <w:highlight w:val="none"/>
                <w:vertAlign w:val="superscript"/>
              </w:rPr>
              <w:t>3</w:t>
            </w:r>
            <w:r>
              <w:rPr>
                <w:rFonts w:hint="eastAsia" w:ascii="Times New Roman" w:hAnsi="Times New Roman"/>
                <w:color w:val="auto"/>
                <w:kern w:val="0"/>
                <w:highlight w:val="none"/>
              </w:rPr>
              <w:t>）满足废水处理要求。此外，根据水平衡可知，进入清水池的水量约为71.72m</w:t>
            </w:r>
            <w:r>
              <w:rPr>
                <w:rFonts w:hint="eastAsia" w:ascii="Times New Roman" w:hAnsi="Times New Roman"/>
                <w:color w:val="auto"/>
                <w:kern w:val="0"/>
                <w:highlight w:val="none"/>
                <w:vertAlign w:val="superscript"/>
              </w:rPr>
              <w:t>3</w:t>
            </w:r>
            <w:r>
              <w:rPr>
                <w:rFonts w:hint="eastAsia" w:ascii="Times New Roman" w:hAnsi="Times New Roman"/>
                <w:color w:val="auto"/>
                <w:kern w:val="0"/>
                <w:highlight w:val="none"/>
              </w:rPr>
              <w:t>，且停留时间较短，因此清水池容积设置</w:t>
            </w:r>
            <w:r>
              <w:rPr>
                <w:rFonts w:hint="eastAsia" w:ascii="Times New Roman" w:hAnsi="Times New Roman"/>
                <w:color w:val="auto"/>
                <w:highlight w:val="none"/>
              </w:rPr>
              <w:t>（120m</w:t>
            </w:r>
            <w:r>
              <w:rPr>
                <w:rFonts w:hint="eastAsia" w:ascii="Times New Roman" w:hAnsi="Times New Roman"/>
                <w:color w:val="auto"/>
                <w:highlight w:val="none"/>
                <w:vertAlign w:val="superscript"/>
              </w:rPr>
              <w:t>3</w:t>
            </w:r>
            <w:r>
              <w:rPr>
                <w:rFonts w:hint="eastAsia" w:ascii="Times New Roman" w:hAnsi="Times New Roman"/>
                <w:color w:val="auto"/>
                <w:highlight w:val="none"/>
              </w:rPr>
              <w:t>）</w:t>
            </w:r>
            <w:r>
              <w:rPr>
                <w:rFonts w:hint="eastAsia" w:ascii="Times New Roman" w:hAnsi="Times New Roman"/>
                <w:color w:val="auto"/>
                <w:kern w:val="0"/>
                <w:highlight w:val="none"/>
              </w:rPr>
              <w:t>可满足要求。</w:t>
            </w:r>
          </w:p>
          <w:p>
            <w:pPr>
              <w:pStyle w:val="43"/>
              <w:rPr>
                <w:rFonts w:ascii="Times New Roman" w:hAnsi="Times New Roman"/>
                <w:color w:val="auto"/>
                <w:highlight w:val="none"/>
              </w:rPr>
            </w:pPr>
            <w:r>
              <w:rPr>
                <w:rFonts w:hint="eastAsia" w:ascii="宋体" w:hAnsi="宋体"/>
                <w:color w:val="auto"/>
                <w:highlight w:val="none"/>
              </w:rPr>
              <w:t>②</w:t>
            </w:r>
            <w:r>
              <w:rPr>
                <w:rFonts w:hint="eastAsia" w:ascii="Times New Roman" w:hAnsi="Times New Roman"/>
                <w:color w:val="auto"/>
                <w:highlight w:val="none"/>
              </w:rPr>
              <w:t>水质方面</w:t>
            </w:r>
          </w:p>
          <w:p>
            <w:pPr>
              <w:pStyle w:val="43"/>
              <w:rPr>
                <w:bCs/>
                <w:color w:val="auto"/>
                <w:highlight w:val="none"/>
              </w:rPr>
            </w:pPr>
            <w:r>
              <w:rPr>
                <w:rFonts w:hint="eastAsia" w:ascii="Times New Roman" w:hAnsi="Times New Roman"/>
                <w:color w:val="auto"/>
                <w:highlight w:val="none"/>
              </w:rPr>
              <w:t>项目生产废水主要污染物为悬浮物，建设单位拟采用“絮凝沉淀”</w:t>
            </w:r>
            <w:r>
              <w:rPr>
                <w:rFonts w:ascii="Times New Roman" w:hAnsi="Times New Roman"/>
                <w:color w:val="auto"/>
                <w:highlight w:val="none"/>
              </w:rPr>
              <w:t>处理措施</w:t>
            </w:r>
            <w:r>
              <w:rPr>
                <w:rFonts w:hint="eastAsia" w:ascii="Times New Roman" w:hAnsi="Times New Roman"/>
                <w:color w:val="auto"/>
                <w:highlight w:val="none"/>
              </w:rPr>
              <w:t>，该措施为同类企业常用的处理设施，可有效去除废水中的悬浮物，</w:t>
            </w:r>
            <w:r>
              <w:rPr>
                <w:rFonts w:ascii="Times New Roman" w:hAnsi="Times New Roman"/>
                <w:color w:val="auto"/>
                <w:highlight w:val="none"/>
              </w:rPr>
              <w:t>同时</w:t>
            </w:r>
            <w:r>
              <w:rPr>
                <w:rFonts w:hint="eastAsia" w:ascii="Times New Roman" w:hAnsi="Times New Roman"/>
                <w:color w:val="auto"/>
                <w:highlight w:val="none"/>
              </w:rPr>
              <w:t>本项目</w:t>
            </w:r>
            <w:r>
              <w:rPr>
                <w:rFonts w:ascii="Times New Roman" w:hAnsi="Times New Roman"/>
                <w:color w:val="auto"/>
                <w:highlight w:val="none"/>
              </w:rPr>
              <w:t>对回用水</w:t>
            </w:r>
            <w:r>
              <w:rPr>
                <w:rFonts w:hint="eastAsia" w:ascii="Times New Roman" w:hAnsi="Times New Roman"/>
                <w:color w:val="auto"/>
                <w:highlight w:val="none"/>
              </w:rPr>
              <w:t>水质</w:t>
            </w:r>
            <w:r>
              <w:rPr>
                <w:rFonts w:ascii="Times New Roman" w:hAnsi="Times New Roman"/>
                <w:color w:val="auto"/>
                <w:highlight w:val="none"/>
              </w:rPr>
              <w:t>要求不高，</w:t>
            </w:r>
            <w:r>
              <w:rPr>
                <w:rFonts w:hint="eastAsia" w:ascii="Times New Roman" w:hAnsi="Times New Roman"/>
                <w:color w:val="auto"/>
                <w:highlight w:val="none"/>
              </w:rPr>
              <w:t>故</w:t>
            </w:r>
            <w:r>
              <w:rPr>
                <w:rFonts w:ascii="Times New Roman" w:hAnsi="Times New Roman"/>
                <w:color w:val="auto"/>
                <w:highlight w:val="none"/>
              </w:rPr>
              <w:t>回用可行。</w:t>
            </w:r>
          </w:p>
          <w:p>
            <w:pPr>
              <w:pStyle w:val="2"/>
              <w:spacing w:line="360" w:lineRule="auto"/>
              <w:ind w:firstLine="480" w:firstLineChars="200"/>
              <w:rPr>
                <w:color w:val="auto"/>
                <w:sz w:val="24"/>
                <w:highlight w:val="none"/>
              </w:rPr>
            </w:pPr>
            <w:r>
              <w:rPr>
                <w:rFonts w:hint="eastAsia" w:ascii="宋体" w:hAnsi="宋体" w:eastAsia="宋体" w:cs="宋体"/>
                <w:bCs/>
                <w:color w:val="auto"/>
                <w:sz w:val="24"/>
                <w:highlight w:val="none"/>
              </w:rPr>
              <w:t>综上，本项目生产废水处理措施可行。</w:t>
            </w:r>
          </w:p>
          <w:p>
            <w:pPr>
              <w:adjustRightIn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车辆</w:t>
            </w:r>
            <w:r>
              <w:rPr>
                <w:rFonts w:hint="eastAsia"/>
                <w:color w:val="auto"/>
                <w:sz w:val="24"/>
                <w:highlight w:val="none"/>
              </w:rPr>
              <w:t>冲洗</w:t>
            </w:r>
            <w:r>
              <w:rPr>
                <w:color w:val="auto"/>
                <w:sz w:val="24"/>
                <w:highlight w:val="none"/>
              </w:rPr>
              <w:t>废水</w:t>
            </w:r>
          </w:p>
          <w:p>
            <w:pPr>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根据前文水平衡计算可知，车辆冲洗废水产生量为</w:t>
            </w:r>
            <w:r>
              <w:rPr>
                <w:rFonts w:hint="eastAsia"/>
                <w:color w:val="auto"/>
                <w:kern w:val="0"/>
                <w:sz w:val="24"/>
                <w:highlight w:val="none"/>
              </w:rPr>
              <w:t>3.45</w:t>
            </w:r>
            <w:r>
              <w:rPr>
                <w:color w:val="auto"/>
                <w:kern w:val="0"/>
                <w:sz w:val="24"/>
                <w:highlight w:val="none"/>
              </w:rPr>
              <w:t>m</w:t>
            </w:r>
            <w:r>
              <w:rPr>
                <w:color w:val="auto"/>
                <w:kern w:val="0"/>
                <w:sz w:val="24"/>
                <w:highlight w:val="none"/>
                <w:vertAlign w:val="superscript"/>
              </w:rPr>
              <w:t>3</w:t>
            </w:r>
            <w:r>
              <w:rPr>
                <w:color w:val="auto"/>
                <w:kern w:val="0"/>
                <w:sz w:val="24"/>
                <w:highlight w:val="none"/>
              </w:rPr>
              <w:t>/d</w:t>
            </w:r>
            <w:r>
              <w:rPr>
                <w:rFonts w:hint="eastAsia" w:ascii="宋体" w:hAnsi="宋体" w:cs="宋体"/>
                <w:color w:val="auto"/>
                <w:kern w:val="0"/>
                <w:sz w:val="24"/>
                <w:highlight w:val="none"/>
              </w:rPr>
              <w:t>。</w:t>
            </w:r>
          </w:p>
          <w:p>
            <w:pPr>
              <w:spacing w:line="360" w:lineRule="auto"/>
              <w:ind w:firstLine="482"/>
              <w:rPr>
                <w:rFonts w:eastAsia="新宋体"/>
                <w:b/>
                <w:bCs/>
                <w:color w:val="auto"/>
                <w:sz w:val="24"/>
                <w:szCs w:val="20"/>
                <w:highlight w:val="none"/>
              </w:rPr>
            </w:pPr>
            <w:r>
              <w:rPr>
                <w:rFonts w:hint="eastAsia" w:ascii="宋体" w:hAnsi="宋体" w:cs="宋体"/>
                <w:b/>
                <w:bCs/>
                <w:color w:val="auto"/>
                <w:kern w:val="0"/>
                <w:sz w:val="24"/>
                <w:highlight w:val="none"/>
              </w:rPr>
              <w:t>治理措施：</w:t>
            </w:r>
            <w:r>
              <w:rPr>
                <w:color w:val="auto"/>
                <w:kern w:val="0"/>
                <w:sz w:val="24"/>
                <w:highlight w:val="none"/>
              </w:rPr>
              <w:t>厂区内已配备专用沉淀池（45</w:t>
            </w:r>
            <w:r>
              <w:rPr>
                <w:color w:val="auto"/>
                <w:sz w:val="24"/>
                <w:highlight w:val="none"/>
              </w:rPr>
              <w:t>m</w:t>
            </w:r>
            <w:r>
              <w:rPr>
                <w:color w:val="auto"/>
                <w:sz w:val="24"/>
                <w:highlight w:val="none"/>
                <w:vertAlign w:val="superscript"/>
              </w:rPr>
              <w:t>3</w:t>
            </w:r>
            <w:r>
              <w:rPr>
                <w:color w:val="auto"/>
                <w:kern w:val="0"/>
                <w:sz w:val="24"/>
                <w:highlight w:val="none"/>
              </w:rPr>
              <w:t>）一个</w:t>
            </w:r>
            <w:r>
              <w:rPr>
                <w:color w:val="auto"/>
                <w:sz w:val="24"/>
                <w:highlight w:val="none"/>
              </w:rPr>
              <w:t>，车辆冲洗废水经沉淀池处理后回用。</w:t>
            </w:r>
          </w:p>
          <w:p>
            <w:pPr>
              <w:adjustRightInd w:val="0"/>
              <w:snapToGrid w:val="0"/>
              <w:spacing w:line="360" w:lineRule="auto"/>
              <w:ind w:firstLine="482" w:firstLineChars="200"/>
              <w:rPr>
                <w:color w:val="auto"/>
                <w:sz w:val="24"/>
                <w:szCs w:val="20"/>
                <w:highlight w:val="none"/>
              </w:rPr>
            </w:pPr>
            <w:r>
              <w:rPr>
                <w:rFonts w:hint="eastAsia"/>
                <w:b/>
                <w:bCs/>
                <w:color w:val="auto"/>
                <w:sz w:val="24"/>
                <w:highlight w:val="none"/>
              </w:rPr>
              <w:t>可行性分析</w:t>
            </w:r>
            <w:r>
              <w:rPr>
                <w:b/>
                <w:bCs/>
                <w:color w:val="auto"/>
                <w:sz w:val="24"/>
                <w:highlight w:val="none"/>
              </w:rPr>
              <w:t>：</w:t>
            </w:r>
            <w:r>
              <w:rPr>
                <w:rFonts w:hint="eastAsia"/>
                <w:color w:val="auto"/>
                <w:sz w:val="24"/>
                <w:highlight w:val="none"/>
              </w:rPr>
              <w:t>经现场调查，目前现有车辆冲洗专用沉淀池尚有约50%（22.5</w:t>
            </w:r>
            <w:r>
              <w:rPr>
                <w:color w:val="auto"/>
                <w:sz w:val="24"/>
                <w:highlight w:val="none"/>
              </w:rPr>
              <w:t>m</w:t>
            </w:r>
            <w:r>
              <w:rPr>
                <w:color w:val="auto"/>
                <w:sz w:val="24"/>
                <w:highlight w:val="none"/>
                <w:vertAlign w:val="superscript"/>
              </w:rPr>
              <w:t>3</w:t>
            </w:r>
            <w:r>
              <w:rPr>
                <w:rFonts w:hint="eastAsia"/>
                <w:color w:val="auto"/>
                <w:sz w:val="24"/>
                <w:highlight w:val="none"/>
              </w:rPr>
              <w:t>）的剩余容积，故新增冲洗废水可被沉淀处理。此外，车辆冲洗用水对水质要求不高，</w:t>
            </w:r>
            <w:r>
              <w:rPr>
                <w:color w:val="auto"/>
                <w:sz w:val="24"/>
                <w:highlight w:val="none"/>
              </w:rPr>
              <w:t>废水经沉淀池处理后回用，该措施可行。</w:t>
            </w:r>
          </w:p>
          <w:p>
            <w:pPr>
              <w:adjustRightInd w:val="0"/>
              <w:snapToGrid w:val="0"/>
              <w:spacing w:line="360" w:lineRule="auto"/>
              <w:ind w:firstLine="480" w:firstLineChars="200"/>
              <w:rPr>
                <w:color w:val="auto"/>
                <w:kern w:val="0"/>
                <w:sz w:val="24"/>
                <w:highlight w:val="none"/>
              </w:rPr>
            </w:pPr>
            <w:r>
              <w:rPr>
                <w:rFonts w:hint="eastAsia" w:eastAsia="新宋体"/>
                <w:color w:val="auto"/>
                <w:sz w:val="24"/>
                <w:szCs w:val="20"/>
                <w:highlight w:val="none"/>
              </w:rPr>
              <w:t>3、生活污水</w:t>
            </w:r>
          </w:p>
          <w:p>
            <w:pPr>
              <w:spacing w:line="360" w:lineRule="auto"/>
              <w:ind w:firstLine="482"/>
              <w:rPr>
                <w:color w:val="auto"/>
                <w:sz w:val="24"/>
                <w:highlight w:val="none"/>
              </w:rPr>
            </w:pPr>
            <w:r>
              <w:rPr>
                <w:rFonts w:hint="eastAsia"/>
                <w:color w:val="auto"/>
                <w:sz w:val="24"/>
                <w:highlight w:val="none"/>
              </w:rPr>
              <w:t>根据前文水平衡计算可知：本次扩建新增</w:t>
            </w:r>
            <w:r>
              <w:rPr>
                <w:color w:val="auto"/>
                <w:sz w:val="24"/>
                <w:highlight w:val="none"/>
              </w:rPr>
              <w:t>生活污水</w:t>
            </w:r>
            <w:r>
              <w:rPr>
                <w:rFonts w:hint="eastAsia"/>
                <w:color w:val="auto"/>
                <w:sz w:val="24"/>
                <w:highlight w:val="none"/>
              </w:rPr>
              <w:t>量为0.144</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w:t>
            </w:r>
            <w:r>
              <w:rPr>
                <w:color w:val="auto"/>
                <w:sz w:val="24"/>
                <w:highlight w:val="none"/>
              </w:rPr>
              <w:t>主要污染物为COD、氨氮等。</w:t>
            </w:r>
          </w:p>
          <w:p>
            <w:pPr>
              <w:spacing w:line="360" w:lineRule="auto"/>
              <w:ind w:firstLine="482"/>
              <w:rPr>
                <w:rFonts w:ascii="宋体" w:hAnsi="宋体" w:cs="宋体"/>
                <w:color w:val="auto"/>
                <w:kern w:val="0"/>
                <w:sz w:val="24"/>
                <w:highlight w:val="none"/>
              </w:rPr>
            </w:pPr>
            <w:r>
              <w:rPr>
                <w:rFonts w:hint="eastAsia" w:ascii="宋体" w:hAnsi="宋体" w:cs="宋体"/>
                <w:b/>
                <w:bCs/>
                <w:color w:val="auto"/>
                <w:kern w:val="0"/>
                <w:sz w:val="24"/>
                <w:highlight w:val="none"/>
              </w:rPr>
              <w:t>治理措施：</w:t>
            </w:r>
            <w:r>
              <w:rPr>
                <w:rFonts w:hint="eastAsia" w:ascii="宋体" w:hAnsi="宋体" w:cs="宋体"/>
                <w:color w:val="auto"/>
                <w:kern w:val="0"/>
                <w:sz w:val="24"/>
                <w:highlight w:val="none"/>
              </w:rPr>
              <w:t>新增生活污水经现有化粪池</w:t>
            </w:r>
            <w:r>
              <w:rPr>
                <w:rFonts w:hint="eastAsia"/>
                <w:color w:val="auto"/>
                <w:sz w:val="24"/>
                <w:highlight w:val="none"/>
              </w:rPr>
              <w:t>（约6.0m</w:t>
            </w:r>
            <w:r>
              <w:rPr>
                <w:rFonts w:hint="eastAsia"/>
                <w:color w:val="auto"/>
                <w:sz w:val="24"/>
                <w:highlight w:val="none"/>
                <w:vertAlign w:val="superscript"/>
              </w:rPr>
              <w:t>3</w:t>
            </w:r>
            <w:r>
              <w:rPr>
                <w:rFonts w:hint="eastAsia"/>
                <w:color w:val="auto"/>
                <w:sz w:val="24"/>
                <w:highlight w:val="none"/>
              </w:rPr>
              <w:t>）</w:t>
            </w:r>
            <w:r>
              <w:rPr>
                <w:rFonts w:hint="eastAsia" w:ascii="宋体" w:hAnsi="宋体" w:cs="宋体"/>
                <w:color w:val="auto"/>
                <w:kern w:val="0"/>
                <w:sz w:val="24"/>
                <w:highlight w:val="none"/>
              </w:rPr>
              <w:t>处理后用于周边农田施肥。</w:t>
            </w:r>
          </w:p>
          <w:p>
            <w:pPr>
              <w:adjustRightInd w:val="0"/>
              <w:snapToGrid w:val="0"/>
              <w:spacing w:line="360" w:lineRule="auto"/>
              <w:ind w:firstLine="482" w:firstLineChars="200"/>
              <w:rPr>
                <w:bCs/>
                <w:color w:val="auto"/>
                <w:sz w:val="24"/>
                <w:highlight w:val="none"/>
              </w:rPr>
            </w:pPr>
            <w:r>
              <w:rPr>
                <w:rFonts w:hint="eastAsia"/>
                <w:b/>
                <w:bCs/>
                <w:color w:val="auto"/>
                <w:sz w:val="24"/>
                <w:highlight w:val="none"/>
              </w:rPr>
              <w:t>可行性分析</w:t>
            </w:r>
            <w:r>
              <w:rPr>
                <w:b/>
                <w:bCs/>
                <w:color w:val="auto"/>
                <w:sz w:val="24"/>
                <w:highlight w:val="none"/>
              </w:rPr>
              <w:t>：</w:t>
            </w:r>
            <w:r>
              <w:rPr>
                <w:rFonts w:hint="eastAsia"/>
                <w:b w:val="0"/>
                <w:bCs w:val="0"/>
                <w:color w:val="auto"/>
                <w:sz w:val="24"/>
                <w:highlight w:val="none"/>
                <w:lang w:eastAsia="zh-CN"/>
              </w:rPr>
              <w:t>经现场调查及负责人介绍，目前化粪池约有</w:t>
            </w:r>
            <w:r>
              <w:rPr>
                <w:rFonts w:hint="eastAsia"/>
                <w:b w:val="0"/>
                <w:bCs w:val="0"/>
                <w:color w:val="auto"/>
                <w:sz w:val="24"/>
                <w:highlight w:val="none"/>
                <w:lang w:val="en-US" w:eastAsia="zh-CN"/>
              </w:rPr>
              <w:t>30%的余量，即1.8m</w:t>
            </w:r>
            <w:r>
              <w:rPr>
                <w:rFonts w:hint="eastAsia"/>
                <w:b w:val="0"/>
                <w:bCs w:val="0"/>
                <w:color w:val="auto"/>
                <w:sz w:val="24"/>
                <w:highlight w:val="none"/>
                <w:vertAlign w:val="superscript"/>
                <w:lang w:val="en-US" w:eastAsia="zh-CN"/>
              </w:rPr>
              <w:t>3</w:t>
            </w:r>
            <w:r>
              <w:rPr>
                <w:rFonts w:hint="eastAsia"/>
                <w:b w:val="0"/>
                <w:bCs w:val="0"/>
                <w:color w:val="auto"/>
                <w:sz w:val="24"/>
                <w:highlight w:val="none"/>
                <w:vertAlign w:val="baseline"/>
                <w:lang w:val="en-US" w:eastAsia="zh-CN"/>
              </w:rPr>
              <w:t>，故足以满足新增生活污水的暂存及处理。</w:t>
            </w:r>
            <w:r>
              <w:rPr>
                <w:b w:val="0"/>
                <w:bCs w:val="0"/>
                <w:color w:val="auto"/>
                <w:sz w:val="24"/>
                <w:highlight w:val="none"/>
              </w:rPr>
              <w:t>化粪池是一</w:t>
            </w:r>
            <w:r>
              <w:rPr>
                <w:bCs/>
                <w:color w:val="auto"/>
                <w:sz w:val="24"/>
                <w:highlight w:val="none"/>
              </w:rPr>
              <w:t>种利用沉淀和厌氧发酵的原理，去除生活污水中悬浮性有机物的处理设施，属于初级的过渡性生活处理构筑物。根据调查项目</w:t>
            </w:r>
            <w:r>
              <w:rPr>
                <w:rFonts w:hint="eastAsia"/>
                <w:bCs/>
                <w:color w:val="auto"/>
                <w:sz w:val="24"/>
                <w:highlight w:val="none"/>
              </w:rPr>
              <w:t>北侧和南侧</w:t>
            </w:r>
            <w:r>
              <w:rPr>
                <w:bCs/>
                <w:color w:val="auto"/>
                <w:sz w:val="24"/>
                <w:highlight w:val="none"/>
              </w:rPr>
              <w:t>500m范围内有</w:t>
            </w:r>
            <w:r>
              <w:rPr>
                <w:rFonts w:hint="eastAsia"/>
                <w:bCs/>
                <w:color w:val="auto"/>
                <w:sz w:val="24"/>
                <w:highlight w:val="none"/>
              </w:rPr>
              <w:t>大量</w:t>
            </w:r>
            <w:r>
              <w:rPr>
                <w:bCs/>
                <w:color w:val="auto"/>
                <w:sz w:val="24"/>
                <w:highlight w:val="none"/>
              </w:rPr>
              <w:t>农地，足以接纳项目所产生的生活污水。</w:t>
            </w:r>
          </w:p>
          <w:p>
            <w:pPr>
              <w:pStyle w:val="2"/>
              <w:spacing w:line="360" w:lineRule="auto"/>
              <w:ind w:left="0" w:leftChars="0"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综上，本项目生活污水处理措施可行。</w:t>
            </w:r>
          </w:p>
          <w:p>
            <w:pPr>
              <w:spacing w:line="360" w:lineRule="auto"/>
              <w:ind w:firstLine="480" w:firstLineChars="200"/>
              <w:rPr>
                <w:rFonts w:ascii="宋体" w:hAnsi="宋体" w:cs="宋体"/>
                <w:bCs/>
                <w:color w:val="auto"/>
                <w:sz w:val="24"/>
                <w:highlight w:val="none"/>
              </w:rPr>
            </w:pPr>
            <w:r>
              <w:rPr>
                <w:rFonts w:hint="eastAsia"/>
                <w:bCs/>
                <w:color w:val="auto"/>
                <w:sz w:val="24"/>
                <w:highlight w:val="none"/>
              </w:rPr>
              <w:t>4</w:t>
            </w:r>
            <w:r>
              <w:rPr>
                <w:bCs/>
                <w:color w:val="auto"/>
                <w:sz w:val="24"/>
                <w:highlight w:val="none"/>
              </w:rPr>
              <w:t>、</w:t>
            </w:r>
            <w:r>
              <w:rPr>
                <w:rFonts w:hint="eastAsia" w:ascii="宋体" w:hAnsi="宋体" w:cs="宋体"/>
                <w:bCs/>
                <w:color w:val="auto"/>
                <w:sz w:val="24"/>
                <w:highlight w:val="none"/>
              </w:rPr>
              <w:t>雨污分流措施</w:t>
            </w:r>
          </w:p>
          <w:p>
            <w:pPr>
              <w:pStyle w:val="9"/>
              <w:spacing w:line="360" w:lineRule="auto"/>
              <w:ind w:left="0" w:leftChars="0" w:firstLine="480"/>
              <w:rPr>
                <w:color w:val="auto"/>
                <w:sz w:val="24"/>
                <w:highlight w:val="none"/>
              </w:rPr>
            </w:pPr>
            <w:r>
              <w:rPr>
                <w:rFonts w:hint="eastAsia"/>
                <w:color w:val="auto"/>
                <w:sz w:val="24"/>
                <w:highlight w:val="none"/>
              </w:rPr>
              <w:t>根据建设单位介绍：项目运营期内采取雨污分流。</w:t>
            </w:r>
          </w:p>
          <w:p>
            <w:pPr>
              <w:pStyle w:val="9"/>
              <w:spacing w:line="360" w:lineRule="auto"/>
              <w:ind w:left="0" w:leftChars="0" w:firstLine="480"/>
              <w:rPr>
                <w:rFonts w:hint="eastAsia"/>
                <w:color w:val="auto"/>
                <w:sz w:val="24"/>
                <w:highlight w:val="none"/>
              </w:rPr>
            </w:pPr>
            <w:r>
              <w:rPr>
                <w:rFonts w:hint="eastAsia" w:ascii="宋体" w:hAnsi="宋体" w:cs="宋体"/>
                <w:color w:val="auto"/>
                <w:sz w:val="24"/>
                <w:highlight w:val="none"/>
              </w:rPr>
              <w:t>①</w:t>
            </w:r>
            <w:r>
              <w:rPr>
                <w:rFonts w:hint="eastAsia"/>
                <w:color w:val="auto"/>
                <w:sz w:val="24"/>
                <w:highlight w:val="none"/>
              </w:rPr>
              <w:t>生产废水经沉淀池处理后回用于生产工序，生活污水经化粪池处理后，用于周边农田施肥。</w:t>
            </w:r>
          </w:p>
          <w:p>
            <w:pPr>
              <w:pStyle w:val="9"/>
              <w:spacing w:line="360" w:lineRule="auto"/>
              <w:ind w:left="0" w:leftChars="0" w:firstLine="480"/>
              <w:rPr>
                <w:color w:val="auto"/>
                <w:sz w:val="24"/>
                <w:highlight w:val="none"/>
              </w:rPr>
            </w:pPr>
            <w:r>
              <w:rPr>
                <w:rFonts w:hint="eastAsia" w:ascii="宋体" w:hAnsi="宋体" w:cs="宋体"/>
                <w:color w:val="auto"/>
                <w:sz w:val="24"/>
                <w:highlight w:val="none"/>
              </w:rPr>
              <w:t>②</w:t>
            </w:r>
            <w:r>
              <w:rPr>
                <w:rFonts w:hint="eastAsia"/>
                <w:color w:val="auto"/>
                <w:sz w:val="24"/>
                <w:highlight w:val="none"/>
              </w:rPr>
              <w:t>建设单位拟在生产车间紧邻一侧设置雨水导流渠，雨水经导流渠流入厂区外雨水渠统一排放。</w:t>
            </w:r>
          </w:p>
          <w:p>
            <w:pPr>
              <w:adjustRightInd w:val="0"/>
              <w:snapToGrid w:val="0"/>
              <w:spacing w:line="360" w:lineRule="auto"/>
              <w:rPr>
                <w:b/>
                <w:color w:val="auto"/>
                <w:kern w:val="0"/>
                <w:sz w:val="24"/>
                <w:highlight w:val="none"/>
              </w:rPr>
            </w:pPr>
            <w:r>
              <w:rPr>
                <w:rFonts w:hint="eastAsia"/>
                <w:b/>
                <w:color w:val="auto"/>
                <w:kern w:val="0"/>
                <w:sz w:val="24"/>
                <w:highlight w:val="none"/>
              </w:rPr>
              <w:t>（</w:t>
            </w:r>
            <w:r>
              <w:rPr>
                <w:b/>
                <w:color w:val="auto"/>
                <w:kern w:val="0"/>
                <w:sz w:val="24"/>
                <w:highlight w:val="none"/>
              </w:rPr>
              <w:t>三</w:t>
            </w:r>
            <w:r>
              <w:rPr>
                <w:rFonts w:hint="eastAsia"/>
                <w:b/>
                <w:color w:val="auto"/>
                <w:kern w:val="0"/>
                <w:sz w:val="24"/>
                <w:highlight w:val="none"/>
              </w:rPr>
              <w:t>）</w:t>
            </w:r>
            <w:r>
              <w:rPr>
                <w:b/>
                <w:color w:val="auto"/>
                <w:kern w:val="0"/>
                <w:sz w:val="24"/>
                <w:highlight w:val="none"/>
              </w:rPr>
              <w:t>噪声环境影响分析</w:t>
            </w:r>
          </w:p>
          <w:p>
            <w:pPr>
              <w:widowControl/>
              <w:spacing w:line="360" w:lineRule="auto"/>
              <w:ind w:firstLine="480" w:firstLineChars="200"/>
              <w:rPr>
                <w:color w:val="auto"/>
                <w:sz w:val="24"/>
                <w:highlight w:val="none"/>
              </w:rPr>
            </w:pPr>
            <w:bookmarkStart w:id="3" w:name="_Ref310166334"/>
            <w:r>
              <w:rPr>
                <w:rFonts w:hint="eastAsia"/>
                <w:color w:val="auto"/>
                <w:sz w:val="24"/>
                <w:highlight w:val="none"/>
              </w:rPr>
              <w:t>1、噪声源强</w:t>
            </w:r>
          </w:p>
          <w:p>
            <w:pPr>
              <w:widowControl/>
              <w:spacing w:line="360" w:lineRule="auto"/>
              <w:ind w:firstLine="480" w:firstLineChars="200"/>
              <w:rPr>
                <w:b/>
                <w:bCs/>
                <w:color w:val="auto"/>
                <w:szCs w:val="21"/>
                <w:highlight w:val="none"/>
              </w:rPr>
            </w:pPr>
            <w:r>
              <w:rPr>
                <w:color w:val="auto"/>
                <w:sz w:val="24"/>
                <w:highlight w:val="none"/>
              </w:rPr>
              <w:t>项目运营期噪声为</w:t>
            </w:r>
            <w:r>
              <w:rPr>
                <w:rFonts w:hint="eastAsia"/>
                <w:color w:val="auto"/>
                <w:sz w:val="24"/>
                <w:highlight w:val="none"/>
              </w:rPr>
              <w:t>分离筛、洗</w:t>
            </w:r>
            <w:r>
              <w:rPr>
                <w:rFonts w:hint="eastAsia" w:hAnsi="宋体"/>
                <w:color w:val="auto"/>
                <w:sz w:val="24"/>
                <w:highlight w:val="none"/>
                <w:lang w:eastAsia="zh-CN"/>
              </w:rPr>
              <w:t>砂</w:t>
            </w:r>
            <w:r>
              <w:rPr>
                <w:rFonts w:hint="eastAsia"/>
                <w:color w:val="auto"/>
                <w:sz w:val="24"/>
                <w:highlight w:val="none"/>
              </w:rPr>
              <w:t>机、脱水筛</w:t>
            </w:r>
            <w:r>
              <w:rPr>
                <w:color w:val="auto"/>
                <w:sz w:val="24"/>
                <w:highlight w:val="none"/>
              </w:rPr>
              <w:t>等设备</w:t>
            </w:r>
            <w:r>
              <w:rPr>
                <w:rFonts w:hint="eastAsia"/>
                <w:color w:val="auto"/>
                <w:sz w:val="24"/>
                <w:highlight w:val="none"/>
              </w:rPr>
              <w:t>及</w:t>
            </w:r>
            <w:r>
              <w:rPr>
                <w:color w:val="auto"/>
                <w:sz w:val="24"/>
                <w:highlight w:val="none"/>
              </w:rPr>
              <w:t>装卸运输过程产生的噪声，</w:t>
            </w:r>
            <w:r>
              <w:rPr>
                <w:rFonts w:hint="eastAsia"/>
                <w:color w:val="auto"/>
                <w:sz w:val="24"/>
                <w:highlight w:val="none"/>
              </w:rPr>
              <w:t>噪声</w:t>
            </w:r>
            <w:r>
              <w:rPr>
                <w:color w:val="auto"/>
                <w:sz w:val="24"/>
                <w:highlight w:val="none"/>
              </w:rPr>
              <w:t>源强</w:t>
            </w:r>
            <w:r>
              <w:rPr>
                <w:rFonts w:hint="eastAsia"/>
                <w:color w:val="auto"/>
                <w:sz w:val="24"/>
                <w:highlight w:val="none"/>
              </w:rPr>
              <w:t>维持在85</w:t>
            </w:r>
            <w:r>
              <w:rPr>
                <w:color w:val="auto"/>
                <w:sz w:val="24"/>
                <w:highlight w:val="none"/>
              </w:rPr>
              <w:t>～</w:t>
            </w:r>
            <w:r>
              <w:rPr>
                <w:rFonts w:hint="eastAsia"/>
                <w:color w:val="auto"/>
                <w:sz w:val="24"/>
                <w:highlight w:val="none"/>
              </w:rPr>
              <w:t xml:space="preserve">90 </w:t>
            </w:r>
            <w:r>
              <w:rPr>
                <w:color w:val="auto"/>
                <w:sz w:val="24"/>
                <w:highlight w:val="none"/>
              </w:rPr>
              <w:t>dB(A)</w:t>
            </w:r>
            <w:r>
              <w:rPr>
                <w:rFonts w:hint="eastAsia"/>
                <w:color w:val="auto"/>
                <w:sz w:val="24"/>
                <w:highlight w:val="none"/>
              </w:rPr>
              <w:t>之间</w:t>
            </w:r>
            <w:r>
              <w:rPr>
                <w:color w:val="auto"/>
                <w:sz w:val="24"/>
                <w:highlight w:val="none"/>
              </w:rPr>
              <w:t>。各主要噪声源、声压级及治理措施具体见表4-</w:t>
            </w:r>
            <w:r>
              <w:rPr>
                <w:rFonts w:hint="eastAsia"/>
                <w:color w:val="auto"/>
                <w:sz w:val="24"/>
                <w:highlight w:val="none"/>
                <w:lang w:val="en-US" w:eastAsia="zh-CN"/>
              </w:rPr>
              <w:t>5</w:t>
            </w:r>
            <w:r>
              <w:rPr>
                <w:rFonts w:hint="eastAsia"/>
                <w:color w:val="auto"/>
                <w:sz w:val="24"/>
                <w:highlight w:val="none"/>
                <w:lang w:eastAsia="zh-CN"/>
              </w:rPr>
              <w:t>。</w:t>
            </w:r>
          </w:p>
          <w:p>
            <w:pPr>
              <w:widowControl/>
              <w:ind w:firstLine="422" w:firstLineChars="200"/>
              <w:jc w:val="center"/>
              <w:rPr>
                <w:b/>
                <w:bCs/>
                <w:color w:val="auto"/>
                <w:szCs w:val="21"/>
                <w:highlight w:val="none"/>
              </w:rPr>
            </w:pPr>
            <w:r>
              <w:rPr>
                <w:rFonts w:hint="eastAsia"/>
                <w:b/>
                <w:bCs/>
                <w:color w:val="auto"/>
                <w:szCs w:val="21"/>
                <w:highlight w:val="none"/>
              </w:rPr>
              <w:t>表</w:t>
            </w:r>
            <w:r>
              <w:rPr>
                <w:b/>
                <w:bCs/>
                <w:color w:val="auto"/>
                <w:szCs w:val="21"/>
                <w:highlight w:val="none"/>
              </w:rPr>
              <w:t>4-</w:t>
            </w:r>
            <w:r>
              <w:rPr>
                <w:rFonts w:hint="eastAsia"/>
                <w:b/>
                <w:bCs/>
                <w:color w:val="auto"/>
                <w:szCs w:val="21"/>
                <w:highlight w:val="none"/>
                <w:lang w:val="en-US" w:eastAsia="zh-CN"/>
              </w:rPr>
              <w:t>5</w:t>
            </w:r>
            <w:r>
              <w:rPr>
                <w:b/>
                <w:bCs/>
                <w:color w:val="auto"/>
                <w:szCs w:val="21"/>
                <w:highlight w:val="none"/>
              </w:rPr>
              <w:t xml:space="preserve">  </w:t>
            </w:r>
            <w:r>
              <w:rPr>
                <w:rFonts w:hint="eastAsia"/>
                <w:b/>
                <w:bCs/>
                <w:color w:val="auto"/>
                <w:szCs w:val="21"/>
                <w:highlight w:val="none"/>
              </w:rPr>
              <w:t>各设备噪声声级一览表   单位：</w:t>
            </w:r>
            <w:r>
              <w:rPr>
                <w:b/>
                <w:bCs/>
                <w:color w:val="auto"/>
                <w:szCs w:val="21"/>
                <w:highlight w:val="none"/>
              </w:rPr>
              <w:t>dB(A)</w:t>
            </w:r>
          </w:p>
          <w:tbl>
            <w:tblPr>
              <w:tblStyle w:val="34"/>
              <w:tblW w:w="839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664"/>
              <w:gridCol w:w="768"/>
              <w:gridCol w:w="1106"/>
              <w:gridCol w:w="1053"/>
              <w:gridCol w:w="1885"/>
              <w:gridCol w:w="12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1" w:type="dxa"/>
                  <w:tcBorders>
                    <w:tl2br w:val="nil"/>
                    <w:tr2bl w:val="nil"/>
                  </w:tcBorders>
                  <w:vAlign w:val="center"/>
                </w:tcPr>
                <w:p>
                  <w:pPr>
                    <w:snapToGrid w:val="0"/>
                    <w:spacing w:beforeLines="30" w:afterLines="30"/>
                    <w:jc w:val="center"/>
                    <w:rPr>
                      <w:color w:val="auto"/>
                      <w:highlight w:val="none"/>
                    </w:rPr>
                  </w:pPr>
                  <w:r>
                    <w:rPr>
                      <w:rFonts w:hint="eastAsia" w:cs="宋体"/>
                      <w:color w:val="auto"/>
                      <w:szCs w:val="21"/>
                      <w:highlight w:val="none"/>
                    </w:rPr>
                    <w:t>序号</w:t>
                  </w:r>
                </w:p>
              </w:tc>
              <w:tc>
                <w:tcPr>
                  <w:tcW w:w="1664" w:type="dxa"/>
                  <w:tcBorders>
                    <w:tl2br w:val="nil"/>
                    <w:tr2bl w:val="nil"/>
                  </w:tcBorders>
                  <w:vAlign w:val="center"/>
                </w:tcPr>
                <w:p>
                  <w:pPr>
                    <w:snapToGrid w:val="0"/>
                    <w:spacing w:beforeLines="30" w:afterLines="30"/>
                    <w:jc w:val="center"/>
                    <w:rPr>
                      <w:color w:val="auto"/>
                      <w:highlight w:val="none"/>
                    </w:rPr>
                  </w:pPr>
                  <w:r>
                    <w:rPr>
                      <w:rFonts w:hint="eastAsia" w:cs="宋体"/>
                      <w:color w:val="auto"/>
                      <w:szCs w:val="21"/>
                      <w:highlight w:val="none"/>
                    </w:rPr>
                    <w:t>噪声源</w:t>
                  </w:r>
                </w:p>
              </w:tc>
              <w:tc>
                <w:tcPr>
                  <w:tcW w:w="768" w:type="dxa"/>
                  <w:tcBorders>
                    <w:tl2br w:val="nil"/>
                    <w:tr2bl w:val="nil"/>
                  </w:tcBorders>
                  <w:vAlign w:val="center"/>
                </w:tcPr>
                <w:p>
                  <w:pPr>
                    <w:snapToGrid w:val="0"/>
                    <w:spacing w:beforeLines="30" w:afterLines="30"/>
                    <w:jc w:val="center"/>
                    <w:rPr>
                      <w:color w:val="auto"/>
                      <w:highlight w:val="none"/>
                    </w:rPr>
                  </w:pPr>
                  <w:r>
                    <w:rPr>
                      <w:rFonts w:hint="eastAsia" w:cs="宋体"/>
                      <w:color w:val="auto"/>
                      <w:szCs w:val="21"/>
                      <w:highlight w:val="none"/>
                    </w:rPr>
                    <w:t>数量</w:t>
                  </w:r>
                </w:p>
              </w:tc>
              <w:tc>
                <w:tcPr>
                  <w:tcW w:w="1106" w:type="dxa"/>
                  <w:tcBorders>
                    <w:tl2br w:val="nil"/>
                    <w:tr2bl w:val="nil"/>
                  </w:tcBorders>
                  <w:vAlign w:val="center"/>
                </w:tcPr>
                <w:p>
                  <w:pPr>
                    <w:snapToGrid w:val="0"/>
                    <w:spacing w:beforeLines="30" w:afterLines="30"/>
                    <w:jc w:val="center"/>
                    <w:rPr>
                      <w:color w:val="auto"/>
                      <w:highlight w:val="none"/>
                    </w:rPr>
                  </w:pPr>
                  <w:r>
                    <w:rPr>
                      <w:rFonts w:hint="eastAsia" w:cs="宋体"/>
                      <w:color w:val="auto"/>
                      <w:szCs w:val="21"/>
                      <w:highlight w:val="none"/>
                    </w:rPr>
                    <w:t>产生源强</w:t>
                  </w:r>
                </w:p>
              </w:tc>
              <w:tc>
                <w:tcPr>
                  <w:tcW w:w="1053" w:type="dxa"/>
                  <w:tcBorders>
                    <w:tl2br w:val="nil"/>
                    <w:tr2bl w:val="nil"/>
                  </w:tcBorders>
                  <w:vAlign w:val="center"/>
                </w:tcPr>
                <w:p>
                  <w:pPr>
                    <w:snapToGrid w:val="0"/>
                    <w:spacing w:beforeLines="30" w:afterLines="30"/>
                    <w:jc w:val="center"/>
                    <w:rPr>
                      <w:rFonts w:ascii="宋体" w:hAnsi="宋体" w:cs="宋体"/>
                      <w:color w:val="auto"/>
                      <w:highlight w:val="none"/>
                    </w:rPr>
                  </w:pPr>
                  <w:r>
                    <w:rPr>
                      <w:rFonts w:hint="eastAsia" w:ascii="宋体" w:hAnsi="宋体" w:cs="宋体"/>
                      <w:color w:val="auto"/>
                      <w:szCs w:val="21"/>
                      <w:highlight w:val="none"/>
                    </w:rPr>
                    <w:t>类型</w:t>
                  </w:r>
                </w:p>
              </w:tc>
              <w:tc>
                <w:tcPr>
                  <w:tcW w:w="1885" w:type="dxa"/>
                  <w:tcBorders>
                    <w:tl2br w:val="nil"/>
                    <w:tr2bl w:val="nil"/>
                  </w:tcBorders>
                  <w:vAlign w:val="center"/>
                </w:tcPr>
                <w:p>
                  <w:pPr>
                    <w:snapToGrid w:val="0"/>
                    <w:spacing w:beforeLines="30" w:afterLines="30"/>
                    <w:jc w:val="center"/>
                    <w:rPr>
                      <w:rFonts w:ascii="宋体" w:hAnsi="宋体" w:cs="宋体"/>
                      <w:color w:val="auto"/>
                      <w:highlight w:val="none"/>
                    </w:rPr>
                  </w:pPr>
                  <w:r>
                    <w:rPr>
                      <w:rFonts w:hint="eastAsia" w:cs="宋体"/>
                      <w:color w:val="auto"/>
                      <w:szCs w:val="21"/>
                      <w:highlight w:val="none"/>
                    </w:rPr>
                    <w:t>治理措施</w:t>
                  </w:r>
                </w:p>
              </w:tc>
              <w:tc>
                <w:tcPr>
                  <w:tcW w:w="1247" w:type="dxa"/>
                  <w:tcBorders>
                    <w:tl2br w:val="nil"/>
                    <w:tr2bl w:val="nil"/>
                  </w:tcBorders>
                  <w:vAlign w:val="center"/>
                </w:tcPr>
                <w:p>
                  <w:pPr>
                    <w:snapToGrid w:val="0"/>
                    <w:spacing w:beforeLines="30" w:afterLines="30"/>
                    <w:jc w:val="center"/>
                    <w:rPr>
                      <w:rFonts w:ascii="宋体" w:hAnsi="宋体" w:cs="宋体"/>
                      <w:color w:val="auto"/>
                      <w:highlight w:val="none"/>
                    </w:rPr>
                  </w:pPr>
                  <w:r>
                    <w:rPr>
                      <w:rFonts w:hint="eastAsia" w:ascii="宋体" w:hAnsi="宋体" w:cs="宋体"/>
                      <w:color w:val="auto"/>
                      <w:szCs w:val="21"/>
                      <w:highlight w:val="none"/>
                    </w:rPr>
                    <w:t>排放源强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1" w:type="dxa"/>
                  <w:tcBorders>
                    <w:tl2br w:val="nil"/>
                    <w:tr2bl w:val="nil"/>
                  </w:tcBorders>
                  <w:vAlign w:val="center"/>
                </w:tcPr>
                <w:p>
                  <w:pPr>
                    <w:jc w:val="center"/>
                    <w:rPr>
                      <w:color w:val="auto"/>
                      <w:spacing w:val="-1"/>
                      <w:highlight w:val="none"/>
                    </w:rPr>
                  </w:pPr>
                  <w:r>
                    <w:rPr>
                      <w:color w:val="auto"/>
                      <w:spacing w:val="-1"/>
                      <w:szCs w:val="21"/>
                      <w:highlight w:val="none"/>
                    </w:rPr>
                    <w:t>1</w:t>
                  </w:r>
                </w:p>
              </w:tc>
              <w:tc>
                <w:tcPr>
                  <w:tcW w:w="1664" w:type="dxa"/>
                  <w:tcBorders>
                    <w:tl2br w:val="nil"/>
                    <w:tr2bl w:val="nil"/>
                  </w:tcBorders>
                  <w:vAlign w:val="center"/>
                </w:tcPr>
                <w:p>
                  <w:pPr>
                    <w:widowControl/>
                    <w:jc w:val="center"/>
                    <w:textAlignment w:val="center"/>
                    <w:rPr>
                      <w:color w:val="auto"/>
                      <w:spacing w:val="-1"/>
                      <w:szCs w:val="21"/>
                      <w:highlight w:val="none"/>
                    </w:rPr>
                  </w:pPr>
                  <w:r>
                    <w:rPr>
                      <w:rFonts w:hint="eastAsia"/>
                      <w:color w:val="auto"/>
                      <w:szCs w:val="21"/>
                      <w:highlight w:val="none"/>
                    </w:rPr>
                    <w:t>分离筛</w:t>
                  </w:r>
                </w:p>
              </w:tc>
              <w:tc>
                <w:tcPr>
                  <w:tcW w:w="768" w:type="dxa"/>
                  <w:tcBorders>
                    <w:tl2br w:val="nil"/>
                    <w:tr2bl w:val="nil"/>
                  </w:tcBorders>
                  <w:vAlign w:val="center"/>
                </w:tcPr>
                <w:p>
                  <w:pPr>
                    <w:widowControl/>
                    <w:jc w:val="center"/>
                    <w:textAlignment w:val="center"/>
                    <w:rPr>
                      <w:color w:val="auto"/>
                      <w:spacing w:val="-1"/>
                      <w:highlight w:val="none"/>
                    </w:rPr>
                  </w:pPr>
                  <w:r>
                    <w:rPr>
                      <w:rFonts w:hint="eastAsia"/>
                      <w:color w:val="auto"/>
                      <w:szCs w:val="21"/>
                      <w:highlight w:val="none"/>
                    </w:rPr>
                    <w:t>1个</w:t>
                  </w:r>
                </w:p>
              </w:tc>
              <w:tc>
                <w:tcPr>
                  <w:tcW w:w="1106" w:type="dxa"/>
                  <w:tcBorders>
                    <w:tl2br w:val="nil"/>
                    <w:tr2bl w:val="nil"/>
                  </w:tcBorders>
                  <w:vAlign w:val="center"/>
                </w:tcPr>
                <w:p>
                  <w:pPr>
                    <w:jc w:val="center"/>
                    <w:rPr>
                      <w:color w:val="auto"/>
                      <w:highlight w:val="none"/>
                    </w:rPr>
                  </w:pPr>
                  <w:r>
                    <w:rPr>
                      <w:rFonts w:hint="eastAsia"/>
                      <w:color w:val="auto"/>
                      <w:szCs w:val="21"/>
                      <w:highlight w:val="none"/>
                    </w:rPr>
                    <w:t>90</w:t>
                  </w:r>
                </w:p>
              </w:tc>
              <w:tc>
                <w:tcPr>
                  <w:tcW w:w="1053" w:type="dxa"/>
                  <w:tcBorders>
                    <w:tl2br w:val="nil"/>
                    <w:tr2bl w:val="nil"/>
                  </w:tcBorders>
                  <w:vAlign w:val="center"/>
                </w:tcPr>
                <w:p>
                  <w:pPr>
                    <w:jc w:val="center"/>
                    <w:rPr>
                      <w:color w:val="auto"/>
                      <w:highlight w:val="none"/>
                    </w:rPr>
                  </w:pPr>
                  <w:r>
                    <w:rPr>
                      <w:rFonts w:hint="eastAsia"/>
                      <w:color w:val="auto"/>
                      <w:highlight w:val="none"/>
                    </w:rPr>
                    <w:t>稳态</w:t>
                  </w:r>
                </w:p>
              </w:tc>
              <w:tc>
                <w:tcPr>
                  <w:tcW w:w="1885" w:type="dxa"/>
                  <w:vMerge w:val="restart"/>
                  <w:tcBorders>
                    <w:tl2br w:val="nil"/>
                    <w:tr2bl w:val="nil"/>
                  </w:tcBorders>
                  <w:vAlign w:val="center"/>
                </w:tcPr>
                <w:p>
                  <w:pPr>
                    <w:rPr>
                      <w:color w:val="auto"/>
                      <w:highlight w:val="none"/>
                    </w:rPr>
                  </w:pPr>
                  <w:r>
                    <w:rPr>
                      <w:rFonts w:hint="eastAsia" w:ascii="宋体" w:hAnsi="宋体" w:cs="宋体"/>
                      <w:color w:val="auto"/>
                      <w:szCs w:val="21"/>
                      <w:highlight w:val="none"/>
                    </w:rPr>
                    <w:t>选用</w:t>
                  </w:r>
                  <w:r>
                    <w:rPr>
                      <w:rFonts w:hint="eastAsia" w:cs="宋体"/>
                      <w:color w:val="auto"/>
                      <w:szCs w:val="21"/>
                      <w:highlight w:val="none"/>
                    </w:rPr>
                    <w:t>低噪声设备，</w:t>
                  </w:r>
                  <w:r>
                    <w:rPr>
                      <w:rFonts w:hint="eastAsia" w:ascii="宋体" w:hAnsi="宋体" w:cs="宋体"/>
                      <w:color w:val="auto"/>
                      <w:szCs w:val="21"/>
                      <w:highlight w:val="none"/>
                    </w:rPr>
                    <w:t>合理布局；设置减振垫、厂房密闭隔声、</w:t>
                  </w:r>
                  <w:r>
                    <w:rPr>
                      <w:rFonts w:hint="eastAsia" w:cs="宋体"/>
                      <w:color w:val="auto"/>
                      <w:szCs w:val="21"/>
                      <w:highlight w:val="none"/>
                    </w:rPr>
                    <w:t>距离衰减</w:t>
                  </w:r>
                  <w:r>
                    <w:rPr>
                      <w:rFonts w:hint="eastAsia" w:ascii="宋体" w:hAnsi="宋体" w:cs="宋体"/>
                      <w:color w:val="auto"/>
                      <w:szCs w:val="21"/>
                      <w:highlight w:val="none"/>
                    </w:rPr>
                    <w:t>等</w:t>
                  </w:r>
                </w:p>
              </w:tc>
              <w:tc>
                <w:tcPr>
                  <w:tcW w:w="1247" w:type="dxa"/>
                  <w:tcBorders>
                    <w:tl2br w:val="nil"/>
                    <w:tr2bl w:val="nil"/>
                  </w:tcBorders>
                  <w:vAlign w:val="center"/>
                </w:tcPr>
                <w:p>
                  <w:pPr>
                    <w:jc w:val="center"/>
                    <w:rPr>
                      <w:color w:val="auto"/>
                      <w:highlight w:val="none"/>
                    </w:rPr>
                  </w:pPr>
                  <w:r>
                    <w:rPr>
                      <w:color w:val="auto"/>
                      <w:highlight w:val="none"/>
                    </w:rPr>
                    <w:t>＜</w:t>
                  </w:r>
                  <w:r>
                    <w:rPr>
                      <w:rFonts w:hint="eastAsia"/>
                      <w:color w:val="auto"/>
                      <w:highlight w:val="none"/>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1" w:type="dxa"/>
                  <w:tcBorders>
                    <w:tl2br w:val="nil"/>
                    <w:tr2bl w:val="nil"/>
                  </w:tcBorders>
                  <w:vAlign w:val="center"/>
                </w:tcPr>
                <w:p>
                  <w:pPr>
                    <w:jc w:val="center"/>
                    <w:rPr>
                      <w:color w:val="auto"/>
                      <w:spacing w:val="-1"/>
                      <w:highlight w:val="none"/>
                    </w:rPr>
                  </w:pPr>
                  <w:r>
                    <w:rPr>
                      <w:color w:val="auto"/>
                      <w:spacing w:val="-1"/>
                      <w:szCs w:val="21"/>
                      <w:highlight w:val="none"/>
                    </w:rPr>
                    <w:t>2</w:t>
                  </w:r>
                </w:p>
              </w:tc>
              <w:tc>
                <w:tcPr>
                  <w:tcW w:w="1664" w:type="dxa"/>
                  <w:tcBorders>
                    <w:tl2br w:val="nil"/>
                    <w:tr2bl w:val="nil"/>
                  </w:tcBorders>
                  <w:vAlign w:val="center"/>
                </w:tcPr>
                <w:p>
                  <w:pPr>
                    <w:widowControl/>
                    <w:jc w:val="center"/>
                    <w:textAlignment w:val="center"/>
                    <w:rPr>
                      <w:color w:val="auto"/>
                      <w:spacing w:val="-1"/>
                      <w:szCs w:val="21"/>
                      <w:highlight w:val="none"/>
                    </w:rPr>
                  </w:pPr>
                  <w:r>
                    <w:rPr>
                      <w:rFonts w:hint="eastAsia"/>
                      <w:color w:val="auto"/>
                      <w:szCs w:val="21"/>
                      <w:highlight w:val="none"/>
                    </w:rPr>
                    <w:t>水轮式洗</w:t>
                  </w:r>
                  <w:r>
                    <w:rPr>
                      <w:rFonts w:hint="eastAsia"/>
                      <w:color w:val="auto"/>
                      <w:szCs w:val="21"/>
                      <w:highlight w:val="none"/>
                      <w:lang w:eastAsia="zh-CN"/>
                    </w:rPr>
                    <w:t>砂</w:t>
                  </w:r>
                  <w:r>
                    <w:rPr>
                      <w:rFonts w:hint="eastAsia"/>
                      <w:color w:val="auto"/>
                      <w:szCs w:val="21"/>
                      <w:highlight w:val="none"/>
                    </w:rPr>
                    <w:t>机</w:t>
                  </w:r>
                </w:p>
              </w:tc>
              <w:tc>
                <w:tcPr>
                  <w:tcW w:w="768" w:type="dxa"/>
                  <w:tcBorders>
                    <w:tl2br w:val="nil"/>
                    <w:tr2bl w:val="nil"/>
                  </w:tcBorders>
                  <w:vAlign w:val="center"/>
                </w:tcPr>
                <w:p>
                  <w:pPr>
                    <w:widowControl/>
                    <w:jc w:val="center"/>
                    <w:textAlignment w:val="center"/>
                    <w:rPr>
                      <w:color w:val="auto"/>
                      <w:highlight w:val="none"/>
                    </w:rPr>
                  </w:pPr>
                  <w:r>
                    <w:rPr>
                      <w:rFonts w:hint="eastAsia"/>
                      <w:color w:val="auto"/>
                      <w:szCs w:val="21"/>
                      <w:highlight w:val="none"/>
                    </w:rPr>
                    <w:t>1台</w:t>
                  </w:r>
                </w:p>
              </w:tc>
              <w:tc>
                <w:tcPr>
                  <w:tcW w:w="1106" w:type="dxa"/>
                  <w:tcBorders>
                    <w:tl2br w:val="nil"/>
                    <w:tr2bl w:val="nil"/>
                  </w:tcBorders>
                  <w:vAlign w:val="center"/>
                </w:tcPr>
                <w:p>
                  <w:pPr>
                    <w:jc w:val="center"/>
                    <w:rPr>
                      <w:color w:val="auto"/>
                      <w:highlight w:val="none"/>
                    </w:rPr>
                  </w:pPr>
                  <w:r>
                    <w:rPr>
                      <w:rFonts w:hint="eastAsia"/>
                      <w:color w:val="auto"/>
                      <w:szCs w:val="21"/>
                      <w:highlight w:val="none"/>
                    </w:rPr>
                    <w:t>90</w:t>
                  </w:r>
                </w:p>
              </w:tc>
              <w:tc>
                <w:tcPr>
                  <w:tcW w:w="1053" w:type="dxa"/>
                  <w:tcBorders>
                    <w:tl2br w:val="nil"/>
                    <w:tr2bl w:val="nil"/>
                  </w:tcBorders>
                  <w:vAlign w:val="center"/>
                </w:tcPr>
                <w:p>
                  <w:pPr>
                    <w:jc w:val="center"/>
                    <w:rPr>
                      <w:color w:val="auto"/>
                      <w:highlight w:val="none"/>
                    </w:rPr>
                  </w:pPr>
                  <w:r>
                    <w:rPr>
                      <w:rFonts w:hint="eastAsia"/>
                      <w:color w:val="auto"/>
                      <w:highlight w:val="none"/>
                    </w:rPr>
                    <w:t>稳态</w:t>
                  </w:r>
                </w:p>
              </w:tc>
              <w:tc>
                <w:tcPr>
                  <w:tcW w:w="1885" w:type="dxa"/>
                  <w:vMerge w:val="continue"/>
                  <w:tcBorders>
                    <w:tl2br w:val="nil"/>
                    <w:tr2bl w:val="nil"/>
                  </w:tcBorders>
                </w:tcPr>
                <w:p>
                  <w:pPr>
                    <w:rPr>
                      <w:rFonts w:ascii="Calibri" w:hAnsi="Calibri" w:cs="Calibri"/>
                      <w:color w:val="auto"/>
                      <w:szCs w:val="22"/>
                      <w:highlight w:val="none"/>
                    </w:rPr>
                  </w:pPr>
                </w:p>
              </w:tc>
              <w:tc>
                <w:tcPr>
                  <w:tcW w:w="1247" w:type="dxa"/>
                  <w:tcBorders>
                    <w:tl2br w:val="nil"/>
                    <w:tr2bl w:val="nil"/>
                  </w:tcBorders>
                  <w:vAlign w:val="center"/>
                </w:tcPr>
                <w:p>
                  <w:pPr>
                    <w:jc w:val="center"/>
                    <w:rPr>
                      <w:color w:val="auto"/>
                      <w:highlight w:val="none"/>
                    </w:rPr>
                  </w:pPr>
                  <w:r>
                    <w:rPr>
                      <w:color w:val="auto"/>
                      <w:highlight w:val="none"/>
                    </w:rPr>
                    <w:t>＜</w:t>
                  </w:r>
                  <w:r>
                    <w:rPr>
                      <w:rFonts w:hint="eastAsia"/>
                      <w:color w:val="auto"/>
                      <w:highlight w:val="none"/>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1" w:type="dxa"/>
                  <w:tcBorders>
                    <w:tl2br w:val="nil"/>
                    <w:tr2bl w:val="nil"/>
                  </w:tcBorders>
                  <w:vAlign w:val="center"/>
                </w:tcPr>
                <w:p>
                  <w:pPr>
                    <w:jc w:val="center"/>
                    <w:rPr>
                      <w:color w:val="auto"/>
                      <w:spacing w:val="-1"/>
                      <w:highlight w:val="none"/>
                    </w:rPr>
                  </w:pPr>
                  <w:r>
                    <w:rPr>
                      <w:color w:val="auto"/>
                      <w:spacing w:val="-1"/>
                      <w:szCs w:val="21"/>
                      <w:highlight w:val="none"/>
                    </w:rPr>
                    <w:t>3</w:t>
                  </w:r>
                </w:p>
              </w:tc>
              <w:tc>
                <w:tcPr>
                  <w:tcW w:w="1664" w:type="dxa"/>
                  <w:tcBorders>
                    <w:tl2br w:val="nil"/>
                    <w:tr2bl w:val="nil"/>
                  </w:tcBorders>
                  <w:vAlign w:val="center"/>
                </w:tcPr>
                <w:p>
                  <w:pPr>
                    <w:widowControl/>
                    <w:jc w:val="center"/>
                    <w:textAlignment w:val="center"/>
                    <w:rPr>
                      <w:color w:val="auto"/>
                      <w:spacing w:val="-1"/>
                      <w:szCs w:val="21"/>
                      <w:highlight w:val="none"/>
                    </w:rPr>
                  </w:pPr>
                  <w:r>
                    <w:rPr>
                      <w:rFonts w:hint="eastAsia"/>
                      <w:color w:val="auto"/>
                      <w:szCs w:val="21"/>
                      <w:highlight w:val="none"/>
                    </w:rPr>
                    <w:t>脱水筛</w:t>
                  </w:r>
                </w:p>
              </w:tc>
              <w:tc>
                <w:tcPr>
                  <w:tcW w:w="768" w:type="dxa"/>
                  <w:tcBorders>
                    <w:tl2br w:val="nil"/>
                    <w:tr2bl w:val="nil"/>
                  </w:tcBorders>
                  <w:vAlign w:val="center"/>
                </w:tcPr>
                <w:p>
                  <w:pPr>
                    <w:widowControl/>
                    <w:jc w:val="center"/>
                    <w:textAlignment w:val="center"/>
                    <w:rPr>
                      <w:color w:val="auto"/>
                      <w:highlight w:val="none"/>
                    </w:rPr>
                  </w:pPr>
                  <w:r>
                    <w:rPr>
                      <w:rFonts w:hint="eastAsia"/>
                      <w:color w:val="auto"/>
                      <w:szCs w:val="21"/>
                      <w:highlight w:val="none"/>
                    </w:rPr>
                    <w:t>1个</w:t>
                  </w:r>
                </w:p>
              </w:tc>
              <w:tc>
                <w:tcPr>
                  <w:tcW w:w="1106" w:type="dxa"/>
                  <w:tcBorders>
                    <w:tl2br w:val="nil"/>
                    <w:tr2bl w:val="nil"/>
                  </w:tcBorders>
                  <w:vAlign w:val="center"/>
                </w:tcPr>
                <w:p>
                  <w:pPr>
                    <w:jc w:val="center"/>
                    <w:rPr>
                      <w:color w:val="auto"/>
                      <w:highlight w:val="none"/>
                    </w:rPr>
                  </w:pPr>
                  <w:r>
                    <w:rPr>
                      <w:rFonts w:hint="eastAsia"/>
                      <w:color w:val="auto"/>
                      <w:szCs w:val="21"/>
                      <w:highlight w:val="none"/>
                    </w:rPr>
                    <w:t>85</w:t>
                  </w:r>
                </w:p>
              </w:tc>
              <w:tc>
                <w:tcPr>
                  <w:tcW w:w="1053" w:type="dxa"/>
                  <w:tcBorders>
                    <w:tl2br w:val="nil"/>
                    <w:tr2bl w:val="nil"/>
                  </w:tcBorders>
                  <w:vAlign w:val="center"/>
                </w:tcPr>
                <w:p>
                  <w:pPr>
                    <w:jc w:val="center"/>
                    <w:rPr>
                      <w:color w:val="auto"/>
                      <w:highlight w:val="none"/>
                    </w:rPr>
                  </w:pPr>
                  <w:r>
                    <w:rPr>
                      <w:rFonts w:hint="eastAsia"/>
                      <w:color w:val="auto"/>
                      <w:highlight w:val="none"/>
                    </w:rPr>
                    <w:t>稳态</w:t>
                  </w:r>
                </w:p>
              </w:tc>
              <w:tc>
                <w:tcPr>
                  <w:tcW w:w="1885" w:type="dxa"/>
                  <w:vMerge w:val="continue"/>
                  <w:tcBorders>
                    <w:tl2br w:val="nil"/>
                    <w:tr2bl w:val="nil"/>
                  </w:tcBorders>
                </w:tcPr>
                <w:p>
                  <w:pPr>
                    <w:rPr>
                      <w:rFonts w:ascii="Calibri" w:hAnsi="Calibri" w:cs="Calibri"/>
                      <w:color w:val="auto"/>
                      <w:szCs w:val="22"/>
                      <w:highlight w:val="none"/>
                    </w:rPr>
                  </w:pPr>
                </w:p>
              </w:tc>
              <w:tc>
                <w:tcPr>
                  <w:tcW w:w="1247" w:type="dxa"/>
                  <w:tcBorders>
                    <w:tl2br w:val="nil"/>
                    <w:tr2bl w:val="nil"/>
                  </w:tcBorders>
                  <w:vAlign w:val="center"/>
                </w:tcPr>
                <w:p>
                  <w:pPr>
                    <w:jc w:val="center"/>
                    <w:rPr>
                      <w:color w:val="auto"/>
                      <w:highlight w:val="none"/>
                    </w:rPr>
                  </w:pPr>
                  <w:r>
                    <w:rPr>
                      <w:color w:val="auto"/>
                      <w:highlight w:val="none"/>
                    </w:rPr>
                    <w:t>＜</w:t>
                  </w:r>
                  <w:r>
                    <w:rPr>
                      <w:rFonts w:hint="eastAsia"/>
                      <w:color w:val="auto"/>
                      <w:highlight w:val="none"/>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1" w:type="dxa"/>
                  <w:tcBorders>
                    <w:tl2br w:val="nil"/>
                    <w:tr2bl w:val="nil"/>
                  </w:tcBorders>
                  <w:vAlign w:val="center"/>
                </w:tcPr>
                <w:p>
                  <w:pPr>
                    <w:jc w:val="center"/>
                    <w:rPr>
                      <w:color w:val="auto"/>
                      <w:spacing w:val="-1"/>
                      <w:highlight w:val="none"/>
                    </w:rPr>
                  </w:pPr>
                  <w:r>
                    <w:rPr>
                      <w:rFonts w:hint="eastAsia"/>
                      <w:color w:val="auto"/>
                      <w:spacing w:val="-1"/>
                      <w:szCs w:val="21"/>
                      <w:highlight w:val="none"/>
                    </w:rPr>
                    <w:t>4</w:t>
                  </w:r>
                </w:p>
              </w:tc>
              <w:tc>
                <w:tcPr>
                  <w:tcW w:w="1664" w:type="dxa"/>
                  <w:tcBorders>
                    <w:tl2br w:val="nil"/>
                    <w:tr2bl w:val="nil"/>
                  </w:tcBorders>
                  <w:vAlign w:val="center"/>
                </w:tcPr>
                <w:p>
                  <w:pPr>
                    <w:widowControl/>
                    <w:jc w:val="center"/>
                    <w:textAlignment w:val="center"/>
                    <w:rPr>
                      <w:color w:val="auto"/>
                      <w:szCs w:val="21"/>
                      <w:highlight w:val="none"/>
                    </w:rPr>
                  </w:pPr>
                  <w:r>
                    <w:rPr>
                      <w:color w:val="auto"/>
                      <w:szCs w:val="21"/>
                      <w:highlight w:val="none"/>
                    </w:rPr>
                    <w:t>压滤机</w:t>
                  </w:r>
                </w:p>
              </w:tc>
              <w:tc>
                <w:tcPr>
                  <w:tcW w:w="768" w:type="dxa"/>
                  <w:tcBorders>
                    <w:tl2br w:val="nil"/>
                    <w:tr2bl w:val="nil"/>
                  </w:tcBorders>
                  <w:vAlign w:val="center"/>
                </w:tcPr>
                <w:p>
                  <w:pPr>
                    <w:widowControl/>
                    <w:jc w:val="center"/>
                    <w:textAlignment w:val="center"/>
                    <w:rPr>
                      <w:color w:val="auto"/>
                      <w:szCs w:val="21"/>
                      <w:highlight w:val="none"/>
                    </w:rPr>
                  </w:pPr>
                  <w:r>
                    <w:rPr>
                      <w:rFonts w:hint="eastAsia"/>
                      <w:color w:val="auto"/>
                      <w:szCs w:val="21"/>
                      <w:highlight w:val="none"/>
                    </w:rPr>
                    <w:t>1台</w:t>
                  </w:r>
                </w:p>
              </w:tc>
              <w:tc>
                <w:tcPr>
                  <w:tcW w:w="1106" w:type="dxa"/>
                  <w:tcBorders>
                    <w:tl2br w:val="nil"/>
                    <w:tr2bl w:val="nil"/>
                  </w:tcBorders>
                  <w:vAlign w:val="center"/>
                </w:tcPr>
                <w:p>
                  <w:pPr>
                    <w:jc w:val="center"/>
                    <w:rPr>
                      <w:color w:val="auto"/>
                      <w:highlight w:val="none"/>
                    </w:rPr>
                  </w:pPr>
                  <w:r>
                    <w:rPr>
                      <w:rFonts w:hint="eastAsia"/>
                      <w:color w:val="auto"/>
                      <w:szCs w:val="21"/>
                      <w:highlight w:val="none"/>
                    </w:rPr>
                    <w:t>85</w:t>
                  </w:r>
                </w:p>
              </w:tc>
              <w:tc>
                <w:tcPr>
                  <w:tcW w:w="1053" w:type="dxa"/>
                  <w:tcBorders>
                    <w:tl2br w:val="nil"/>
                    <w:tr2bl w:val="nil"/>
                  </w:tcBorders>
                  <w:vAlign w:val="center"/>
                </w:tcPr>
                <w:p>
                  <w:pPr>
                    <w:jc w:val="center"/>
                    <w:rPr>
                      <w:color w:val="auto"/>
                      <w:highlight w:val="none"/>
                    </w:rPr>
                  </w:pPr>
                  <w:r>
                    <w:rPr>
                      <w:rFonts w:hint="eastAsia"/>
                      <w:color w:val="auto"/>
                      <w:highlight w:val="none"/>
                    </w:rPr>
                    <w:t>稳态</w:t>
                  </w:r>
                </w:p>
              </w:tc>
              <w:tc>
                <w:tcPr>
                  <w:tcW w:w="1885" w:type="dxa"/>
                  <w:vMerge w:val="continue"/>
                  <w:tcBorders>
                    <w:tl2br w:val="nil"/>
                    <w:tr2bl w:val="nil"/>
                  </w:tcBorders>
                </w:tcPr>
                <w:p>
                  <w:pPr>
                    <w:rPr>
                      <w:rFonts w:ascii="Calibri" w:hAnsi="Calibri" w:cs="Calibri"/>
                      <w:color w:val="auto"/>
                      <w:szCs w:val="22"/>
                      <w:highlight w:val="none"/>
                    </w:rPr>
                  </w:pPr>
                </w:p>
              </w:tc>
              <w:tc>
                <w:tcPr>
                  <w:tcW w:w="1247" w:type="dxa"/>
                  <w:tcBorders>
                    <w:tl2br w:val="nil"/>
                    <w:tr2bl w:val="nil"/>
                  </w:tcBorders>
                  <w:vAlign w:val="center"/>
                </w:tcPr>
                <w:p>
                  <w:pPr>
                    <w:jc w:val="center"/>
                    <w:rPr>
                      <w:color w:val="auto"/>
                      <w:highlight w:val="none"/>
                    </w:rPr>
                  </w:pPr>
                  <w:r>
                    <w:rPr>
                      <w:color w:val="auto"/>
                      <w:highlight w:val="none"/>
                    </w:rPr>
                    <w:t>＜</w:t>
                  </w:r>
                  <w:r>
                    <w:rPr>
                      <w:rFonts w:hint="eastAsia"/>
                      <w:color w:val="auto"/>
                      <w:highlight w:val="none"/>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1" w:type="dxa"/>
                  <w:tcBorders>
                    <w:tl2br w:val="nil"/>
                    <w:tr2bl w:val="nil"/>
                  </w:tcBorders>
                  <w:vAlign w:val="center"/>
                </w:tcPr>
                <w:p>
                  <w:pPr>
                    <w:jc w:val="center"/>
                    <w:rPr>
                      <w:color w:val="auto"/>
                      <w:spacing w:val="-1"/>
                      <w:highlight w:val="none"/>
                    </w:rPr>
                  </w:pPr>
                  <w:r>
                    <w:rPr>
                      <w:rFonts w:hint="eastAsia"/>
                      <w:color w:val="auto"/>
                      <w:spacing w:val="-1"/>
                      <w:highlight w:val="none"/>
                    </w:rPr>
                    <w:t>5</w:t>
                  </w:r>
                </w:p>
              </w:tc>
              <w:tc>
                <w:tcPr>
                  <w:tcW w:w="1664" w:type="dxa"/>
                  <w:tcBorders>
                    <w:tl2br w:val="nil"/>
                    <w:tr2bl w:val="nil"/>
                  </w:tcBorders>
                  <w:vAlign w:val="center"/>
                </w:tcPr>
                <w:p>
                  <w:pPr>
                    <w:pStyle w:val="29"/>
                    <w:widowControl w:val="0"/>
                    <w:adjustRightInd w:val="0"/>
                    <w:snapToGrid w:val="0"/>
                    <w:spacing w:before="0" w:beforeAutospacing="0" w:after="0" w:afterAutospacing="0"/>
                    <w:jc w:val="center"/>
                    <w:rPr>
                      <w:color w:val="auto"/>
                      <w:sz w:val="21"/>
                      <w:szCs w:val="21"/>
                      <w:highlight w:val="none"/>
                    </w:rPr>
                  </w:pPr>
                  <w:r>
                    <w:rPr>
                      <w:rFonts w:hint="eastAsia" w:ascii="Times New Roman" w:hAnsi="Times New Roman"/>
                      <w:color w:val="auto"/>
                      <w:kern w:val="2"/>
                      <w:sz w:val="21"/>
                      <w:szCs w:val="21"/>
                      <w:highlight w:val="none"/>
                    </w:rPr>
                    <w:t>运输车辆</w:t>
                  </w:r>
                </w:p>
              </w:tc>
              <w:tc>
                <w:tcPr>
                  <w:tcW w:w="768" w:type="dxa"/>
                  <w:tcBorders>
                    <w:tl2br w:val="nil"/>
                    <w:tr2bl w:val="nil"/>
                  </w:tcBorders>
                  <w:vAlign w:val="center"/>
                </w:tcPr>
                <w:p>
                  <w:pPr>
                    <w:pStyle w:val="29"/>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8辆</w:t>
                  </w:r>
                </w:p>
              </w:tc>
              <w:tc>
                <w:tcPr>
                  <w:tcW w:w="1106" w:type="dxa"/>
                  <w:tcBorders>
                    <w:tl2br w:val="nil"/>
                    <w:tr2bl w:val="nil"/>
                  </w:tcBorders>
                  <w:vAlign w:val="center"/>
                </w:tcPr>
                <w:p>
                  <w:pPr>
                    <w:jc w:val="center"/>
                    <w:rPr>
                      <w:color w:val="auto"/>
                      <w:highlight w:val="none"/>
                    </w:rPr>
                  </w:pPr>
                  <w:r>
                    <w:rPr>
                      <w:rFonts w:hint="eastAsia"/>
                      <w:color w:val="auto"/>
                      <w:szCs w:val="21"/>
                      <w:highlight w:val="none"/>
                    </w:rPr>
                    <w:t>85</w:t>
                  </w:r>
                </w:p>
              </w:tc>
              <w:tc>
                <w:tcPr>
                  <w:tcW w:w="1053"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非稳态</w:t>
                  </w:r>
                </w:p>
              </w:tc>
              <w:tc>
                <w:tcPr>
                  <w:tcW w:w="1885" w:type="dxa"/>
                  <w:tcBorders>
                    <w:tl2br w:val="nil"/>
                    <w:tr2bl w:val="nil"/>
                  </w:tcBorders>
                  <w:vAlign w:val="center"/>
                </w:tcPr>
                <w:p>
                  <w:pPr>
                    <w:jc w:val="center"/>
                    <w:rPr>
                      <w:rFonts w:ascii="宋体" w:hAnsi="宋体" w:cs="宋体"/>
                      <w:color w:val="auto"/>
                      <w:highlight w:val="none"/>
                    </w:rPr>
                  </w:pPr>
                  <w:r>
                    <w:rPr>
                      <w:rFonts w:hint="eastAsia"/>
                      <w:color w:val="auto"/>
                      <w:szCs w:val="21"/>
                      <w:highlight w:val="none"/>
                    </w:rPr>
                    <w:t>限速限载</w:t>
                  </w:r>
                  <w:r>
                    <w:rPr>
                      <w:color w:val="auto"/>
                      <w:szCs w:val="21"/>
                      <w:highlight w:val="none"/>
                    </w:rPr>
                    <w:t>，</w:t>
                  </w:r>
                  <w:r>
                    <w:rPr>
                      <w:rFonts w:hint="eastAsia"/>
                      <w:color w:val="auto"/>
                      <w:szCs w:val="21"/>
                      <w:highlight w:val="none"/>
                    </w:rPr>
                    <w:t>途经住户时减速</w:t>
                  </w:r>
                  <w:r>
                    <w:rPr>
                      <w:color w:val="auto"/>
                      <w:szCs w:val="21"/>
                      <w:highlight w:val="none"/>
                    </w:rPr>
                    <w:t>慢行</w:t>
                  </w:r>
                </w:p>
              </w:tc>
              <w:tc>
                <w:tcPr>
                  <w:tcW w:w="1247" w:type="dxa"/>
                  <w:tcBorders>
                    <w:tl2br w:val="nil"/>
                    <w:tr2bl w:val="nil"/>
                  </w:tcBorders>
                  <w:vAlign w:val="center"/>
                </w:tcPr>
                <w:p>
                  <w:pPr>
                    <w:jc w:val="center"/>
                    <w:rPr>
                      <w:rFonts w:ascii="宋体" w:hAnsi="宋体" w:cs="宋体"/>
                      <w:color w:val="auto"/>
                      <w:highlight w:val="none"/>
                    </w:rPr>
                  </w:pPr>
                  <w:r>
                    <w:rPr>
                      <w:color w:val="auto"/>
                      <w:highlight w:val="none"/>
                    </w:rPr>
                    <w:t>＜</w:t>
                  </w:r>
                  <w:r>
                    <w:rPr>
                      <w:rFonts w:hint="eastAsia"/>
                      <w:color w:val="auto"/>
                      <w:highlight w:val="none"/>
                    </w:rPr>
                    <w:t>70</w:t>
                  </w:r>
                </w:p>
              </w:tc>
            </w:tr>
            <w:bookmarkEnd w:id="3"/>
          </w:tbl>
          <w:p>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根据项目噪声污染源的特征，按照《环境影响评价技术导则声环境》（</w:t>
            </w:r>
            <w:r>
              <w:rPr>
                <w:color w:val="auto"/>
                <w:sz w:val="24"/>
                <w:highlight w:val="none"/>
              </w:rPr>
              <w:t>HJ2.4-20</w:t>
            </w:r>
            <w:r>
              <w:rPr>
                <w:rFonts w:hint="eastAsia"/>
                <w:color w:val="auto"/>
                <w:sz w:val="24"/>
                <w:highlight w:val="none"/>
              </w:rPr>
              <w:t>21</w:t>
            </w:r>
            <w:r>
              <w:rPr>
                <w:rFonts w:ascii="宋体" w:hAnsi="宋体"/>
                <w:color w:val="auto"/>
                <w:sz w:val="24"/>
                <w:highlight w:val="none"/>
              </w:rPr>
              <w:t>）要求，采用多声源叠加综合预测模式对项目产生噪声的发散衰减进行模拟预测。</w:t>
            </w:r>
          </w:p>
          <w:p>
            <w:pPr>
              <w:snapToGrid w:val="0"/>
              <w:spacing w:line="360" w:lineRule="auto"/>
              <w:ind w:firstLine="480"/>
              <w:rPr>
                <w:rFonts w:hAnsi="宋体"/>
                <w:color w:val="auto"/>
                <w:sz w:val="24"/>
                <w:highlight w:val="none"/>
              </w:rPr>
            </w:pPr>
            <w:r>
              <w:rPr>
                <w:rFonts w:hAnsi="宋体"/>
                <w:color w:val="auto"/>
                <w:sz w:val="24"/>
                <w:highlight w:val="none"/>
              </w:rPr>
              <w:t>①室内声源</w:t>
            </w:r>
          </w:p>
          <w:p>
            <w:pPr>
              <w:snapToGrid w:val="0"/>
              <w:spacing w:line="360" w:lineRule="auto"/>
              <w:ind w:firstLine="480"/>
              <w:rPr>
                <w:color w:val="auto"/>
                <w:sz w:val="24"/>
                <w:highlight w:val="none"/>
              </w:rPr>
            </w:pPr>
            <w:r>
              <w:rPr>
                <w:rFonts w:hAnsi="宋体"/>
                <w:color w:val="auto"/>
                <w:sz w:val="24"/>
                <w:highlight w:val="none"/>
              </w:rPr>
              <w:t>根据《环境影响评价技术导则</w:t>
            </w:r>
            <w:r>
              <w:rPr>
                <w:color w:val="auto"/>
                <w:sz w:val="24"/>
                <w:highlight w:val="none"/>
              </w:rPr>
              <w:t xml:space="preserve"> </w:t>
            </w:r>
            <w:r>
              <w:rPr>
                <w:rFonts w:hAnsi="宋体"/>
                <w:color w:val="auto"/>
                <w:sz w:val="24"/>
                <w:highlight w:val="none"/>
              </w:rPr>
              <w:t>声环境》（</w:t>
            </w:r>
            <w:r>
              <w:rPr>
                <w:color w:val="auto"/>
                <w:sz w:val="24"/>
                <w:highlight w:val="none"/>
              </w:rPr>
              <w:t>HJ2.4-20</w:t>
            </w:r>
            <w:r>
              <w:rPr>
                <w:rFonts w:hint="eastAsia"/>
                <w:color w:val="auto"/>
                <w:sz w:val="24"/>
                <w:highlight w:val="none"/>
              </w:rPr>
              <w:t>21</w:t>
            </w:r>
            <w:r>
              <w:rPr>
                <w:rFonts w:hAnsi="宋体"/>
                <w:color w:val="auto"/>
                <w:sz w:val="24"/>
                <w:highlight w:val="none"/>
              </w:rPr>
              <w:t>），室内声源可采用等效室外声源声功率级法进行计算。设靠近开口处（或窗户）室内、室外某倍频带的声压级分别为</w:t>
            </w:r>
            <w:r>
              <w:rPr>
                <w:i/>
                <w:color w:val="auto"/>
                <w:sz w:val="24"/>
                <w:highlight w:val="none"/>
              </w:rPr>
              <w:t>L</w:t>
            </w:r>
            <w:r>
              <w:rPr>
                <w:i/>
                <w:color w:val="auto"/>
                <w:sz w:val="24"/>
                <w:highlight w:val="none"/>
                <w:vertAlign w:val="subscript"/>
              </w:rPr>
              <w:t>P1</w:t>
            </w:r>
            <w:r>
              <w:rPr>
                <w:rFonts w:hAnsi="宋体"/>
                <w:color w:val="auto"/>
                <w:sz w:val="24"/>
                <w:highlight w:val="none"/>
              </w:rPr>
              <w:t>和</w:t>
            </w:r>
            <w:r>
              <w:rPr>
                <w:i/>
                <w:color w:val="auto"/>
                <w:sz w:val="24"/>
                <w:highlight w:val="none"/>
              </w:rPr>
              <w:t>L</w:t>
            </w:r>
            <w:r>
              <w:rPr>
                <w:i/>
                <w:color w:val="auto"/>
                <w:sz w:val="24"/>
                <w:highlight w:val="none"/>
                <w:vertAlign w:val="subscript"/>
              </w:rPr>
              <w:t>P2</w:t>
            </w:r>
            <w:r>
              <w:rPr>
                <w:rFonts w:hAnsi="宋体"/>
                <w:color w:val="auto"/>
                <w:sz w:val="24"/>
                <w:highlight w:val="none"/>
              </w:rPr>
              <w:t>。若声源所在室内声场为近似扩散声场，则室外的倍频带声压级可按下式近似求出：</w:t>
            </w:r>
          </w:p>
          <w:p>
            <w:pPr>
              <w:snapToGrid w:val="0"/>
              <w:spacing w:line="360" w:lineRule="auto"/>
              <w:ind w:firstLine="480"/>
              <w:jc w:val="center"/>
              <w:rPr>
                <w:color w:val="auto"/>
                <w:sz w:val="24"/>
                <w:highlight w:val="none"/>
              </w:rPr>
            </w:pPr>
            <w:r>
              <w:rPr>
                <w:color w:val="auto"/>
                <w:sz w:val="24"/>
                <w:highlight w:val="none"/>
                <w:lang w:val="en-GB" w:eastAsia="zh-TW"/>
              </w:rPr>
              <w:object>
                <v:shape id="_x0000_i1028" o:spt="75" type="#_x0000_t75" style="height:15pt;width:98.2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p>
          <w:p>
            <w:pPr>
              <w:snapToGrid w:val="0"/>
              <w:spacing w:line="360" w:lineRule="auto"/>
              <w:ind w:firstLine="480"/>
              <w:rPr>
                <w:rFonts w:ascii="宋体" w:hAnsi="宋体"/>
                <w:color w:val="auto"/>
                <w:sz w:val="24"/>
                <w:highlight w:val="none"/>
              </w:rPr>
            </w:pPr>
            <w:r>
              <w:rPr>
                <w:rFonts w:hAnsi="宋体"/>
                <w:color w:val="auto"/>
                <w:sz w:val="24"/>
                <w:highlight w:val="none"/>
              </w:rPr>
              <w:t>式中：</w:t>
            </w:r>
            <w:r>
              <w:rPr>
                <w:color w:val="auto"/>
                <w:sz w:val="24"/>
                <w:highlight w:val="none"/>
                <w:lang w:val="en-GB" w:eastAsia="zh-TW"/>
              </w:rPr>
              <w:object>
                <v:shape id="_x0000_i1029" o:spt="75" type="#_x0000_t75" style="height:13.5pt;width:1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color w:val="auto"/>
                <w:sz w:val="24"/>
                <w:highlight w:val="none"/>
              </w:rPr>
              <w:t>---</w:t>
            </w:r>
            <w:r>
              <w:rPr>
                <w:rFonts w:hAnsi="宋体"/>
                <w:color w:val="auto"/>
                <w:sz w:val="24"/>
                <w:highlight w:val="none"/>
              </w:rPr>
              <w:t>隔墙（或窗户）倍频带的隔声量，</w:t>
            </w:r>
            <w:r>
              <w:rPr>
                <w:color w:val="auto"/>
                <w:sz w:val="24"/>
                <w:highlight w:val="none"/>
              </w:rPr>
              <w:t>dB</w:t>
            </w:r>
            <w:r>
              <w:rPr>
                <w:rFonts w:hAnsi="宋体"/>
                <w:color w:val="auto"/>
                <w:sz w:val="24"/>
                <w:highlight w:val="none"/>
              </w:rPr>
              <w:t>（</w:t>
            </w:r>
            <w:r>
              <w:rPr>
                <w:color w:val="auto"/>
                <w:sz w:val="24"/>
                <w:highlight w:val="none"/>
              </w:rPr>
              <w:t>A</w:t>
            </w:r>
            <w:r>
              <w:rPr>
                <w:rFonts w:hAnsi="宋体"/>
                <w:color w:val="auto"/>
                <w:sz w:val="24"/>
                <w:highlight w:val="none"/>
              </w:rPr>
              <w:t>）。</w:t>
            </w:r>
          </w:p>
          <w:p>
            <w:pPr>
              <w:adjustRightInd w:val="0"/>
              <w:snapToGrid w:val="0"/>
              <w:spacing w:line="360" w:lineRule="auto"/>
              <w:ind w:firstLine="480" w:firstLineChars="200"/>
              <w:jc w:val="left"/>
              <w:rPr>
                <w:color w:val="auto"/>
                <w:spacing w:val="4"/>
                <w:sz w:val="24"/>
                <w:highlight w:val="none"/>
              </w:rPr>
            </w:pPr>
            <w:r>
              <w:rPr>
                <w:rFonts w:hint="eastAsia"/>
                <w:color w:val="auto"/>
                <w:sz w:val="24"/>
                <w:highlight w:val="none"/>
              </w:rPr>
              <w:t>②</w:t>
            </w:r>
            <w:r>
              <w:rPr>
                <w:rFonts w:ascii="宋体" w:hAnsi="宋体"/>
                <w:color w:val="auto"/>
                <w:spacing w:val="4"/>
                <w:sz w:val="24"/>
                <w:highlight w:val="none"/>
              </w:rPr>
              <w:t>衰减预测</w:t>
            </w:r>
          </w:p>
          <w:p>
            <w:pPr>
              <w:adjustRightInd w:val="0"/>
              <w:snapToGrid w:val="0"/>
              <w:spacing w:line="360" w:lineRule="auto"/>
              <w:ind w:firstLine="420" w:firstLineChars="200"/>
              <w:jc w:val="center"/>
              <w:rPr>
                <w:color w:val="auto"/>
                <w:spacing w:val="4"/>
                <w:sz w:val="24"/>
                <w:highlight w:val="none"/>
              </w:rPr>
            </w:pPr>
            <w:r>
              <w:rPr>
                <w:color w:val="auto"/>
                <w:highlight w:val="none"/>
              </w:rPr>
              <w:fldChar w:fldCharType="begin"/>
            </w:r>
            <w:r>
              <w:rPr>
                <w:color w:val="auto"/>
                <w:highlight w:val="none"/>
              </w:rPr>
              <w:instrText xml:space="preserve"> INCLUDEPICTURE "C:\\Users\\ADMINI~1\\AppData\\Local\\Temp\\ksohtml7844\\wps1.png" \* MERGEFORMATINET </w:instrText>
            </w:r>
            <w:r>
              <w:rPr>
                <w:color w:val="auto"/>
                <w:highlight w:val="none"/>
              </w:rPr>
              <w:fldChar w:fldCharType="separate"/>
            </w:r>
            <w:r>
              <w:rPr>
                <w:color w:val="auto"/>
                <w:highlight w:val="none"/>
              </w:rPr>
              <w:drawing>
                <wp:inline distT="0" distB="0" distL="114300" distR="114300">
                  <wp:extent cx="1887220" cy="400685"/>
                  <wp:effectExtent l="0" t="0" r="0" b="18415"/>
                  <wp:docPr id="9" name="图片 8"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wps1"/>
                          <pic:cNvPicPr>
                            <a:picLocks noChangeAspect="1"/>
                          </pic:cNvPicPr>
                        </pic:nvPicPr>
                        <pic:blipFill>
                          <a:blip r:embed="rId23" cstate="print"/>
                          <a:stretch>
                            <a:fillRect/>
                          </a:stretch>
                        </pic:blipFill>
                        <pic:spPr>
                          <a:xfrm>
                            <a:off x="0" y="0"/>
                            <a:ext cx="1887220" cy="400685"/>
                          </a:xfrm>
                          <a:prstGeom prst="rect">
                            <a:avLst/>
                          </a:prstGeom>
                          <a:noFill/>
                          <a:ln>
                            <a:noFill/>
                          </a:ln>
                        </pic:spPr>
                      </pic:pic>
                    </a:graphicData>
                  </a:graphic>
                </wp:inline>
              </w:drawing>
            </w:r>
            <w:r>
              <w:rPr>
                <w:color w:val="auto"/>
                <w:highlight w:val="none"/>
              </w:rPr>
              <w:fldChar w:fldCharType="end"/>
            </w:r>
            <w:r>
              <w:rPr>
                <w:color w:val="auto"/>
                <w:spacing w:val="4"/>
                <w:sz w:val="24"/>
                <w:highlight w:val="none"/>
              </w:rPr>
              <w:t xml:space="preserve"> </w:t>
            </w:r>
          </w:p>
          <w:p>
            <w:pPr>
              <w:adjustRightInd w:val="0"/>
              <w:snapToGrid w:val="0"/>
              <w:spacing w:line="360" w:lineRule="auto"/>
              <w:jc w:val="left"/>
              <w:rPr>
                <w:color w:val="auto"/>
                <w:spacing w:val="4"/>
                <w:sz w:val="24"/>
                <w:highlight w:val="none"/>
              </w:rPr>
            </w:pPr>
            <w:r>
              <w:rPr>
                <w:rFonts w:ascii="宋体" w:hAnsi="宋体"/>
                <w:color w:val="auto"/>
                <w:spacing w:val="4"/>
                <w:sz w:val="24"/>
                <w:highlight w:val="none"/>
              </w:rPr>
              <w:t>式中：</w:t>
            </w:r>
          </w:p>
          <w:p>
            <w:pPr>
              <w:adjustRightInd w:val="0"/>
              <w:snapToGrid w:val="0"/>
              <w:spacing w:line="360" w:lineRule="auto"/>
              <w:ind w:firstLine="420" w:firstLineChars="200"/>
              <w:jc w:val="left"/>
              <w:rPr>
                <w:color w:val="auto"/>
                <w:spacing w:val="4"/>
                <w:sz w:val="24"/>
                <w:highlight w:val="none"/>
              </w:rPr>
            </w:pPr>
            <w:r>
              <w:rPr>
                <w:color w:val="auto"/>
                <w:highlight w:val="none"/>
              </w:rPr>
              <w:fldChar w:fldCharType="begin"/>
            </w:r>
            <w:r>
              <w:rPr>
                <w:color w:val="auto"/>
                <w:highlight w:val="none"/>
              </w:rPr>
              <w:instrText xml:space="preserve"> INCLUDEPICTURE "C:\\Users\\ADMINI~1\\AppData\\Local\\Temp\\ksohtml7844\\wps2.png" \* MERGEFORMATINET </w:instrText>
            </w:r>
            <w:r>
              <w:rPr>
                <w:color w:val="auto"/>
                <w:highlight w:val="none"/>
              </w:rPr>
              <w:fldChar w:fldCharType="separate"/>
            </w:r>
            <w:r>
              <w:rPr>
                <w:color w:val="auto"/>
                <w:highlight w:val="none"/>
              </w:rPr>
              <w:drawing>
                <wp:inline distT="0" distB="0" distL="114300" distR="114300">
                  <wp:extent cx="189230" cy="247015"/>
                  <wp:effectExtent l="0" t="0" r="1270" b="635"/>
                  <wp:docPr id="10" name="图片 9"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wps2"/>
                          <pic:cNvPicPr>
                            <a:picLocks noChangeAspect="1"/>
                          </pic:cNvPicPr>
                        </pic:nvPicPr>
                        <pic:blipFill>
                          <a:blip r:embed="rId24" cstate="print"/>
                          <a:stretch>
                            <a:fillRect/>
                          </a:stretch>
                        </pic:blipFill>
                        <pic:spPr>
                          <a:xfrm>
                            <a:off x="0" y="0"/>
                            <a:ext cx="189230" cy="247015"/>
                          </a:xfrm>
                          <a:prstGeom prst="rect">
                            <a:avLst/>
                          </a:prstGeom>
                          <a:noFill/>
                          <a:ln>
                            <a:noFill/>
                          </a:ln>
                        </pic:spPr>
                      </pic:pic>
                    </a:graphicData>
                  </a:graphic>
                </wp:inline>
              </w:drawing>
            </w:r>
            <w:r>
              <w:rPr>
                <w:color w:val="auto"/>
                <w:highlight w:val="none"/>
              </w:rPr>
              <w:fldChar w:fldCharType="end"/>
            </w:r>
            <w:r>
              <w:rPr>
                <w:color w:val="auto"/>
                <w:spacing w:val="4"/>
                <w:sz w:val="24"/>
                <w:highlight w:val="none"/>
              </w:rPr>
              <w:t>——</w:t>
            </w:r>
            <w:r>
              <w:rPr>
                <w:rFonts w:ascii="宋体" w:hAnsi="宋体"/>
                <w:color w:val="auto"/>
                <w:spacing w:val="4"/>
                <w:sz w:val="24"/>
                <w:highlight w:val="none"/>
              </w:rPr>
              <w:t>距声源</w:t>
            </w:r>
            <w:r>
              <w:rPr>
                <w:color w:val="auto"/>
                <w:spacing w:val="4"/>
                <w:sz w:val="24"/>
                <w:highlight w:val="none"/>
              </w:rPr>
              <w:t>r</w:t>
            </w:r>
            <w:r>
              <w:rPr>
                <w:rFonts w:ascii="宋体" w:hAnsi="宋体"/>
                <w:color w:val="auto"/>
                <w:spacing w:val="4"/>
                <w:sz w:val="24"/>
                <w:highlight w:val="none"/>
              </w:rPr>
              <w:t>米处的施工噪声预测值，</w:t>
            </w:r>
            <w:r>
              <w:rPr>
                <w:color w:val="auto"/>
                <w:spacing w:val="4"/>
                <w:sz w:val="24"/>
                <w:highlight w:val="none"/>
              </w:rPr>
              <w:t>dB</w:t>
            </w:r>
            <w:r>
              <w:rPr>
                <w:rFonts w:ascii="宋体" w:hAnsi="宋体"/>
                <w:color w:val="auto"/>
                <w:spacing w:val="4"/>
                <w:sz w:val="24"/>
                <w:highlight w:val="none"/>
              </w:rPr>
              <w:t>（</w:t>
            </w:r>
            <w:r>
              <w:rPr>
                <w:color w:val="auto"/>
                <w:spacing w:val="4"/>
                <w:sz w:val="24"/>
                <w:highlight w:val="none"/>
              </w:rPr>
              <w:t>A</w:t>
            </w:r>
            <w:r>
              <w:rPr>
                <w:rFonts w:ascii="宋体" w:hAnsi="宋体"/>
                <w:color w:val="auto"/>
                <w:spacing w:val="4"/>
                <w:sz w:val="24"/>
                <w:highlight w:val="none"/>
              </w:rPr>
              <w:t>）；</w:t>
            </w:r>
          </w:p>
          <w:p>
            <w:pPr>
              <w:adjustRightInd w:val="0"/>
              <w:snapToGrid w:val="0"/>
              <w:spacing w:line="360" w:lineRule="auto"/>
              <w:ind w:firstLine="420" w:firstLineChars="200"/>
              <w:jc w:val="left"/>
              <w:rPr>
                <w:color w:val="auto"/>
                <w:spacing w:val="4"/>
                <w:sz w:val="24"/>
                <w:highlight w:val="none"/>
              </w:rPr>
            </w:pPr>
            <w:r>
              <w:rPr>
                <w:color w:val="auto"/>
                <w:highlight w:val="none"/>
              </w:rPr>
              <w:fldChar w:fldCharType="begin"/>
            </w:r>
            <w:r>
              <w:rPr>
                <w:color w:val="auto"/>
                <w:highlight w:val="none"/>
              </w:rPr>
              <w:instrText xml:space="preserve"> INCLUDEPICTURE "C:\\Users\\ADMINI~1\\AppData\\Local\\Temp\\ksohtml7844\\wps3.png" \* MERGEFORMATINET </w:instrText>
            </w:r>
            <w:r>
              <w:rPr>
                <w:color w:val="auto"/>
                <w:highlight w:val="none"/>
              </w:rPr>
              <w:fldChar w:fldCharType="separate"/>
            </w:r>
            <w:r>
              <w:rPr>
                <w:color w:val="auto"/>
                <w:highlight w:val="none"/>
              </w:rPr>
              <w:drawing>
                <wp:inline distT="0" distB="0" distL="114300" distR="114300">
                  <wp:extent cx="227965" cy="247015"/>
                  <wp:effectExtent l="0" t="0" r="635" b="635"/>
                  <wp:docPr id="8" name="图片 10"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wps5"/>
                          <pic:cNvPicPr>
                            <a:picLocks noChangeAspect="1"/>
                          </pic:cNvPicPr>
                        </pic:nvPicPr>
                        <pic:blipFill>
                          <a:blip r:embed="rId25" cstate="print"/>
                          <a:stretch>
                            <a:fillRect/>
                          </a:stretch>
                        </pic:blipFill>
                        <pic:spPr>
                          <a:xfrm>
                            <a:off x="0" y="0"/>
                            <a:ext cx="227965" cy="247015"/>
                          </a:xfrm>
                          <a:prstGeom prst="rect">
                            <a:avLst/>
                          </a:prstGeom>
                          <a:noFill/>
                          <a:ln>
                            <a:noFill/>
                          </a:ln>
                        </pic:spPr>
                      </pic:pic>
                    </a:graphicData>
                  </a:graphic>
                </wp:inline>
              </w:drawing>
            </w:r>
            <w:r>
              <w:rPr>
                <w:color w:val="auto"/>
                <w:highlight w:val="none"/>
              </w:rPr>
              <w:fldChar w:fldCharType="end"/>
            </w:r>
            <w:r>
              <w:rPr>
                <w:color w:val="auto"/>
                <w:spacing w:val="4"/>
                <w:sz w:val="24"/>
                <w:highlight w:val="none"/>
              </w:rPr>
              <w:t>——</w:t>
            </w:r>
            <w:r>
              <w:rPr>
                <w:rFonts w:ascii="宋体" w:hAnsi="宋体"/>
                <w:color w:val="auto"/>
                <w:spacing w:val="4"/>
                <w:sz w:val="24"/>
                <w:highlight w:val="none"/>
              </w:rPr>
              <w:t>距声源</w:t>
            </w:r>
            <w:r>
              <w:rPr>
                <w:color w:val="auto"/>
                <w:spacing w:val="4"/>
                <w:sz w:val="24"/>
                <w:highlight w:val="none"/>
              </w:rPr>
              <w:t>r</w:t>
            </w:r>
            <w:r>
              <w:rPr>
                <w:color w:val="auto"/>
                <w:spacing w:val="4"/>
                <w:sz w:val="24"/>
                <w:highlight w:val="none"/>
                <w:vertAlign w:val="subscript"/>
              </w:rPr>
              <w:t>o</w:t>
            </w:r>
            <w:r>
              <w:rPr>
                <w:rFonts w:ascii="宋体" w:hAnsi="宋体"/>
                <w:color w:val="auto"/>
                <w:spacing w:val="4"/>
                <w:sz w:val="24"/>
                <w:highlight w:val="none"/>
              </w:rPr>
              <w:t>米处的参考声级，</w:t>
            </w:r>
            <w:r>
              <w:rPr>
                <w:color w:val="auto"/>
                <w:spacing w:val="4"/>
                <w:sz w:val="24"/>
                <w:highlight w:val="none"/>
              </w:rPr>
              <w:t>dB</w:t>
            </w:r>
            <w:r>
              <w:rPr>
                <w:rFonts w:ascii="宋体" w:hAnsi="宋体"/>
                <w:color w:val="auto"/>
                <w:spacing w:val="4"/>
                <w:sz w:val="24"/>
                <w:highlight w:val="none"/>
              </w:rPr>
              <w:t>（</w:t>
            </w:r>
            <w:r>
              <w:rPr>
                <w:color w:val="auto"/>
                <w:spacing w:val="4"/>
                <w:sz w:val="24"/>
                <w:highlight w:val="none"/>
              </w:rPr>
              <w:t>A</w:t>
            </w:r>
            <w:r>
              <w:rPr>
                <w:rFonts w:ascii="宋体" w:hAnsi="宋体"/>
                <w:color w:val="auto"/>
                <w:spacing w:val="4"/>
                <w:sz w:val="24"/>
                <w:highlight w:val="none"/>
              </w:rPr>
              <w:t>）；</w:t>
            </w:r>
          </w:p>
          <w:p>
            <w:pPr>
              <w:adjustRightInd w:val="0"/>
              <w:snapToGrid w:val="0"/>
              <w:spacing w:line="360" w:lineRule="auto"/>
              <w:ind w:firstLine="420" w:firstLineChars="200"/>
              <w:jc w:val="left"/>
              <w:rPr>
                <w:color w:val="auto"/>
                <w:spacing w:val="4"/>
                <w:sz w:val="24"/>
                <w:highlight w:val="none"/>
              </w:rPr>
            </w:pPr>
            <w:r>
              <w:rPr>
                <w:color w:val="auto"/>
                <w:highlight w:val="none"/>
              </w:rPr>
              <w:fldChar w:fldCharType="begin"/>
            </w:r>
            <w:r>
              <w:rPr>
                <w:color w:val="auto"/>
                <w:highlight w:val="none"/>
              </w:rPr>
              <w:instrText xml:space="preserve"> INCLUDEPICTURE "C:\\Users\\ADMINI~1\\AppData\\Local\\Temp\\ksohtml7844\\wps4.png" \* MERGEFORMATINET </w:instrText>
            </w:r>
            <w:r>
              <w:rPr>
                <w:color w:val="auto"/>
                <w:highlight w:val="none"/>
              </w:rPr>
              <w:fldChar w:fldCharType="separate"/>
            </w:r>
            <w:r>
              <w:rPr>
                <w:color w:val="auto"/>
                <w:highlight w:val="none"/>
              </w:rPr>
              <w:drawing>
                <wp:inline distT="0" distB="0" distL="114300" distR="114300">
                  <wp:extent cx="134620" cy="227965"/>
                  <wp:effectExtent l="0" t="0" r="17780" b="635"/>
                  <wp:docPr id="7" name="图片 11"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wps4"/>
                          <pic:cNvPicPr>
                            <a:picLocks noChangeAspect="1"/>
                          </pic:cNvPicPr>
                        </pic:nvPicPr>
                        <pic:blipFill>
                          <a:blip r:embed="rId26" cstate="print"/>
                          <a:stretch>
                            <a:fillRect/>
                          </a:stretch>
                        </pic:blipFill>
                        <pic:spPr>
                          <a:xfrm>
                            <a:off x="0" y="0"/>
                            <a:ext cx="134620" cy="227965"/>
                          </a:xfrm>
                          <a:prstGeom prst="rect">
                            <a:avLst/>
                          </a:prstGeom>
                          <a:noFill/>
                          <a:ln>
                            <a:noFill/>
                          </a:ln>
                        </pic:spPr>
                      </pic:pic>
                    </a:graphicData>
                  </a:graphic>
                </wp:inline>
              </w:drawing>
            </w:r>
            <w:r>
              <w:rPr>
                <w:color w:val="auto"/>
                <w:highlight w:val="none"/>
              </w:rPr>
              <w:fldChar w:fldCharType="end"/>
            </w:r>
            <w:r>
              <w:rPr>
                <w:color w:val="auto"/>
                <w:spacing w:val="4"/>
                <w:sz w:val="24"/>
                <w:highlight w:val="none"/>
              </w:rPr>
              <w:t>——</w:t>
            </w:r>
            <w:r>
              <w:rPr>
                <w:color w:val="auto"/>
                <w:highlight w:val="none"/>
              </w:rPr>
              <w:fldChar w:fldCharType="begin"/>
            </w:r>
            <w:r>
              <w:rPr>
                <w:color w:val="auto"/>
                <w:highlight w:val="none"/>
              </w:rPr>
              <w:instrText xml:space="preserve"> INCLUDEPICTURE "C:\\Users\\ADMINI~1\\AppData\\Local\\Temp\\ksohtml7844\\wps5.png" \* MERGEFORMATINET </w:instrText>
            </w:r>
            <w:r>
              <w:rPr>
                <w:color w:val="auto"/>
                <w:highlight w:val="none"/>
              </w:rPr>
              <w:fldChar w:fldCharType="separate"/>
            </w:r>
            <w:r>
              <w:rPr>
                <w:color w:val="auto"/>
                <w:highlight w:val="none"/>
              </w:rPr>
              <w:drawing>
                <wp:inline distT="0" distB="0" distL="114300" distR="114300">
                  <wp:extent cx="227965" cy="247015"/>
                  <wp:effectExtent l="0" t="0" r="635" b="635"/>
                  <wp:docPr id="6" name="图片 12"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wps5"/>
                          <pic:cNvPicPr>
                            <a:picLocks noChangeAspect="1"/>
                          </pic:cNvPicPr>
                        </pic:nvPicPr>
                        <pic:blipFill>
                          <a:blip r:embed="rId25" cstate="print"/>
                          <a:stretch>
                            <a:fillRect/>
                          </a:stretch>
                        </pic:blipFill>
                        <pic:spPr>
                          <a:xfrm>
                            <a:off x="0" y="0"/>
                            <a:ext cx="227965" cy="247015"/>
                          </a:xfrm>
                          <a:prstGeom prst="rect">
                            <a:avLst/>
                          </a:prstGeom>
                          <a:noFill/>
                          <a:ln>
                            <a:noFill/>
                          </a:ln>
                        </pic:spPr>
                      </pic:pic>
                    </a:graphicData>
                  </a:graphic>
                </wp:inline>
              </w:drawing>
            </w:r>
            <w:r>
              <w:rPr>
                <w:color w:val="auto"/>
                <w:highlight w:val="none"/>
              </w:rPr>
              <w:fldChar w:fldCharType="end"/>
            </w:r>
            <w:r>
              <w:rPr>
                <w:rFonts w:ascii="宋体" w:hAnsi="宋体"/>
                <w:color w:val="auto"/>
                <w:spacing w:val="4"/>
                <w:sz w:val="24"/>
                <w:highlight w:val="none"/>
              </w:rPr>
              <w:t>噪声的测点距离（</w:t>
            </w:r>
            <w:r>
              <w:rPr>
                <w:color w:val="auto"/>
                <w:spacing w:val="4"/>
                <w:sz w:val="24"/>
                <w:highlight w:val="none"/>
              </w:rPr>
              <w:t>5m</w:t>
            </w:r>
            <w:r>
              <w:rPr>
                <w:rFonts w:ascii="宋体" w:hAnsi="宋体"/>
                <w:color w:val="auto"/>
                <w:spacing w:val="4"/>
                <w:sz w:val="24"/>
                <w:highlight w:val="none"/>
              </w:rPr>
              <w:t>或</w:t>
            </w:r>
            <w:r>
              <w:rPr>
                <w:color w:val="auto"/>
                <w:spacing w:val="4"/>
                <w:sz w:val="24"/>
                <w:highlight w:val="none"/>
              </w:rPr>
              <w:t>1m</w:t>
            </w:r>
            <w:r>
              <w:rPr>
                <w:rFonts w:ascii="宋体" w:hAnsi="宋体"/>
                <w:color w:val="auto"/>
                <w:spacing w:val="4"/>
                <w:sz w:val="24"/>
                <w:highlight w:val="none"/>
              </w:rPr>
              <w:t>），</w:t>
            </w:r>
            <w:r>
              <w:rPr>
                <w:color w:val="auto"/>
                <w:spacing w:val="4"/>
                <w:sz w:val="24"/>
                <w:highlight w:val="none"/>
              </w:rPr>
              <w:t>m</w:t>
            </w:r>
            <w:r>
              <w:rPr>
                <w:rFonts w:ascii="宋体" w:hAnsi="宋体"/>
                <w:color w:val="auto"/>
                <w:spacing w:val="4"/>
                <w:sz w:val="24"/>
                <w:highlight w:val="none"/>
              </w:rPr>
              <w:t>；</w:t>
            </w:r>
          </w:p>
          <w:p>
            <w:pPr>
              <w:adjustRightInd w:val="0"/>
              <w:snapToGrid w:val="0"/>
              <w:spacing w:line="360" w:lineRule="auto"/>
              <w:ind w:firstLine="496" w:firstLineChars="200"/>
              <w:jc w:val="left"/>
              <w:rPr>
                <w:color w:val="auto"/>
                <w:spacing w:val="4"/>
                <w:sz w:val="24"/>
                <w:highlight w:val="none"/>
              </w:rPr>
            </w:pPr>
            <w:r>
              <w:rPr>
                <w:rFonts w:ascii="Cambria Math" w:hAnsi="Cambria Math"/>
                <w:color w:val="auto"/>
                <w:spacing w:val="4"/>
                <w:sz w:val="24"/>
                <w:highlight w:val="none"/>
              </w:rPr>
              <w:t>△</w:t>
            </w:r>
            <w:r>
              <w:rPr>
                <w:color w:val="auto"/>
                <w:spacing w:val="4"/>
                <w:sz w:val="24"/>
                <w:highlight w:val="none"/>
              </w:rPr>
              <w:t>L——</w:t>
            </w:r>
            <w:r>
              <w:rPr>
                <w:rFonts w:ascii="宋体" w:hAnsi="宋体"/>
                <w:color w:val="auto"/>
                <w:spacing w:val="4"/>
                <w:sz w:val="24"/>
                <w:highlight w:val="none"/>
              </w:rPr>
              <w:t>采取各种措施后的噪声衰减量，</w:t>
            </w:r>
            <w:r>
              <w:rPr>
                <w:color w:val="auto"/>
                <w:spacing w:val="4"/>
                <w:sz w:val="24"/>
                <w:highlight w:val="none"/>
              </w:rPr>
              <w:t>dB</w:t>
            </w:r>
            <w:r>
              <w:rPr>
                <w:rFonts w:ascii="宋体" w:hAnsi="宋体"/>
                <w:color w:val="auto"/>
                <w:spacing w:val="4"/>
                <w:sz w:val="24"/>
                <w:highlight w:val="none"/>
              </w:rPr>
              <w:t>（</w:t>
            </w:r>
            <w:r>
              <w:rPr>
                <w:color w:val="auto"/>
                <w:spacing w:val="4"/>
                <w:sz w:val="24"/>
                <w:highlight w:val="none"/>
              </w:rPr>
              <w:t>A</w:t>
            </w:r>
            <w:r>
              <w:rPr>
                <w:rFonts w:ascii="宋体" w:hAnsi="宋体"/>
                <w:color w:val="auto"/>
                <w:spacing w:val="4"/>
                <w:sz w:val="24"/>
                <w:highlight w:val="none"/>
              </w:rPr>
              <w:t>）。</w:t>
            </w:r>
          </w:p>
          <w:p>
            <w:pPr>
              <w:pStyle w:val="44"/>
              <w:snapToGrid w:val="0"/>
              <w:spacing w:line="360" w:lineRule="auto"/>
              <w:ind w:firstLine="480" w:firstLineChars="200"/>
              <w:rPr>
                <w:color w:val="auto"/>
                <w:highlight w:val="none"/>
              </w:rPr>
            </w:pPr>
            <w:r>
              <w:rPr>
                <w:rFonts w:hint="eastAsia" w:ascii="宋体" w:hAnsi="宋体" w:cs="宋体"/>
                <w:color w:val="auto"/>
                <w:highlight w:val="none"/>
              </w:rPr>
              <w:t>③</w:t>
            </w:r>
            <w:r>
              <w:rPr>
                <w:rFonts w:hint="eastAsia" w:hAnsi="宋体"/>
                <w:color w:val="auto"/>
                <w:highlight w:val="none"/>
              </w:rPr>
              <w:t>多声源声压级的叠加</w:t>
            </w:r>
          </w:p>
          <w:tbl>
            <w:tblPr>
              <w:tblStyle w:val="34"/>
              <w:tblW w:w="2851" w:type="dxa"/>
              <w:tblCellSpacing w:w="0" w:type="dxa"/>
              <w:tblInd w:w="2882" w:type="dxa"/>
              <w:tblLayout w:type="fixed"/>
              <w:tblCellMar>
                <w:top w:w="0" w:type="dxa"/>
                <w:left w:w="0" w:type="dxa"/>
                <w:bottom w:w="0" w:type="dxa"/>
                <w:right w:w="0" w:type="dxa"/>
              </w:tblCellMar>
            </w:tblPr>
            <w:tblGrid>
              <w:gridCol w:w="2851"/>
            </w:tblGrid>
            <w:tr>
              <w:tblPrEx>
                <w:tblCellMar>
                  <w:top w:w="0" w:type="dxa"/>
                  <w:left w:w="0" w:type="dxa"/>
                  <w:bottom w:w="0" w:type="dxa"/>
                  <w:right w:w="0" w:type="dxa"/>
                </w:tblCellMar>
              </w:tblPrEx>
              <w:trPr>
                <w:tblCellSpacing w:w="0" w:type="dxa"/>
              </w:trPr>
              <w:tc>
                <w:tcPr>
                  <w:tcW w:w="2851" w:type="dxa"/>
                  <w:vAlign w:val="center"/>
                </w:tcPr>
                <w:p>
                  <w:pPr>
                    <w:widowControl/>
                    <w:jc w:val="left"/>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"C:\\Users\\ADMINI~1\\AppData\\Local\\Temp\\ksohtml7844\\wps6.png"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1810385" cy="447040"/>
                        <wp:effectExtent l="0" t="0" r="0" b="10795"/>
                        <wp:docPr id="5" name="图片 13"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wps6"/>
                                <pic:cNvPicPr>
                                  <a:picLocks noChangeAspect="1"/>
                                </pic:cNvPicPr>
                              </pic:nvPicPr>
                              <pic:blipFill>
                                <a:blip r:embed="rId27" cstate="print"/>
                                <a:stretch>
                                  <a:fillRect/>
                                </a:stretch>
                              </pic:blipFill>
                              <pic:spPr>
                                <a:xfrm>
                                  <a:off x="0" y="0"/>
                                  <a:ext cx="1810385" cy="447040"/>
                                </a:xfrm>
                                <a:prstGeom prst="rect">
                                  <a:avLst/>
                                </a:prstGeom>
                                <a:noFill/>
                                <a:ln>
                                  <a:noFill/>
                                </a:ln>
                              </pic:spPr>
                            </pic:pic>
                          </a:graphicData>
                        </a:graphic>
                      </wp:inline>
                    </w:drawing>
                  </w:r>
                  <w:r>
                    <w:rPr>
                      <w:rFonts w:ascii="宋体" w:hAnsi="宋体" w:cs="宋体"/>
                      <w:color w:val="auto"/>
                      <w:kern w:val="0"/>
                      <w:sz w:val="24"/>
                      <w:highlight w:val="none"/>
                    </w:rPr>
                    <w:fldChar w:fldCharType="end"/>
                  </w:r>
                </w:p>
              </w:tc>
            </w:tr>
          </w:tbl>
          <w:p>
            <w:pPr>
              <w:autoSpaceDE w:val="0"/>
              <w:autoSpaceDN w:val="0"/>
              <w:spacing w:line="360" w:lineRule="auto"/>
              <w:ind w:firstLine="720" w:firstLineChars="300"/>
              <w:rPr>
                <w:color w:val="auto"/>
                <w:sz w:val="24"/>
                <w:highlight w:val="none"/>
              </w:rPr>
            </w:pPr>
            <w:r>
              <w:rPr>
                <w:rFonts w:ascii="宋体" w:hAnsi="宋体"/>
                <w:color w:val="auto"/>
                <w:sz w:val="24"/>
                <w:highlight w:val="none"/>
              </w:rPr>
              <w:t>当有多个声源共同作用时，受声点的总声级计算公式：</w:t>
            </w:r>
            <w:r>
              <w:rPr>
                <w:color w:val="auto"/>
                <w:sz w:val="24"/>
                <w:highlight w:val="none"/>
              </w:rPr>
              <w:t xml:space="preserve"> </w:t>
            </w:r>
          </w:p>
          <w:p>
            <w:pPr>
              <w:pStyle w:val="46"/>
              <w:snapToGrid w:val="0"/>
              <w:spacing w:line="360" w:lineRule="auto"/>
              <w:ind w:firstLine="240" w:firstLineChars="100"/>
              <w:rPr>
                <w:rFonts w:ascii="Times New Roman"/>
                <w:b w:val="0"/>
                <w:bCs w:val="0"/>
                <w:color w:val="auto"/>
                <w:highlight w:val="none"/>
              </w:rPr>
            </w:pPr>
            <w:r>
              <w:rPr>
                <w:b w:val="0"/>
                <w:bCs w:val="0"/>
                <w:color w:val="auto"/>
                <w:sz w:val="24"/>
                <w:szCs w:val="24"/>
                <w:highlight w:val="none"/>
              </w:rPr>
              <w:t>式中：</w:t>
            </w:r>
            <w:r>
              <w:rPr>
                <w:rFonts w:ascii="Times New Roman"/>
                <w:b w:val="0"/>
                <w:bCs w:val="0"/>
                <w:color w:val="auto"/>
                <w:sz w:val="24"/>
                <w:szCs w:val="24"/>
                <w:highlight w:val="none"/>
              </w:rPr>
              <w:t>Leq</w:t>
            </w:r>
            <w:r>
              <w:rPr>
                <w:b w:val="0"/>
                <w:bCs w:val="0"/>
                <w:color w:val="auto"/>
                <w:sz w:val="24"/>
                <w:szCs w:val="24"/>
                <w:highlight w:val="none"/>
              </w:rPr>
              <w:t>为某受声点总声级；</w:t>
            </w:r>
            <w:r>
              <w:rPr>
                <w:rFonts w:ascii="Times New Roman"/>
                <w:b w:val="0"/>
                <w:bCs w:val="0"/>
                <w:color w:val="auto"/>
                <w:sz w:val="24"/>
                <w:szCs w:val="24"/>
                <w:highlight w:val="none"/>
              </w:rPr>
              <w:t>Li</w:t>
            </w:r>
            <w:r>
              <w:rPr>
                <w:b w:val="0"/>
                <w:bCs w:val="0"/>
                <w:color w:val="auto"/>
                <w:sz w:val="24"/>
                <w:szCs w:val="24"/>
                <w:highlight w:val="none"/>
              </w:rPr>
              <w:t>为第</w:t>
            </w:r>
            <w:r>
              <w:rPr>
                <w:rFonts w:ascii="Times New Roman"/>
                <w:b w:val="0"/>
                <w:bCs w:val="0"/>
                <w:color w:val="auto"/>
                <w:sz w:val="24"/>
                <w:szCs w:val="24"/>
                <w:highlight w:val="none"/>
              </w:rPr>
              <w:t>i</w:t>
            </w:r>
            <w:r>
              <w:rPr>
                <w:b w:val="0"/>
                <w:bCs w:val="0"/>
                <w:color w:val="auto"/>
                <w:sz w:val="24"/>
                <w:szCs w:val="24"/>
                <w:highlight w:val="none"/>
              </w:rPr>
              <w:t>个声源在受声点产生的声级。</w:t>
            </w:r>
          </w:p>
          <w:p>
            <w:pPr>
              <w:snapToGrid w:val="0"/>
              <w:spacing w:line="360" w:lineRule="auto"/>
              <w:ind w:firstLine="480" w:firstLineChars="200"/>
              <w:rPr>
                <w:color w:val="auto"/>
                <w:sz w:val="24"/>
                <w:highlight w:val="none"/>
              </w:rPr>
            </w:pPr>
            <w:r>
              <w:rPr>
                <w:color w:val="auto"/>
                <w:sz w:val="24"/>
                <w:highlight w:val="none"/>
              </w:rPr>
              <w:fldChar w:fldCharType="begin"/>
            </w:r>
            <w:r>
              <w:rPr>
                <w:color w:val="auto"/>
                <w:sz w:val="24"/>
                <w:highlight w:val="none"/>
              </w:rPr>
              <w:instrText xml:space="preserve"> = 4 \* GB3 \* MERGEFORMAT </w:instrText>
            </w:r>
            <w:r>
              <w:rPr>
                <w:color w:val="auto"/>
                <w:sz w:val="24"/>
                <w:highlight w:val="none"/>
              </w:rPr>
              <w:fldChar w:fldCharType="separate"/>
            </w:r>
            <w:r>
              <w:rPr>
                <w:color w:val="auto"/>
                <w:sz w:val="24"/>
                <w:highlight w:val="none"/>
              </w:rPr>
              <w:t>④</w:t>
            </w:r>
            <w:r>
              <w:rPr>
                <w:color w:val="auto"/>
                <w:sz w:val="24"/>
                <w:highlight w:val="none"/>
              </w:rPr>
              <w:fldChar w:fldCharType="end"/>
            </w:r>
            <w:r>
              <w:rPr>
                <w:rFonts w:ascii="宋体" w:hAnsi="宋体"/>
                <w:color w:val="auto"/>
                <w:sz w:val="24"/>
                <w:highlight w:val="none"/>
              </w:rPr>
              <w:t>同一受声点叠加背景噪声后的总噪声为：</w:t>
            </w:r>
          </w:p>
          <w:p>
            <w:pPr>
              <w:snapToGrid w:val="0"/>
              <w:spacing w:line="360" w:lineRule="auto"/>
              <w:ind w:firstLine="539" w:firstLineChars="257"/>
              <w:jc w:val="center"/>
              <w:rPr>
                <w:color w:val="auto"/>
                <w:sz w:val="24"/>
                <w:highlight w:val="none"/>
              </w:rPr>
            </w:pPr>
            <w:r>
              <w:rPr>
                <w:color w:val="auto"/>
                <w:highlight w:val="none"/>
              </w:rPr>
              <w:fldChar w:fldCharType="begin"/>
            </w:r>
            <w:r>
              <w:rPr>
                <w:color w:val="auto"/>
                <w:highlight w:val="none"/>
              </w:rPr>
              <w:instrText xml:space="preserve"> INCLUDEPICTURE "C:\\Users\\ADMINI~1\\AppData\\Local\\Temp\\ksohtml7844\\wps7.png" \* MERGEFORMATINET </w:instrText>
            </w:r>
            <w:r>
              <w:rPr>
                <w:color w:val="auto"/>
                <w:highlight w:val="none"/>
              </w:rPr>
              <w:fldChar w:fldCharType="separate"/>
            </w:r>
            <w:r>
              <w:rPr>
                <w:color w:val="auto"/>
                <w:highlight w:val="none"/>
              </w:rPr>
              <w:drawing>
                <wp:inline distT="0" distB="0" distL="114300" distR="114300">
                  <wp:extent cx="2600325" cy="304800"/>
                  <wp:effectExtent l="0" t="0" r="9525" b="0"/>
                  <wp:docPr id="3" name="图片 14"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wps7"/>
                          <pic:cNvPicPr>
                            <a:picLocks noChangeAspect="1"/>
                          </pic:cNvPicPr>
                        </pic:nvPicPr>
                        <pic:blipFill>
                          <a:blip r:embed="rId28" cstate="print"/>
                          <a:stretch>
                            <a:fillRect/>
                          </a:stretch>
                        </pic:blipFill>
                        <pic:spPr>
                          <a:xfrm>
                            <a:off x="0" y="0"/>
                            <a:ext cx="2600325" cy="304800"/>
                          </a:xfrm>
                          <a:prstGeom prst="rect">
                            <a:avLst/>
                          </a:prstGeom>
                          <a:noFill/>
                          <a:ln>
                            <a:noFill/>
                          </a:ln>
                        </pic:spPr>
                      </pic:pic>
                    </a:graphicData>
                  </a:graphic>
                </wp:inline>
              </w:drawing>
            </w:r>
            <w:r>
              <w:rPr>
                <w:color w:val="auto"/>
                <w:highlight w:val="none"/>
              </w:rPr>
              <w:fldChar w:fldCharType="end"/>
            </w:r>
            <w:r>
              <w:rPr>
                <w:color w:val="auto"/>
                <w:sz w:val="24"/>
                <w:highlight w:val="none"/>
              </w:rPr>
              <w:t xml:space="preserve"> </w:t>
            </w:r>
          </w:p>
          <w:p>
            <w:pPr>
              <w:snapToGrid w:val="0"/>
              <w:spacing w:line="360" w:lineRule="auto"/>
              <w:ind w:firstLine="576" w:firstLineChars="240"/>
              <w:rPr>
                <w:color w:val="auto"/>
                <w:sz w:val="24"/>
                <w:highlight w:val="none"/>
              </w:rPr>
            </w:pPr>
            <w:r>
              <w:rPr>
                <w:rFonts w:ascii="宋体" w:hAnsi="宋体"/>
                <w:color w:val="auto"/>
                <w:sz w:val="24"/>
                <w:highlight w:val="none"/>
              </w:rPr>
              <w:t>式中：</w:t>
            </w:r>
          </w:p>
          <w:p>
            <w:pPr>
              <w:pStyle w:val="134"/>
              <w:snapToGrid w:val="0"/>
              <w:ind w:firstLine="480"/>
              <w:rPr>
                <w:i/>
                <w:iCs/>
                <w:color w:val="auto"/>
                <w:sz w:val="24"/>
                <w:szCs w:val="24"/>
                <w:highlight w:val="none"/>
              </w:rPr>
            </w:pPr>
            <w:r>
              <w:rPr>
                <w:rFonts w:ascii="宋体" w:hAnsi="宋体"/>
                <w:i/>
                <w:iCs/>
                <w:color w:val="auto"/>
                <w:sz w:val="24"/>
                <w:szCs w:val="24"/>
                <w:highlight w:val="none"/>
              </w:rPr>
              <w:t>（</w:t>
            </w:r>
            <w:r>
              <w:rPr>
                <w:i/>
                <w:iCs/>
                <w:color w:val="auto"/>
                <w:sz w:val="24"/>
                <w:szCs w:val="24"/>
                <w:highlight w:val="none"/>
              </w:rPr>
              <w:t>LAeq</w:t>
            </w:r>
            <w:r>
              <w:rPr>
                <w:rFonts w:ascii="宋体" w:hAnsi="宋体"/>
                <w:i/>
                <w:iCs/>
                <w:color w:val="auto"/>
                <w:sz w:val="24"/>
                <w:szCs w:val="24"/>
                <w:highlight w:val="none"/>
              </w:rPr>
              <w:t>）</w:t>
            </w:r>
            <w:r>
              <w:rPr>
                <w:rFonts w:ascii="宋体" w:hAnsi="宋体"/>
                <w:i/>
                <w:iCs/>
                <w:color w:val="auto"/>
                <w:sz w:val="24"/>
                <w:szCs w:val="24"/>
                <w:highlight w:val="none"/>
                <w:vertAlign w:val="subscript"/>
              </w:rPr>
              <w:t>预</w:t>
            </w:r>
            <w:r>
              <w:rPr>
                <w:i/>
                <w:iCs/>
                <w:color w:val="auto"/>
                <w:sz w:val="24"/>
                <w:szCs w:val="24"/>
                <w:highlight w:val="none"/>
              </w:rPr>
              <w:t xml:space="preserve"> ——</w:t>
            </w:r>
            <w:r>
              <w:rPr>
                <w:rFonts w:ascii="宋体" w:hAnsi="宋体"/>
                <w:color w:val="auto"/>
                <w:sz w:val="24"/>
                <w:szCs w:val="24"/>
                <w:highlight w:val="none"/>
              </w:rPr>
              <w:t>预测点昼间或夜间的环境噪声预测值，</w:t>
            </w:r>
            <w:r>
              <w:rPr>
                <w:color w:val="auto"/>
                <w:sz w:val="24"/>
                <w:szCs w:val="24"/>
                <w:highlight w:val="none"/>
              </w:rPr>
              <w:t>dB(A)</w:t>
            </w:r>
            <w:r>
              <w:rPr>
                <w:rFonts w:ascii="宋体" w:hAnsi="宋体"/>
                <w:color w:val="auto"/>
                <w:sz w:val="24"/>
                <w:szCs w:val="24"/>
                <w:highlight w:val="none"/>
              </w:rPr>
              <w:t>；</w:t>
            </w:r>
          </w:p>
          <w:p>
            <w:pPr>
              <w:snapToGrid w:val="0"/>
              <w:spacing w:line="360" w:lineRule="auto"/>
              <w:ind w:firstLine="480" w:firstLineChars="200"/>
              <w:rPr>
                <w:color w:val="auto"/>
                <w:sz w:val="24"/>
                <w:highlight w:val="none"/>
              </w:rPr>
            </w:pPr>
            <w:r>
              <w:rPr>
                <w:rFonts w:ascii="宋体" w:hAnsi="宋体"/>
                <w:color w:val="auto"/>
                <w:sz w:val="24"/>
                <w:highlight w:val="none"/>
              </w:rPr>
              <w:t>（</w:t>
            </w:r>
            <w:r>
              <w:rPr>
                <w:color w:val="auto"/>
                <w:sz w:val="24"/>
                <w:highlight w:val="none"/>
              </w:rPr>
              <w:t>L</w:t>
            </w:r>
            <w:r>
              <w:rPr>
                <w:color w:val="auto"/>
                <w:sz w:val="24"/>
                <w:highlight w:val="none"/>
                <w:vertAlign w:val="subscript"/>
              </w:rPr>
              <w:t>Aeq</w:t>
            </w:r>
            <w:r>
              <w:rPr>
                <w:rFonts w:ascii="宋体" w:hAnsi="宋体"/>
                <w:color w:val="auto"/>
                <w:sz w:val="24"/>
                <w:highlight w:val="none"/>
              </w:rPr>
              <w:t>）</w:t>
            </w:r>
            <w:r>
              <w:rPr>
                <w:rFonts w:ascii="宋体" w:hAnsi="宋体"/>
                <w:i/>
                <w:iCs/>
                <w:color w:val="auto"/>
                <w:sz w:val="24"/>
                <w:highlight w:val="none"/>
                <w:vertAlign w:val="subscript"/>
              </w:rPr>
              <w:t>背</w:t>
            </w:r>
            <w:r>
              <w:rPr>
                <w:i/>
                <w:iCs/>
                <w:color w:val="auto"/>
                <w:sz w:val="24"/>
                <w:highlight w:val="none"/>
                <w:vertAlign w:val="subscript"/>
              </w:rPr>
              <w:t xml:space="preserve"> </w:t>
            </w:r>
            <w:r>
              <w:rPr>
                <w:color w:val="auto"/>
                <w:sz w:val="24"/>
                <w:highlight w:val="none"/>
              </w:rPr>
              <w:t>——</w:t>
            </w:r>
            <w:r>
              <w:rPr>
                <w:rFonts w:ascii="宋体" w:hAnsi="宋体"/>
                <w:color w:val="auto"/>
                <w:sz w:val="24"/>
                <w:highlight w:val="none"/>
              </w:rPr>
              <w:t>预测点预测时的环境噪声背景值，</w:t>
            </w:r>
            <w:r>
              <w:rPr>
                <w:color w:val="auto"/>
                <w:sz w:val="24"/>
                <w:highlight w:val="none"/>
              </w:rPr>
              <w:t>dB(A)</w:t>
            </w:r>
            <w:r>
              <w:rPr>
                <w:rFonts w:ascii="宋体" w:hAnsi="宋体"/>
                <w:color w:val="auto"/>
                <w:sz w:val="24"/>
                <w:highlight w:val="none"/>
              </w:rPr>
              <w:t>；</w:t>
            </w:r>
          </w:p>
          <w:p>
            <w:pPr>
              <w:pStyle w:val="44"/>
              <w:snapToGrid w:val="0"/>
              <w:spacing w:line="360" w:lineRule="auto"/>
              <w:ind w:firstLine="480" w:firstLineChars="200"/>
              <w:rPr>
                <w:color w:val="auto"/>
                <w:highlight w:val="none"/>
              </w:rPr>
            </w:pPr>
            <w:r>
              <w:rPr>
                <w:rFonts w:hAnsi="宋体" w:cs="Times New Roman"/>
                <w:color w:val="auto"/>
                <w:highlight w:val="none"/>
              </w:rPr>
              <w:t>（</w:t>
            </w:r>
            <w:r>
              <w:rPr>
                <w:rFonts w:ascii="Times New Roman" w:cs="Times New Roman"/>
                <w:color w:val="auto"/>
                <w:highlight w:val="none"/>
              </w:rPr>
              <w:t>L</w:t>
            </w:r>
            <w:r>
              <w:rPr>
                <w:rFonts w:ascii="Times New Roman" w:cs="Times New Roman"/>
                <w:color w:val="auto"/>
                <w:highlight w:val="none"/>
                <w:vertAlign w:val="subscript"/>
              </w:rPr>
              <w:t>Aeq</w:t>
            </w:r>
            <w:r>
              <w:rPr>
                <w:rFonts w:hAnsi="宋体" w:cs="Times New Roman"/>
                <w:color w:val="auto"/>
                <w:highlight w:val="none"/>
              </w:rPr>
              <w:t>）</w:t>
            </w:r>
            <w:r>
              <w:rPr>
                <w:rFonts w:hAnsi="宋体" w:cs="Times New Roman"/>
                <w:color w:val="auto"/>
                <w:highlight w:val="none"/>
                <w:vertAlign w:val="subscript"/>
              </w:rPr>
              <w:t>合</w:t>
            </w:r>
            <w:r>
              <w:rPr>
                <w:rFonts w:ascii="Times New Roman" w:cs="Times New Roman"/>
                <w:color w:val="auto"/>
                <w:highlight w:val="none"/>
                <w:vertAlign w:val="subscript"/>
              </w:rPr>
              <w:t xml:space="preserve"> </w:t>
            </w:r>
            <w:r>
              <w:rPr>
                <w:rFonts w:ascii="Times New Roman" w:cs="Times New Roman"/>
                <w:color w:val="auto"/>
                <w:highlight w:val="none"/>
              </w:rPr>
              <w:t>——</w:t>
            </w:r>
            <w:r>
              <w:rPr>
                <w:rFonts w:hAnsi="宋体" w:cs="Times New Roman"/>
                <w:color w:val="auto"/>
                <w:highlight w:val="none"/>
              </w:rPr>
              <w:t>多个声源发出的噪声在同一预测受声点的合成噪声，</w:t>
            </w:r>
            <w:r>
              <w:rPr>
                <w:rFonts w:ascii="Times New Roman" w:cs="Times New Roman"/>
                <w:color w:val="auto"/>
                <w:highlight w:val="none"/>
              </w:rPr>
              <w:t>dB(A)</w:t>
            </w:r>
            <w:r>
              <w:rPr>
                <w:rFonts w:hAnsi="宋体" w:cs="Times New Roman"/>
                <w:color w:val="auto"/>
                <w:highlight w:val="none"/>
              </w:rPr>
              <w:t>。</w:t>
            </w:r>
          </w:p>
          <w:p>
            <w:pPr>
              <w:adjustRightInd w:val="0"/>
              <w:snapToGrid w:val="0"/>
              <w:spacing w:line="360" w:lineRule="auto"/>
              <w:ind w:firstLine="480" w:firstLineChars="200"/>
              <w:textAlignment w:val="baseline"/>
              <w:rPr>
                <w:b/>
                <w:color w:val="auto"/>
                <w:szCs w:val="21"/>
                <w:highlight w:val="none"/>
              </w:rPr>
            </w:pPr>
            <w:r>
              <w:rPr>
                <w:rFonts w:hint="eastAsia"/>
                <w:color w:val="auto"/>
                <w:sz w:val="24"/>
                <w:highlight w:val="none"/>
              </w:rPr>
              <w:t>本项目夜间不生产，经预测可知，运营期内</w:t>
            </w:r>
            <w:r>
              <w:rPr>
                <w:color w:val="auto"/>
                <w:sz w:val="24"/>
                <w:highlight w:val="none"/>
              </w:rPr>
              <w:t>生产车间噪声达到厂界时的情况如下表所示：</w:t>
            </w:r>
          </w:p>
          <w:p>
            <w:pPr>
              <w:adjustRightInd w:val="0"/>
              <w:snapToGrid w:val="0"/>
              <w:jc w:val="center"/>
              <w:rPr>
                <w:b/>
                <w:color w:val="auto"/>
                <w:szCs w:val="21"/>
                <w:highlight w:val="none"/>
              </w:rPr>
            </w:pPr>
            <w:r>
              <w:rPr>
                <w:b/>
                <w:color w:val="auto"/>
                <w:szCs w:val="21"/>
                <w:highlight w:val="none"/>
              </w:rPr>
              <w:t>表4-</w:t>
            </w:r>
            <w:r>
              <w:rPr>
                <w:rFonts w:hint="eastAsia"/>
                <w:b/>
                <w:color w:val="auto"/>
                <w:szCs w:val="21"/>
                <w:highlight w:val="none"/>
                <w:lang w:val="en-US" w:eastAsia="zh-CN"/>
              </w:rPr>
              <w:t>6</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项目</w:t>
            </w:r>
            <w:r>
              <w:rPr>
                <w:b/>
                <w:color w:val="auto"/>
                <w:szCs w:val="21"/>
                <w:highlight w:val="none"/>
              </w:rPr>
              <w:t>厂界噪声</w:t>
            </w:r>
            <w:r>
              <w:rPr>
                <w:rFonts w:hint="eastAsia"/>
                <w:b/>
                <w:color w:val="auto"/>
                <w:szCs w:val="21"/>
                <w:highlight w:val="none"/>
              </w:rPr>
              <w:t>贡献值</w:t>
            </w:r>
            <w:r>
              <w:rPr>
                <w:b/>
                <w:color w:val="auto"/>
                <w:szCs w:val="21"/>
                <w:highlight w:val="none"/>
              </w:rPr>
              <w:t>结果统计表</w:t>
            </w:r>
            <w:r>
              <w:rPr>
                <w:rFonts w:hint="eastAsia"/>
                <w:b/>
                <w:color w:val="auto"/>
                <w:szCs w:val="21"/>
                <w:highlight w:val="none"/>
              </w:rPr>
              <w:t xml:space="preserve">  单位：</w:t>
            </w:r>
            <w:r>
              <w:rPr>
                <w:b/>
                <w:color w:val="auto"/>
                <w:szCs w:val="21"/>
                <w:highlight w:val="none"/>
              </w:rPr>
              <w:t>dB(A)</w:t>
            </w:r>
          </w:p>
          <w:tbl>
            <w:tblPr>
              <w:tblStyle w:val="34"/>
              <w:tblW w:w="849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395"/>
              <w:gridCol w:w="1250"/>
              <w:gridCol w:w="1350"/>
              <w:gridCol w:w="29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513" w:type="dxa"/>
                  <w:vMerge w:val="restart"/>
                  <w:tcBorders>
                    <w:tl2br w:val="nil"/>
                    <w:tr2bl w:val="nil"/>
                  </w:tcBorders>
                  <w:vAlign w:val="center"/>
                </w:tcPr>
                <w:p>
                  <w:pPr>
                    <w:ind w:left="-105" w:leftChars="-50" w:right="-105" w:rightChars="-50"/>
                    <w:jc w:val="center"/>
                    <w:rPr>
                      <w:color w:val="auto"/>
                      <w:szCs w:val="21"/>
                      <w:highlight w:val="none"/>
                    </w:rPr>
                  </w:pPr>
                  <w:r>
                    <w:rPr>
                      <w:rFonts w:hint="eastAsia"/>
                      <w:color w:val="auto"/>
                      <w:szCs w:val="21"/>
                      <w:highlight w:val="none"/>
                    </w:rPr>
                    <w:t>预测</w:t>
                  </w:r>
                  <w:r>
                    <w:rPr>
                      <w:color w:val="auto"/>
                      <w:szCs w:val="21"/>
                      <w:highlight w:val="none"/>
                    </w:rPr>
                    <w:t>位置</w:t>
                  </w:r>
                </w:p>
              </w:tc>
              <w:tc>
                <w:tcPr>
                  <w:tcW w:w="1395" w:type="dxa"/>
                  <w:tcBorders>
                    <w:tl2br w:val="nil"/>
                    <w:tr2bl w:val="nil"/>
                  </w:tcBorders>
                  <w:vAlign w:val="center"/>
                </w:tcPr>
                <w:p>
                  <w:pPr>
                    <w:ind w:left="-105" w:leftChars="-50" w:right="-105" w:rightChars="-50"/>
                    <w:jc w:val="center"/>
                    <w:rPr>
                      <w:rFonts w:hint="eastAsia"/>
                      <w:color w:val="auto"/>
                      <w:szCs w:val="21"/>
                      <w:highlight w:val="none"/>
                      <w:lang w:eastAsia="zh-CN"/>
                    </w:rPr>
                  </w:pPr>
                  <w:r>
                    <w:rPr>
                      <w:rFonts w:hint="eastAsia"/>
                      <w:color w:val="auto"/>
                      <w:szCs w:val="21"/>
                      <w:highlight w:val="none"/>
                      <w:lang w:eastAsia="zh-CN"/>
                    </w:rPr>
                    <w:t>扩建工程</w:t>
                  </w:r>
                </w:p>
                <w:p>
                  <w:pPr>
                    <w:ind w:left="-105" w:leftChars="-50" w:right="-105" w:rightChars="-50"/>
                    <w:jc w:val="center"/>
                    <w:rPr>
                      <w:color w:val="auto"/>
                      <w:szCs w:val="21"/>
                      <w:highlight w:val="none"/>
                    </w:rPr>
                  </w:pPr>
                  <w:r>
                    <w:rPr>
                      <w:rFonts w:hint="eastAsia"/>
                      <w:color w:val="auto"/>
                      <w:szCs w:val="21"/>
                      <w:highlight w:val="none"/>
                      <w:lang w:eastAsia="zh-CN"/>
                    </w:rPr>
                    <w:t>贡献</w:t>
                  </w:r>
                  <w:r>
                    <w:rPr>
                      <w:color w:val="auto"/>
                      <w:szCs w:val="21"/>
                      <w:highlight w:val="none"/>
                    </w:rPr>
                    <w:t>值</w:t>
                  </w:r>
                </w:p>
              </w:tc>
              <w:tc>
                <w:tcPr>
                  <w:tcW w:w="1250" w:type="dxa"/>
                  <w:tcBorders>
                    <w:tl2br w:val="nil"/>
                    <w:tr2bl w:val="nil"/>
                  </w:tcBorders>
                  <w:vAlign w:val="top"/>
                </w:tcPr>
                <w:p>
                  <w:pPr>
                    <w:pStyle w:val="136"/>
                    <w:adjustRightInd/>
                    <w:spacing w:beforeLines="30" w:afterLines="30" w:line="240" w:lineRule="auto"/>
                    <w:jc w:val="center"/>
                    <w:rPr>
                      <w:color w:val="auto"/>
                      <w:szCs w:val="21"/>
                      <w:highlight w:val="none"/>
                    </w:rPr>
                  </w:pPr>
                  <w:r>
                    <w:rPr>
                      <w:rFonts w:hint="eastAsia" w:ascii="Times New Roman"/>
                      <w:color w:val="auto"/>
                      <w:sz w:val="21"/>
                      <w:szCs w:val="21"/>
                      <w:highlight w:val="none"/>
                      <w:lang w:eastAsia="zh-CN"/>
                    </w:rPr>
                    <w:t>现有工程</w:t>
                  </w:r>
                  <w:r>
                    <w:rPr>
                      <w:rFonts w:ascii="Times New Roman"/>
                      <w:color w:val="auto"/>
                      <w:sz w:val="21"/>
                      <w:szCs w:val="21"/>
                      <w:highlight w:val="none"/>
                    </w:rPr>
                    <w:t>背景值</w:t>
                  </w:r>
                </w:p>
              </w:tc>
              <w:tc>
                <w:tcPr>
                  <w:tcW w:w="1350" w:type="dxa"/>
                  <w:tcBorders>
                    <w:tl2br w:val="nil"/>
                    <w:tr2bl w:val="nil"/>
                  </w:tcBorders>
                  <w:vAlign w:val="center"/>
                </w:tcPr>
                <w:p>
                  <w:pPr>
                    <w:pStyle w:val="136"/>
                    <w:adjustRightInd/>
                    <w:spacing w:beforeLines="30" w:afterLines="30" w:line="240" w:lineRule="auto"/>
                    <w:jc w:val="center"/>
                    <w:rPr>
                      <w:color w:val="auto"/>
                      <w:szCs w:val="21"/>
                      <w:highlight w:val="none"/>
                    </w:rPr>
                  </w:pPr>
                  <w:r>
                    <w:rPr>
                      <w:rFonts w:hint="eastAsia" w:ascii="Times New Roman"/>
                      <w:color w:val="auto"/>
                      <w:sz w:val="21"/>
                      <w:szCs w:val="21"/>
                      <w:highlight w:val="none"/>
                      <w:lang w:eastAsia="zh-CN"/>
                    </w:rPr>
                    <w:t>预测</w:t>
                  </w:r>
                  <w:r>
                    <w:rPr>
                      <w:rFonts w:ascii="Times New Roman"/>
                      <w:color w:val="auto"/>
                      <w:sz w:val="21"/>
                      <w:szCs w:val="21"/>
                      <w:highlight w:val="none"/>
                    </w:rPr>
                    <w:t>值</w:t>
                  </w:r>
                </w:p>
              </w:tc>
              <w:tc>
                <w:tcPr>
                  <w:tcW w:w="2985" w:type="dxa"/>
                  <w:tcBorders>
                    <w:tl2br w:val="nil"/>
                    <w:tr2bl w:val="nil"/>
                  </w:tcBorders>
                  <w:vAlign w:val="center"/>
                </w:tcPr>
                <w:p>
                  <w:pPr>
                    <w:ind w:left="-105" w:leftChars="-50" w:right="-105" w:rightChars="-50"/>
                    <w:jc w:val="center"/>
                    <w:rPr>
                      <w:color w:val="auto"/>
                      <w:szCs w:val="21"/>
                      <w:highlight w:val="none"/>
                    </w:rPr>
                  </w:pPr>
                  <w:r>
                    <w:rPr>
                      <w:rFonts w:hint="eastAsia"/>
                      <w:color w:val="auto"/>
                      <w:szCs w:val="21"/>
                      <w:highlight w:val="none"/>
                    </w:rPr>
                    <w:t>《工业企业厂界环境噪声排放标准》（GB12348-2008）2</w:t>
                  </w:r>
                  <w:r>
                    <w:rPr>
                      <w:color w:val="auto"/>
                      <w:szCs w:val="21"/>
                      <w:highlight w:val="none"/>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13" w:type="dxa"/>
                  <w:vMerge w:val="continue"/>
                  <w:tcBorders>
                    <w:tl2br w:val="nil"/>
                    <w:tr2bl w:val="nil"/>
                  </w:tcBorders>
                  <w:vAlign w:val="center"/>
                </w:tcPr>
                <w:p>
                  <w:pPr>
                    <w:ind w:left="-105" w:leftChars="-50" w:right="-105" w:rightChars="-50"/>
                    <w:jc w:val="center"/>
                    <w:rPr>
                      <w:color w:val="auto"/>
                      <w:szCs w:val="21"/>
                      <w:highlight w:val="none"/>
                    </w:rPr>
                  </w:pPr>
                </w:p>
              </w:tc>
              <w:tc>
                <w:tcPr>
                  <w:tcW w:w="1395" w:type="dxa"/>
                  <w:tcBorders>
                    <w:tl2br w:val="nil"/>
                    <w:tr2bl w:val="nil"/>
                  </w:tcBorders>
                  <w:vAlign w:val="center"/>
                </w:tcPr>
                <w:p>
                  <w:pPr>
                    <w:ind w:left="-105" w:leftChars="-50" w:right="-105" w:rightChars="-50"/>
                    <w:jc w:val="center"/>
                    <w:rPr>
                      <w:color w:val="auto"/>
                      <w:szCs w:val="21"/>
                      <w:highlight w:val="none"/>
                    </w:rPr>
                  </w:pPr>
                  <w:r>
                    <w:rPr>
                      <w:color w:val="auto"/>
                      <w:szCs w:val="21"/>
                      <w:highlight w:val="none"/>
                    </w:rPr>
                    <w:t>昼间</w:t>
                  </w:r>
                </w:p>
              </w:tc>
              <w:tc>
                <w:tcPr>
                  <w:tcW w:w="1250" w:type="dxa"/>
                  <w:tcBorders>
                    <w:tl2br w:val="nil"/>
                    <w:tr2bl w:val="nil"/>
                  </w:tcBorders>
                  <w:vAlign w:val="center"/>
                </w:tcPr>
                <w:p>
                  <w:pPr>
                    <w:ind w:left="-105" w:leftChars="-50" w:right="-105" w:rightChars="-50"/>
                    <w:jc w:val="center"/>
                    <w:rPr>
                      <w:color w:val="auto"/>
                      <w:szCs w:val="21"/>
                      <w:highlight w:val="none"/>
                    </w:rPr>
                  </w:pPr>
                  <w:r>
                    <w:rPr>
                      <w:color w:val="auto"/>
                      <w:szCs w:val="21"/>
                      <w:highlight w:val="none"/>
                    </w:rPr>
                    <w:t>昼间</w:t>
                  </w:r>
                </w:p>
              </w:tc>
              <w:tc>
                <w:tcPr>
                  <w:tcW w:w="1350" w:type="dxa"/>
                  <w:tcBorders>
                    <w:tl2br w:val="nil"/>
                    <w:tr2bl w:val="nil"/>
                  </w:tcBorders>
                  <w:vAlign w:val="center"/>
                </w:tcPr>
                <w:p>
                  <w:pPr>
                    <w:ind w:left="-105" w:leftChars="-50" w:right="-105" w:rightChars="-50"/>
                    <w:jc w:val="center"/>
                    <w:rPr>
                      <w:color w:val="auto"/>
                      <w:szCs w:val="21"/>
                      <w:highlight w:val="none"/>
                    </w:rPr>
                  </w:pPr>
                  <w:r>
                    <w:rPr>
                      <w:color w:val="auto"/>
                      <w:szCs w:val="21"/>
                      <w:highlight w:val="none"/>
                    </w:rPr>
                    <w:t>昼间</w:t>
                  </w:r>
                </w:p>
              </w:tc>
              <w:tc>
                <w:tcPr>
                  <w:tcW w:w="2985" w:type="dxa"/>
                  <w:tcBorders>
                    <w:tl2br w:val="nil"/>
                    <w:tr2bl w:val="nil"/>
                  </w:tcBorders>
                  <w:vAlign w:val="center"/>
                </w:tcPr>
                <w:p>
                  <w:pPr>
                    <w:tabs>
                      <w:tab w:val="left" w:pos="-6462"/>
                    </w:tabs>
                    <w:ind w:left="-105" w:leftChars="-50" w:right="-105" w:rightChars="-50"/>
                    <w:jc w:val="center"/>
                    <w:rPr>
                      <w:color w:val="auto"/>
                      <w:szCs w:val="21"/>
                      <w:highlight w:val="none"/>
                    </w:rPr>
                  </w:pPr>
                  <w:r>
                    <w:rPr>
                      <w:color w:val="auto"/>
                      <w:szCs w:val="21"/>
                      <w:highlight w:val="none"/>
                    </w:rPr>
                    <w:t>昼间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13" w:type="dxa"/>
                  <w:tcBorders>
                    <w:tl2br w:val="nil"/>
                    <w:tr2bl w:val="nil"/>
                  </w:tcBorders>
                  <w:vAlign w:val="center"/>
                </w:tcPr>
                <w:p>
                  <w:pPr>
                    <w:ind w:left="-105" w:leftChars="-50" w:right="-105" w:rightChars="-50"/>
                    <w:jc w:val="center"/>
                    <w:rPr>
                      <w:color w:val="auto"/>
                      <w:szCs w:val="21"/>
                      <w:highlight w:val="none"/>
                    </w:rPr>
                  </w:pPr>
                  <w:r>
                    <w:rPr>
                      <w:color w:val="auto"/>
                      <w:szCs w:val="21"/>
                      <w:highlight w:val="none"/>
                    </w:rPr>
                    <w:t>厂界东</w:t>
                  </w:r>
                </w:p>
              </w:tc>
              <w:tc>
                <w:tcPr>
                  <w:tcW w:w="1395" w:type="dxa"/>
                  <w:tcBorders>
                    <w:tl2br w:val="nil"/>
                    <w:tr2bl w:val="nil"/>
                  </w:tcBorders>
                  <w:vAlign w:val="center"/>
                </w:tcPr>
                <w:p>
                  <w:pPr>
                    <w:widowControl/>
                    <w:jc w:val="center"/>
                    <w:rPr>
                      <w:color w:val="auto"/>
                      <w:szCs w:val="21"/>
                      <w:highlight w:val="none"/>
                    </w:rPr>
                  </w:pPr>
                  <w:r>
                    <w:rPr>
                      <w:rFonts w:hint="eastAsia"/>
                      <w:color w:val="auto"/>
                      <w:szCs w:val="21"/>
                      <w:highlight w:val="none"/>
                    </w:rPr>
                    <w:t>46.33</w:t>
                  </w:r>
                </w:p>
              </w:tc>
              <w:tc>
                <w:tcPr>
                  <w:tcW w:w="1250" w:type="dxa"/>
                  <w:tcBorders>
                    <w:tl2br w:val="nil"/>
                    <w:tr2bl w:val="nil"/>
                  </w:tcBorders>
                  <w:vAlign w:val="center"/>
                </w:tcPr>
                <w:p>
                  <w:pPr>
                    <w:widowControl/>
                    <w:jc w:val="center"/>
                    <w:rPr>
                      <w:color w:val="auto"/>
                      <w:szCs w:val="21"/>
                      <w:highlight w:val="none"/>
                    </w:rPr>
                  </w:pPr>
                  <w:r>
                    <w:rPr>
                      <w:rFonts w:hint="eastAsia"/>
                      <w:color w:val="auto"/>
                      <w:szCs w:val="21"/>
                      <w:highlight w:val="none"/>
                      <w:lang w:val="en-US" w:eastAsia="zh-CN"/>
                    </w:rPr>
                    <w:t>58</w:t>
                  </w:r>
                </w:p>
              </w:tc>
              <w:tc>
                <w:tcPr>
                  <w:tcW w:w="1350" w:type="dxa"/>
                  <w:tcBorders>
                    <w:tl2br w:val="nil"/>
                    <w:tr2bl w:val="nil"/>
                  </w:tcBorders>
                  <w:vAlign w:val="center"/>
                </w:tcPr>
                <w:p>
                  <w:pPr>
                    <w:widowControl/>
                    <w:jc w:val="center"/>
                    <w:rPr>
                      <w:color w:val="auto"/>
                      <w:szCs w:val="21"/>
                      <w:highlight w:val="none"/>
                    </w:rPr>
                  </w:pPr>
                  <w:r>
                    <w:rPr>
                      <w:rFonts w:hint="eastAsia"/>
                      <w:color w:val="auto"/>
                      <w:szCs w:val="21"/>
                      <w:highlight w:val="none"/>
                    </w:rPr>
                    <w:t>58.29</w:t>
                  </w:r>
                </w:p>
              </w:tc>
              <w:tc>
                <w:tcPr>
                  <w:tcW w:w="2985" w:type="dxa"/>
                  <w:vMerge w:val="restart"/>
                  <w:tcBorders>
                    <w:tl2br w:val="nil"/>
                    <w:tr2bl w:val="nil"/>
                  </w:tcBorders>
                  <w:vAlign w:val="center"/>
                </w:tcPr>
                <w:p>
                  <w:pPr>
                    <w:jc w:val="center"/>
                    <w:rPr>
                      <w:color w:val="auto"/>
                      <w:szCs w:val="21"/>
                      <w:highlight w:val="none"/>
                    </w:rPr>
                  </w:pPr>
                  <w:r>
                    <w:rPr>
                      <w:color w:val="auto"/>
                      <w:szCs w:val="21"/>
                      <w:highlight w:val="none"/>
                    </w:rPr>
                    <w:t>6</w:t>
                  </w:r>
                  <w:r>
                    <w:rPr>
                      <w:rFonts w:hint="eastAsia"/>
                      <w:color w:val="auto"/>
                      <w:szCs w:val="21"/>
                      <w:highlight w:val="none"/>
                    </w:rPr>
                    <w:t>0</w:t>
                  </w:r>
                  <w:r>
                    <w:rPr>
                      <w:color w:val="auto"/>
                      <w:szCs w:val="21"/>
                      <w:highlight w:val="none"/>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13" w:type="dxa"/>
                  <w:tcBorders>
                    <w:tl2br w:val="nil"/>
                    <w:tr2bl w:val="nil"/>
                  </w:tcBorders>
                  <w:vAlign w:val="center"/>
                </w:tcPr>
                <w:p>
                  <w:pPr>
                    <w:ind w:left="-105" w:leftChars="-50" w:right="-105" w:rightChars="-50"/>
                    <w:jc w:val="center"/>
                    <w:rPr>
                      <w:color w:val="auto"/>
                      <w:szCs w:val="21"/>
                      <w:highlight w:val="none"/>
                    </w:rPr>
                  </w:pPr>
                  <w:r>
                    <w:rPr>
                      <w:color w:val="auto"/>
                      <w:szCs w:val="21"/>
                      <w:highlight w:val="none"/>
                    </w:rPr>
                    <w:t>厂界南</w:t>
                  </w:r>
                </w:p>
              </w:tc>
              <w:tc>
                <w:tcPr>
                  <w:tcW w:w="1395" w:type="dxa"/>
                  <w:tcBorders>
                    <w:tl2br w:val="nil"/>
                    <w:tr2bl w:val="nil"/>
                  </w:tcBorders>
                  <w:vAlign w:val="center"/>
                </w:tcPr>
                <w:p>
                  <w:pPr>
                    <w:widowControl/>
                    <w:jc w:val="center"/>
                    <w:rPr>
                      <w:color w:val="auto"/>
                      <w:szCs w:val="21"/>
                      <w:highlight w:val="none"/>
                    </w:rPr>
                  </w:pPr>
                  <w:r>
                    <w:rPr>
                      <w:rFonts w:hint="eastAsia"/>
                      <w:color w:val="auto"/>
                      <w:szCs w:val="21"/>
                      <w:highlight w:val="none"/>
                    </w:rPr>
                    <w:t>29.50</w:t>
                  </w:r>
                </w:p>
              </w:tc>
              <w:tc>
                <w:tcPr>
                  <w:tcW w:w="1250" w:type="dxa"/>
                  <w:tcBorders>
                    <w:tl2br w:val="nil"/>
                    <w:tr2bl w:val="nil"/>
                  </w:tcBorders>
                  <w:vAlign w:val="center"/>
                </w:tcPr>
                <w:p>
                  <w:pPr>
                    <w:widowControl/>
                    <w:jc w:val="center"/>
                    <w:rPr>
                      <w:color w:val="auto"/>
                      <w:szCs w:val="21"/>
                      <w:highlight w:val="none"/>
                    </w:rPr>
                  </w:pPr>
                  <w:r>
                    <w:rPr>
                      <w:rFonts w:hint="eastAsia"/>
                      <w:color w:val="auto"/>
                      <w:szCs w:val="21"/>
                      <w:highlight w:val="none"/>
                      <w:lang w:val="en-US" w:eastAsia="zh-CN"/>
                    </w:rPr>
                    <w:t>57</w:t>
                  </w:r>
                </w:p>
              </w:tc>
              <w:tc>
                <w:tcPr>
                  <w:tcW w:w="1350" w:type="dxa"/>
                  <w:tcBorders>
                    <w:tl2br w:val="nil"/>
                    <w:tr2bl w:val="nil"/>
                  </w:tcBorders>
                  <w:vAlign w:val="center"/>
                </w:tcPr>
                <w:p>
                  <w:pPr>
                    <w:widowControl/>
                    <w:jc w:val="center"/>
                    <w:rPr>
                      <w:color w:val="auto"/>
                      <w:szCs w:val="21"/>
                      <w:highlight w:val="none"/>
                    </w:rPr>
                  </w:pPr>
                  <w:r>
                    <w:rPr>
                      <w:rFonts w:hint="eastAsia"/>
                      <w:color w:val="auto"/>
                      <w:szCs w:val="21"/>
                      <w:highlight w:val="none"/>
                    </w:rPr>
                    <w:t>57.01</w:t>
                  </w:r>
                </w:p>
              </w:tc>
              <w:tc>
                <w:tcPr>
                  <w:tcW w:w="2985" w:type="dxa"/>
                  <w:vMerge w:val="continue"/>
                  <w:tcBorders>
                    <w:tl2br w:val="nil"/>
                    <w:tr2bl w:val="nil"/>
                  </w:tcBorders>
                  <w:vAlign w:val="center"/>
                </w:tcPr>
                <w:p>
                  <w:pPr>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13" w:type="dxa"/>
                  <w:tcBorders>
                    <w:tl2br w:val="nil"/>
                    <w:tr2bl w:val="nil"/>
                  </w:tcBorders>
                  <w:vAlign w:val="center"/>
                </w:tcPr>
                <w:p>
                  <w:pPr>
                    <w:ind w:left="-105" w:leftChars="-50" w:right="-105" w:rightChars="-50"/>
                    <w:jc w:val="center"/>
                    <w:rPr>
                      <w:color w:val="auto"/>
                      <w:szCs w:val="21"/>
                      <w:highlight w:val="none"/>
                    </w:rPr>
                  </w:pPr>
                  <w:r>
                    <w:rPr>
                      <w:color w:val="auto"/>
                      <w:szCs w:val="21"/>
                      <w:highlight w:val="none"/>
                    </w:rPr>
                    <w:t>厂界西</w:t>
                  </w:r>
                </w:p>
              </w:tc>
              <w:tc>
                <w:tcPr>
                  <w:tcW w:w="1395" w:type="dxa"/>
                  <w:tcBorders>
                    <w:tl2br w:val="nil"/>
                    <w:tr2bl w:val="nil"/>
                  </w:tcBorders>
                  <w:vAlign w:val="center"/>
                </w:tcPr>
                <w:p>
                  <w:pPr>
                    <w:widowControl/>
                    <w:jc w:val="center"/>
                    <w:rPr>
                      <w:color w:val="auto"/>
                      <w:szCs w:val="21"/>
                      <w:highlight w:val="none"/>
                    </w:rPr>
                  </w:pPr>
                  <w:r>
                    <w:rPr>
                      <w:rFonts w:hint="eastAsia"/>
                      <w:color w:val="auto"/>
                      <w:szCs w:val="21"/>
                      <w:highlight w:val="none"/>
                    </w:rPr>
                    <w:t>20.88</w:t>
                  </w:r>
                </w:p>
              </w:tc>
              <w:tc>
                <w:tcPr>
                  <w:tcW w:w="1250" w:type="dxa"/>
                  <w:tcBorders>
                    <w:tl2br w:val="nil"/>
                    <w:tr2bl w:val="nil"/>
                  </w:tcBorders>
                  <w:vAlign w:val="center"/>
                </w:tcPr>
                <w:p>
                  <w:pPr>
                    <w:widowControl/>
                    <w:jc w:val="center"/>
                    <w:rPr>
                      <w:color w:val="auto"/>
                      <w:szCs w:val="21"/>
                      <w:highlight w:val="none"/>
                    </w:rPr>
                  </w:pPr>
                  <w:r>
                    <w:rPr>
                      <w:rFonts w:hint="eastAsia"/>
                      <w:color w:val="auto"/>
                      <w:szCs w:val="21"/>
                      <w:highlight w:val="none"/>
                      <w:lang w:val="en-US" w:eastAsia="zh-CN"/>
                    </w:rPr>
                    <w:t>58</w:t>
                  </w:r>
                </w:p>
              </w:tc>
              <w:tc>
                <w:tcPr>
                  <w:tcW w:w="1350" w:type="dxa"/>
                  <w:tcBorders>
                    <w:tl2br w:val="nil"/>
                    <w:tr2bl w:val="nil"/>
                  </w:tcBorders>
                  <w:vAlign w:val="center"/>
                </w:tcPr>
                <w:p>
                  <w:pPr>
                    <w:widowControl/>
                    <w:jc w:val="center"/>
                    <w:rPr>
                      <w:color w:val="auto"/>
                      <w:szCs w:val="21"/>
                      <w:highlight w:val="none"/>
                    </w:rPr>
                  </w:pPr>
                  <w:r>
                    <w:rPr>
                      <w:rFonts w:hint="eastAsia"/>
                      <w:color w:val="auto"/>
                      <w:szCs w:val="21"/>
                      <w:highlight w:val="none"/>
                    </w:rPr>
                    <w:t>58.00</w:t>
                  </w:r>
                </w:p>
              </w:tc>
              <w:tc>
                <w:tcPr>
                  <w:tcW w:w="2985" w:type="dxa"/>
                  <w:vMerge w:val="continue"/>
                  <w:tcBorders>
                    <w:tl2br w:val="nil"/>
                    <w:tr2bl w:val="nil"/>
                  </w:tcBorders>
                  <w:vAlign w:val="center"/>
                </w:tcPr>
                <w:p>
                  <w:pPr>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13" w:type="dxa"/>
                  <w:tcBorders>
                    <w:tl2br w:val="nil"/>
                    <w:tr2bl w:val="nil"/>
                  </w:tcBorders>
                  <w:vAlign w:val="center"/>
                </w:tcPr>
                <w:p>
                  <w:pPr>
                    <w:ind w:left="-105" w:leftChars="-50" w:right="-105" w:rightChars="-50"/>
                    <w:jc w:val="center"/>
                    <w:rPr>
                      <w:color w:val="auto"/>
                      <w:szCs w:val="21"/>
                      <w:highlight w:val="none"/>
                    </w:rPr>
                  </w:pPr>
                  <w:r>
                    <w:rPr>
                      <w:color w:val="auto"/>
                      <w:szCs w:val="21"/>
                      <w:highlight w:val="none"/>
                    </w:rPr>
                    <w:t>厂界北</w:t>
                  </w:r>
                </w:p>
              </w:tc>
              <w:tc>
                <w:tcPr>
                  <w:tcW w:w="1395" w:type="dxa"/>
                  <w:tcBorders>
                    <w:tl2br w:val="nil"/>
                    <w:tr2bl w:val="nil"/>
                  </w:tcBorders>
                  <w:vAlign w:val="center"/>
                </w:tcPr>
                <w:p>
                  <w:pPr>
                    <w:widowControl/>
                    <w:jc w:val="center"/>
                    <w:rPr>
                      <w:color w:val="auto"/>
                      <w:szCs w:val="21"/>
                      <w:highlight w:val="none"/>
                    </w:rPr>
                  </w:pPr>
                  <w:r>
                    <w:rPr>
                      <w:rFonts w:hint="eastAsia"/>
                      <w:color w:val="auto"/>
                      <w:szCs w:val="21"/>
                      <w:highlight w:val="none"/>
                    </w:rPr>
                    <w:t>28.37</w:t>
                  </w:r>
                </w:p>
              </w:tc>
              <w:tc>
                <w:tcPr>
                  <w:tcW w:w="1250" w:type="dxa"/>
                  <w:tcBorders>
                    <w:tl2br w:val="nil"/>
                    <w:tr2bl w:val="nil"/>
                  </w:tcBorders>
                  <w:vAlign w:val="center"/>
                </w:tcPr>
                <w:p>
                  <w:pPr>
                    <w:widowControl/>
                    <w:jc w:val="center"/>
                    <w:rPr>
                      <w:color w:val="auto"/>
                      <w:szCs w:val="21"/>
                      <w:highlight w:val="none"/>
                    </w:rPr>
                  </w:pPr>
                  <w:r>
                    <w:rPr>
                      <w:rFonts w:hint="eastAsia"/>
                      <w:color w:val="auto"/>
                      <w:szCs w:val="21"/>
                      <w:highlight w:val="none"/>
                      <w:lang w:val="en-US" w:eastAsia="zh-CN"/>
                    </w:rPr>
                    <w:t>55</w:t>
                  </w:r>
                </w:p>
              </w:tc>
              <w:tc>
                <w:tcPr>
                  <w:tcW w:w="1350" w:type="dxa"/>
                  <w:tcBorders>
                    <w:tl2br w:val="nil"/>
                    <w:tr2bl w:val="nil"/>
                  </w:tcBorders>
                  <w:vAlign w:val="center"/>
                </w:tcPr>
                <w:p>
                  <w:pPr>
                    <w:widowControl/>
                    <w:jc w:val="center"/>
                    <w:rPr>
                      <w:color w:val="auto"/>
                      <w:szCs w:val="21"/>
                      <w:highlight w:val="none"/>
                    </w:rPr>
                  </w:pPr>
                  <w:r>
                    <w:rPr>
                      <w:rFonts w:hint="eastAsia"/>
                      <w:color w:val="auto"/>
                      <w:szCs w:val="21"/>
                      <w:highlight w:val="none"/>
                    </w:rPr>
                    <w:t>55.01</w:t>
                  </w:r>
                </w:p>
              </w:tc>
              <w:tc>
                <w:tcPr>
                  <w:tcW w:w="2985" w:type="dxa"/>
                  <w:vMerge w:val="continue"/>
                  <w:tcBorders>
                    <w:tl2br w:val="nil"/>
                    <w:tr2bl w:val="nil"/>
                  </w:tcBorders>
                  <w:vAlign w:val="center"/>
                </w:tcPr>
                <w:p>
                  <w:pPr>
                    <w:jc w:val="center"/>
                    <w:rPr>
                      <w:color w:val="auto"/>
                      <w:szCs w:val="21"/>
                      <w:highlight w:val="none"/>
                    </w:rPr>
                  </w:pPr>
                </w:p>
              </w:tc>
            </w:tr>
          </w:tbl>
          <w:p>
            <w:pPr>
              <w:adjustRightInd w:val="0"/>
              <w:snapToGrid w:val="0"/>
              <w:spacing w:line="360" w:lineRule="auto"/>
              <w:ind w:firstLine="480" w:firstLineChars="200"/>
              <w:rPr>
                <w:color w:val="auto"/>
                <w:sz w:val="24"/>
                <w:szCs w:val="21"/>
                <w:highlight w:val="none"/>
              </w:rPr>
            </w:pPr>
            <w:r>
              <w:rPr>
                <w:color w:val="auto"/>
                <w:sz w:val="24"/>
                <w:szCs w:val="20"/>
                <w:highlight w:val="none"/>
              </w:rPr>
              <w:t>由上述计算结果可知，本项目运营过程中产生的噪声经基础减</w:t>
            </w:r>
            <w:r>
              <w:rPr>
                <w:rFonts w:hint="eastAsia"/>
                <w:color w:val="auto"/>
                <w:sz w:val="24"/>
                <w:szCs w:val="20"/>
                <w:highlight w:val="none"/>
              </w:rPr>
              <w:t>振</w:t>
            </w:r>
            <w:r>
              <w:rPr>
                <w:color w:val="auto"/>
                <w:sz w:val="24"/>
                <w:szCs w:val="20"/>
                <w:highlight w:val="none"/>
              </w:rPr>
              <w:t>、</w:t>
            </w:r>
            <w:r>
              <w:rPr>
                <w:rFonts w:hint="eastAsia"/>
                <w:color w:val="auto"/>
                <w:sz w:val="24"/>
                <w:szCs w:val="20"/>
                <w:highlight w:val="none"/>
                <w:lang w:eastAsia="zh-CN"/>
              </w:rPr>
              <w:t>车间</w:t>
            </w:r>
            <w:r>
              <w:rPr>
                <w:color w:val="auto"/>
                <w:sz w:val="24"/>
                <w:szCs w:val="20"/>
                <w:highlight w:val="none"/>
              </w:rPr>
              <w:t>隔声、绿化及距离衰减后，</w:t>
            </w:r>
            <w:r>
              <w:rPr>
                <w:rFonts w:hint="eastAsia"/>
                <w:color w:val="auto"/>
                <w:sz w:val="24"/>
                <w:szCs w:val="20"/>
                <w:highlight w:val="none"/>
              </w:rPr>
              <w:t>厂界四侧昼间</w:t>
            </w:r>
            <w:r>
              <w:rPr>
                <w:color w:val="auto"/>
                <w:sz w:val="24"/>
                <w:szCs w:val="20"/>
                <w:highlight w:val="none"/>
              </w:rPr>
              <w:t>噪声均满足《工业企业厂界环境噪声排放标准》（GB12348-2008）中的</w:t>
            </w:r>
            <w:r>
              <w:rPr>
                <w:rFonts w:hint="eastAsia"/>
                <w:color w:val="auto"/>
                <w:sz w:val="24"/>
                <w:szCs w:val="20"/>
                <w:highlight w:val="none"/>
              </w:rPr>
              <w:t>2</w:t>
            </w:r>
            <w:r>
              <w:rPr>
                <w:color w:val="auto"/>
                <w:sz w:val="24"/>
                <w:szCs w:val="20"/>
                <w:highlight w:val="none"/>
              </w:rPr>
              <w:t>类标准</w:t>
            </w:r>
            <w:r>
              <w:rPr>
                <w:rFonts w:hint="eastAsia"/>
                <w:color w:val="auto"/>
                <w:sz w:val="24"/>
                <w:szCs w:val="20"/>
                <w:highlight w:val="none"/>
              </w:rPr>
              <w:t>要求。</w:t>
            </w:r>
          </w:p>
          <w:p>
            <w:pPr>
              <w:adjustRightInd w:val="0"/>
              <w:snapToGrid w:val="0"/>
              <w:jc w:val="center"/>
              <w:rPr>
                <w:b/>
                <w:color w:val="auto"/>
                <w:szCs w:val="21"/>
                <w:highlight w:val="none"/>
              </w:rPr>
            </w:pPr>
            <w:r>
              <w:rPr>
                <w:b/>
                <w:color w:val="auto"/>
                <w:szCs w:val="21"/>
                <w:highlight w:val="none"/>
              </w:rPr>
              <w:t>表4-</w:t>
            </w:r>
            <w:r>
              <w:rPr>
                <w:rFonts w:hint="eastAsia"/>
                <w:b/>
                <w:color w:val="auto"/>
                <w:szCs w:val="21"/>
                <w:highlight w:val="none"/>
                <w:lang w:val="en-US" w:eastAsia="zh-CN"/>
              </w:rPr>
              <w:t>7</w:t>
            </w:r>
            <w:r>
              <w:rPr>
                <w:b/>
                <w:color w:val="auto"/>
                <w:szCs w:val="21"/>
                <w:highlight w:val="none"/>
              </w:rPr>
              <w:t xml:space="preserve">  项目最近住户（敏感点）噪声叠加结果</w:t>
            </w:r>
            <w:r>
              <w:rPr>
                <w:rFonts w:hint="eastAsia"/>
                <w:b/>
                <w:color w:val="auto"/>
                <w:szCs w:val="21"/>
                <w:highlight w:val="none"/>
              </w:rPr>
              <w:t xml:space="preserve">    单位：</w:t>
            </w:r>
            <w:r>
              <w:rPr>
                <w:b/>
                <w:color w:val="auto"/>
                <w:szCs w:val="21"/>
                <w:highlight w:val="none"/>
              </w:rPr>
              <w:t>dB(A)</w:t>
            </w:r>
          </w:p>
          <w:tbl>
            <w:tblPr>
              <w:tblStyle w:val="34"/>
              <w:tblW w:w="844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1893"/>
              <w:gridCol w:w="1886"/>
              <w:gridCol w:w="2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0" w:hRule="exact"/>
              </w:trPr>
              <w:tc>
                <w:tcPr>
                  <w:tcW w:w="2604" w:type="dxa"/>
                  <w:vMerge w:val="restart"/>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ascii="Times New Roman"/>
                      <w:color w:val="auto"/>
                      <w:sz w:val="21"/>
                      <w:szCs w:val="21"/>
                      <w:highlight w:val="none"/>
                    </w:rPr>
                    <w:t>预测点</w:t>
                  </w:r>
                </w:p>
              </w:tc>
              <w:tc>
                <w:tcPr>
                  <w:tcW w:w="1893" w:type="dxa"/>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hint="eastAsia" w:ascii="Times New Roman"/>
                      <w:color w:val="auto"/>
                      <w:sz w:val="21"/>
                      <w:szCs w:val="21"/>
                      <w:highlight w:val="none"/>
                      <w:lang w:eastAsia="zh-CN"/>
                    </w:rPr>
                    <w:t>贡献</w:t>
                  </w:r>
                  <w:r>
                    <w:rPr>
                      <w:rFonts w:ascii="Times New Roman"/>
                      <w:color w:val="auto"/>
                      <w:sz w:val="21"/>
                      <w:szCs w:val="21"/>
                      <w:highlight w:val="none"/>
                    </w:rPr>
                    <w:t xml:space="preserve">值 </w:t>
                  </w:r>
                </w:p>
              </w:tc>
              <w:tc>
                <w:tcPr>
                  <w:tcW w:w="1886" w:type="dxa"/>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ascii="Times New Roman"/>
                      <w:color w:val="auto"/>
                      <w:sz w:val="21"/>
                      <w:szCs w:val="21"/>
                      <w:highlight w:val="none"/>
                    </w:rPr>
                    <w:t>背景值</w:t>
                  </w:r>
                </w:p>
              </w:tc>
              <w:tc>
                <w:tcPr>
                  <w:tcW w:w="2064" w:type="dxa"/>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hint="eastAsia" w:ascii="Times New Roman"/>
                      <w:color w:val="auto"/>
                      <w:sz w:val="21"/>
                      <w:szCs w:val="21"/>
                      <w:highlight w:val="none"/>
                      <w:lang w:eastAsia="zh-CN"/>
                    </w:rPr>
                    <w:t>预测</w:t>
                  </w:r>
                  <w:r>
                    <w:rPr>
                      <w:rFonts w:ascii="Times New Roman"/>
                      <w:color w:val="auto"/>
                      <w:sz w:val="21"/>
                      <w:szCs w:val="21"/>
                      <w:highlight w:val="none"/>
                    </w:rPr>
                    <w:t>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7" w:hRule="exact"/>
              </w:trPr>
              <w:tc>
                <w:tcPr>
                  <w:tcW w:w="2604" w:type="dxa"/>
                  <w:vMerge w:val="continue"/>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p>
              </w:tc>
              <w:tc>
                <w:tcPr>
                  <w:tcW w:w="1893" w:type="dxa"/>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ascii="Times New Roman"/>
                      <w:color w:val="auto"/>
                      <w:sz w:val="21"/>
                      <w:szCs w:val="21"/>
                      <w:highlight w:val="none"/>
                    </w:rPr>
                    <w:t>昼间</w:t>
                  </w:r>
                </w:p>
                <w:p>
                  <w:pPr>
                    <w:pStyle w:val="136"/>
                    <w:adjustRightInd/>
                    <w:spacing w:beforeLines="30" w:afterLines="30" w:line="240" w:lineRule="auto"/>
                    <w:jc w:val="center"/>
                    <w:rPr>
                      <w:rFonts w:ascii="Times New Roman"/>
                      <w:color w:val="auto"/>
                      <w:sz w:val="21"/>
                      <w:szCs w:val="21"/>
                      <w:highlight w:val="none"/>
                    </w:rPr>
                  </w:pPr>
                  <w:r>
                    <w:rPr>
                      <w:rFonts w:ascii="Times New Roman"/>
                      <w:color w:val="auto"/>
                      <w:sz w:val="21"/>
                      <w:szCs w:val="21"/>
                      <w:highlight w:val="none"/>
                    </w:rPr>
                    <w:t>夜间</w:t>
                  </w:r>
                </w:p>
              </w:tc>
              <w:tc>
                <w:tcPr>
                  <w:tcW w:w="1886" w:type="dxa"/>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ascii="Times New Roman"/>
                      <w:color w:val="auto"/>
                      <w:sz w:val="21"/>
                      <w:szCs w:val="21"/>
                      <w:highlight w:val="none"/>
                    </w:rPr>
                    <w:t>昼间</w:t>
                  </w:r>
                </w:p>
                <w:p>
                  <w:pPr>
                    <w:pStyle w:val="136"/>
                    <w:adjustRightInd/>
                    <w:spacing w:beforeLines="30" w:afterLines="30" w:line="240" w:lineRule="auto"/>
                    <w:jc w:val="center"/>
                    <w:rPr>
                      <w:rFonts w:ascii="Times New Roman"/>
                      <w:color w:val="auto"/>
                      <w:sz w:val="21"/>
                      <w:szCs w:val="21"/>
                      <w:highlight w:val="none"/>
                    </w:rPr>
                  </w:pPr>
                  <w:r>
                    <w:rPr>
                      <w:rFonts w:ascii="Times New Roman"/>
                      <w:color w:val="auto"/>
                      <w:sz w:val="21"/>
                      <w:szCs w:val="21"/>
                      <w:highlight w:val="none"/>
                    </w:rPr>
                    <w:t>夜间</w:t>
                  </w:r>
                </w:p>
              </w:tc>
              <w:tc>
                <w:tcPr>
                  <w:tcW w:w="2064" w:type="dxa"/>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ascii="Times New Roman"/>
                      <w:color w:val="auto"/>
                      <w:sz w:val="21"/>
                      <w:szCs w:val="21"/>
                      <w:highlight w:val="none"/>
                    </w:rPr>
                    <w:t>昼间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2604" w:type="dxa"/>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hint="eastAsia" w:ascii="Times New Roman"/>
                      <w:color w:val="auto"/>
                      <w:sz w:val="21"/>
                      <w:szCs w:val="21"/>
                      <w:highlight w:val="none"/>
                    </w:rPr>
                    <w:t>西</w:t>
                  </w:r>
                  <w:r>
                    <w:rPr>
                      <w:rFonts w:ascii="Times New Roman"/>
                      <w:color w:val="auto"/>
                      <w:sz w:val="21"/>
                      <w:szCs w:val="21"/>
                      <w:highlight w:val="none"/>
                    </w:rPr>
                    <w:t>侧敏感点</w:t>
                  </w:r>
                </w:p>
              </w:tc>
              <w:tc>
                <w:tcPr>
                  <w:tcW w:w="1893" w:type="dxa"/>
                  <w:tcBorders>
                    <w:tl2br w:val="nil"/>
                    <w:tr2bl w:val="nil"/>
                  </w:tcBorders>
                  <w:vAlign w:val="center"/>
                </w:tcPr>
                <w:p>
                  <w:pPr>
                    <w:widowControl/>
                    <w:jc w:val="center"/>
                    <w:rPr>
                      <w:color w:val="auto"/>
                      <w:szCs w:val="21"/>
                      <w:highlight w:val="none"/>
                    </w:rPr>
                  </w:pPr>
                  <w:r>
                    <w:rPr>
                      <w:rFonts w:hint="eastAsia"/>
                      <w:color w:val="auto"/>
                      <w:szCs w:val="21"/>
                      <w:highlight w:val="none"/>
                    </w:rPr>
                    <w:t>20.58</w:t>
                  </w:r>
                </w:p>
              </w:tc>
              <w:tc>
                <w:tcPr>
                  <w:tcW w:w="1886" w:type="dxa"/>
                  <w:tcBorders>
                    <w:tl2br w:val="nil"/>
                    <w:tr2bl w:val="nil"/>
                  </w:tcBorders>
                  <w:vAlign w:val="center"/>
                </w:tcPr>
                <w:p>
                  <w:pPr>
                    <w:jc w:val="center"/>
                    <w:rPr>
                      <w:color w:val="auto"/>
                      <w:szCs w:val="21"/>
                      <w:highlight w:val="none"/>
                    </w:rPr>
                  </w:pPr>
                  <w:r>
                    <w:rPr>
                      <w:rFonts w:hint="eastAsia" w:ascii="Times New Roman" w:hAnsi="Times New Roman" w:eastAsia="宋体" w:cs="Times New Roman"/>
                      <w:color w:val="auto"/>
                      <w:szCs w:val="21"/>
                      <w:highlight w:val="none"/>
                      <w:lang w:val="en-US" w:eastAsia="zh-CN"/>
                    </w:rPr>
                    <w:t>52</w:t>
                  </w:r>
                </w:p>
              </w:tc>
              <w:tc>
                <w:tcPr>
                  <w:tcW w:w="2064" w:type="dxa"/>
                  <w:tcBorders>
                    <w:tl2br w:val="nil"/>
                    <w:tr2bl w:val="nil"/>
                  </w:tcBorders>
                  <w:vAlign w:val="center"/>
                </w:tcPr>
                <w:p>
                  <w:pPr>
                    <w:widowControl/>
                    <w:jc w:val="center"/>
                    <w:rPr>
                      <w:rFonts w:hint="default"/>
                      <w:color w:val="auto"/>
                      <w:szCs w:val="21"/>
                      <w:highlight w:val="none"/>
                      <w:lang w:val="en-US"/>
                    </w:rPr>
                  </w:pPr>
                  <w:r>
                    <w:rPr>
                      <w:rFonts w:hint="eastAsia" w:ascii="Times New Roman" w:hAnsi="Times New Roman" w:eastAsia="宋体" w:cs="Times New Roman"/>
                      <w:color w:val="auto"/>
                      <w:szCs w:val="21"/>
                      <w:highlight w:val="none"/>
                      <w:lang w:val="en-US" w:eastAsia="zh-CN"/>
                    </w:rPr>
                    <w:t>52</w:t>
                  </w:r>
                  <w:r>
                    <w:rPr>
                      <w:rFonts w:hint="eastAsia" w:ascii="Times New Roman" w:hAnsi="Times New Roman" w:cs="Times New Roman"/>
                      <w:color w:val="auto"/>
                      <w:szCs w:val="21"/>
                      <w:highlight w:val="none"/>
                      <w:lang w:val="en-US" w:eastAsia="zh-CN"/>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2604" w:type="dxa"/>
                  <w:tcBorders>
                    <w:tl2br w:val="nil"/>
                    <w:tr2bl w:val="nil"/>
                  </w:tcBorders>
                  <w:vAlign w:val="center"/>
                </w:tcPr>
                <w:p>
                  <w:pPr>
                    <w:pStyle w:val="136"/>
                    <w:adjustRightInd/>
                    <w:spacing w:beforeLines="30" w:afterLines="30" w:line="240" w:lineRule="auto"/>
                    <w:jc w:val="center"/>
                    <w:rPr>
                      <w:rFonts w:ascii="Times New Roman"/>
                      <w:color w:val="auto"/>
                      <w:sz w:val="21"/>
                      <w:szCs w:val="21"/>
                      <w:highlight w:val="none"/>
                    </w:rPr>
                  </w:pPr>
                  <w:r>
                    <w:rPr>
                      <w:rFonts w:hint="eastAsia" w:ascii="Times New Roman"/>
                      <w:color w:val="auto"/>
                      <w:sz w:val="21"/>
                      <w:szCs w:val="21"/>
                      <w:highlight w:val="none"/>
                    </w:rPr>
                    <w:t>西南</w:t>
                  </w:r>
                  <w:r>
                    <w:rPr>
                      <w:rFonts w:ascii="Times New Roman"/>
                      <w:color w:val="auto"/>
                      <w:sz w:val="21"/>
                      <w:szCs w:val="21"/>
                      <w:highlight w:val="none"/>
                    </w:rPr>
                    <w:t>侧敏感点</w:t>
                  </w:r>
                </w:p>
              </w:tc>
              <w:tc>
                <w:tcPr>
                  <w:tcW w:w="1893" w:type="dxa"/>
                  <w:tcBorders>
                    <w:tl2br w:val="nil"/>
                    <w:tr2bl w:val="nil"/>
                  </w:tcBorders>
                  <w:vAlign w:val="center"/>
                </w:tcPr>
                <w:p>
                  <w:pPr>
                    <w:widowControl/>
                    <w:jc w:val="center"/>
                    <w:rPr>
                      <w:color w:val="auto"/>
                      <w:kern w:val="0"/>
                      <w:szCs w:val="21"/>
                      <w:highlight w:val="none"/>
                    </w:rPr>
                  </w:pPr>
                  <w:r>
                    <w:rPr>
                      <w:rFonts w:hint="eastAsia"/>
                      <w:color w:val="auto"/>
                      <w:kern w:val="0"/>
                      <w:szCs w:val="21"/>
                      <w:highlight w:val="none"/>
                    </w:rPr>
                    <w:t>23.30</w:t>
                  </w:r>
                </w:p>
              </w:tc>
              <w:tc>
                <w:tcPr>
                  <w:tcW w:w="1886" w:type="dxa"/>
                  <w:tcBorders>
                    <w:tl2br w:val="nil"/>
                    <w:tr2bl w:val="nil"/>
                  </w:tcBorders>
                  <w:vAlign w:val="center"/>
                </w:tcPr>
                <w:p>
                  <w:pPr>
                    <w:jc w:val="center"/>
                    <w:rPr>
                      <w:color w:val="auto"/>
                      <w:kern w:val="0"/>
                      <w:szCs w:val="21"/>
                      <w:highlight w:val="none"/>
                    </w:rPr>
                  </w:pPr>
                  <w:r>
                    <w:rPr>
                      <w:rFonts w:hint="eastAsia" w:ascii="Times New Roman" w:hAnsi="Times New Roman" w:eastAsia="宋体" w:cs="Times New Roman"/>
                      <w:color w:val="auto"/>
                      <w:szCs w:val="21"/>
                      <w:highlight w:val="none"/>
                      <w:lang w:val="en-US" w:eastAsia="zh-CN"/>
                    </w:rPr>
                    <w:t>54</w:t>
                  </w:r>
                </w:p>
              </w:tc>
              <w:tc>
                <w:tcPr>
                  <w:tcW w:w="2064" w:type="dxa"/>
                  <w:tcBorders>
                    <w:tl2br w:val="nil"/>
                    <w:tr2bl w:val="nil"/>
                  </w:tcBorders>
                  <w:vAlign w:val="center"/>
                </w:tcPr>
                <w:p>
                  <w:pPr>
                    <w:widowControl/>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9" w:hRule="exact"/>
              </w:trPr>
              <w:tc>
                <w:tcPr>
                  <w:tcW w:w="2604" w:type="dxa"/>
                  <w:tcBorders>
                    <w:tl2br w:val="nil"/>
                    <w:tr2bl w:val="nil"/>
                  </w:tcBorders>
                  <w:vAlign w:val="center"/>
                </w:tcPr>
                <w:p>
                  <w:pPr>
                    <w:snapToGrid w:val="0"/>
                    <w:jc w:val="center"/>
                    <w:rPr>
                      <w:color w:val="auto"/>
                      <w:szCs w:val="21"/>
                      <w:highlight w:val="none"/>
                    </w:rPr>
                  </w:pPr>
                  <w:r>
                    <w:rPr>
                      <w:color w:val="auto"/>
                      <w:szCs w:val="21"/>
                      <w:highlight w:val="none"/>
                    </w:rPr>
                    <w:t>（GB 3096-2008）</w:t>
                  </w:r>
                  <w:r>
                    <w:rPr>
                      <w:rFonts w:hint="eastAsia"/>
                      <w:color w:val="auto"/>
                      <w:szCs w:val="21"/>
                      <w:highlight w:val="none"/>
                    </w:rPr>
                    <w:t>2</w:t>
                  </w:r>
                  <w:r>
                    <w:rPr>
                      <w:color w:val="auto"/>
                      <w:szCs w:val="21"/>
                      <w:highlight w:val="none"/>
                    </w:rPr>
                    <w:t>类标准</w:t>
                  </w:r>
                </w:p>
              </w:tc>
              <w:tc>
                <w:tcPr>
                  <w:tcW w:w="5843" w:type="dxa"/>
                  <w:gridSpan w:val="3"/>
                  <w:tcBorders>
                    <w:tl2br w:val="nil"/>
                    <w:tr2bl w:val="nil"/>
                  </w:tcBorders>
                  <w:vAlign w:val="center"/>
                </w:tcPr>
                <w:p>
                  <w:pPr>
                    <w:snapToGrid w:val="0"/>
                    <w:jc w:val="center"/>
                    <w:rPr>
                      <w:color w:val="auto"/>
                      <w:szCs w:val="21"/>
                      <w:highlight w:val="none"/>
                    </w:rPr>
                  </w:pPr>
                  <w:r>
                    <w:rPr>
                      <w:color w:val="auto"/>
                      <w:szCs w:val="21"/>
                      <w:highlight w:val="none"/>
                    </w:rPr>
                    <w:t>昼间6</w:t>
                  </w:r>
                  <w:r>
                    <w:rPr>
                      <w:rFonts w:hint="eastAsia"/>
                      <w:color w:val="auto"/>
                      <w:szCs w:val="21"/>
                      <w:highlight w:val="none"/>
                    </w:rPr>
                    <w:t>0</w:t>
                  </w:r>
                  <w:r>
                    <w:rPr>
                      <w:color w:val="auto"/>
                      <w:szCs w:val="21"/>
                      <w:highlight w:val="none"/>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6" w:hRule="exact"/>
              </w:trPr>
              <w:tc>
                <w:tcPr>
                  <w:tcW w:w="8447" w:type="dxa"/>
                  <w:gridSpan w:val="4"/>
                  <w:tcBorders>
                    <w:tl2br w:val="nil"/>
                    <w:tr2bl w:val="nil"/>
                  </w:tcBorders>
                  <w:vAlign w:val="center"/>
                </w:tcPr>
                <w:p>
                  <w:pPr>
                    <w:snapToGrid w:val="0"/>
                    <w:jc w:val="both"/>
                    <w:rPr>
                      <w:rFonts w:hint="default" w:eastAsia="宋体"/>
                      <w:color w:val="auto"/>
                      <w:szCs w:val="21"/>
                      <w:highlight w:val="none"/>
                      <w:lang w:val="en-US" w:eastAsia="zh-CN"/>
                    </w:rPr>
                  </w:pPr>
                  <w:r>
                    <w:rPr>
                      <w:rFonts w:hint="eastAsia"/>
                      <w:color w:val="auto"/>
                      <w:szCs w:val="21"/>
                      <w:highlight w:val="none"/>
                      <w:lang w:eastAsia="zh-CN"/>
                    </w:rPr>
                    <w:t>注：考虑到</w:t>
                  </w:r>
                  <w:r>
                    <w:rPr>
                      <w:rFonts w:hint="eastAsia"/>
                      <w:color w:val="auto"/>
                      <w:szCs w:val="21"/>
                      <w:highlight w:val="none"/>
                      <w:lang w:val="en-US" w:eastAsia="zh-CN"/>
                    </w:rPr>
                    <w:t>2023年监测时现有工程处于停产状态，故上述贡献值实为扩建工程贡献值和现有工程贡献值的叠加值，</w:t>
                  </w:r>
                  <w:r>
                    <w:rPr>
                      <w:rFonts w:hint="eastAsia"/>
                      <w:color w:val="auto"/>
                      <w:sz w:val="21"/>
                      <w:szCs w:val="21"/>
                      <w:highlight w:val="none"/>
                      <w:lang w:eastAsia="zh-CN"/>
                    </w:rPr>
                    <w:t>此外，经现场调查，现有工程投运至今，周边敏感点未发生变化。</w:t>
                  </w:r>
                </w:p>
              </w:tc>
            </w:tr>
          </w:tbl>
          <w:p>
            <w:pPr>
              <w:pStyle w:val="13"/>
              <w:spacing w:line="360" w:lineRule="auto"/>
              <w:ind w:firstLine="480" w:firstLineChars="200"/>
              <w:rPr>
                <w:color w:val="auto"/>
                <w:highlight w:val="none"/>
              </w:rPr>
            </w:pPr>
            <w:r>
              <w:rPr>
                <w:color w:val="auto"/>
                <w:highlight w:val="none"/>
              </w:rPr>
              <w:t>由上述噪声叠加结果可知，项目运营期内最近住户（敏感点）处噪声</w:t>
            </w:r>
            <w:r>
              <w:rPr>
                <w:rFonts w:hint="eastAsia"/>
                <w:color w:val="auto"/>
                <w:highlight w:val="none"/>
                <w:lang w:eastAsia="zh-CN"/>
              </w:rPr>
              <w:t>预测</w:t>
            </w:r>
            <w:r>
              <w:rPr>
                <w:color w:val="auto"/>
                <w:highlight w:val="none"/>
              </w:rPr>
              <w:t>值</w:t>
            </w:r>
            <w:r>
              <w:rPr>
                <w:rFonts w:hint="eastAsia"/>
                <w:color w:val="auto"/>
                <w:highlight w:val="none"/>
              </w:rPr>
              <w:t>满足</w:t>
            </w:r>
            <w:r>
              <w:rPr>
                <w:color w:val="auto"/>
                <w:highlight w:val="none"/>
              </w:rPr>
              <w:t>《声环境质量标准》</w:t>
            </w:r>
            <w:r>
              <w:rPr>
                <w:rFonts w:hint="eastAsia"/>
                <w:color w:val="auto"/>
                <w:highlight w:val="none"/>
              </w:rPr>
              <w:t>（</w:t>
            </w:r>
            <w:r>
              <w:rPr>
                <w:color w:val="auto"/>
                <w:highlight w:val="none"/>
              </w:rPr>
              <w:t>GB 3096-2008</w:t>
            </w:r>
            <w:r>
              <w:rPr>
                <w:rFonts w:hint="eastAsia"/>
                <w:color w:val="auto"/>
                <w:highlight w:val="none"/>
              </w:rPr>
              <w:t>）</w:t>
            </w:r>
            <w:r>
              <w:rPr>
                <w:color w:val="auto"/>
                <w:highlight w:val="none"/>
              </w:rPr>
              <w:t>中的2类标准。</w:t>
            </w:r>
          </w:p>
          <w:p>
            <w:pPr>
              <w:adjustRightInd w:val="0"/>
              <w:snapToGrid w:val="0"/>
              <w:spacing w:line="360" w:lineRule="auto"/>
              <w:ind w:left="420" w:leftChars="200"/>
              <w:rPr>
                <w:color w:val="auto"/>
                <w:sz w:val="24"/>
                <w:highlight w:val="none"/>
              </w:rPr>
            </w:pPr>
            <w:r>
              <w:rPr>
                <w:rFonts w:hint="eastAsia"/>
                <w:color w:val="auto"/>
                <w:sz w:val="24"/>
                <w:highlight w:val="none"/>
              </w:rPr>
              <w:t>2、噪声监测</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按照《排污单位自行监测技术指南 总则》</w:t>
            </w:r>
            <w:r>
              <w:rPr>
                <w:color w:val="auto"/>
                <w:kern w:val="0"/>
                <w:sz w:val="24"/>
                <w:highlight w:val="none"/>
              </w:rPr>
              <w:t>（HJ819-2017），</w:t>
            </w:r>
            <w:r>
              <w:rPr>
                <w:rFonts w:hint="eastAsia" w:ascii="宋体" w:hAnsi="宋体" w:cs="宋体"/>
                <w:color w:val="auto"/>
                <w:kern w:val="0"/>
                <w:sz w:val="24"/>
                <w:highlight w:val="none"/>
              </w:rPr>
              <w:t>建设单位应开展环境噪声监测，具体如下：</w:t>
            </w:r>
          </w:p>
          <w:p>
            <w:pPr>
              <w:adjustRightInd w:val="0"/>
              <w:snapToGrid w:val="0"/>
              <w:jc w:val="center"/>
              <w:rPr>
                <w:b/>
                <w:bCs/>
                <w:color w:val="auto"/>
                <w:kern w:val="24"/>
                <w:szCs w:val="22"/>
                <w:highlight w:val="none"/>
              </w:rPr>
            </w:pPr>
            <w:r>
              <w:rPr>
                <w:b/>
                <w:bCs/>
                <w:color w:val="auto"/>
                <w:kern w:val="24"/>
                <w:szCs w:val="22"/>
                <w:highlight w:val="none"/>
              </w:rPr>
              <w:t>表4-</w:t>
            </w:r>
            <w:r>
              <w:rPr>
                <w:rFonts w:hint="eastAsia"/>
                <w:b/>
                <w:bCs/>
                <w:color w:val="auto"/>
                <w:kern w:val="24"/>
                <w:szCs w:val="22"/>
                <w:highlight w:val="none"/>
                <w:lang w:val="en-US" w:eastAsia="zh-CN"/>
              </w:rPr>
              <w:t>8</w:t>
            </w:r>
            <w:r>
              <w:rPr>
                <w:rFonts w:hint="eastAsia"/>
                <w:b/>
                <w:bCs/>
                <w:color w:val="auto"/>
                <w:kern w:val="24"/>
                <w:szCs w:val="22"/>
                <w:highlight w:val="none"/>
              </w:rPr>
              <w:t xml:space="preserve"> </w:t>
            </w:r>
            <w:r>
              <w:rPr>
                <w:b/>
                <w:bCs/>
                <w:color w:val="auto"/>
                <w:kern w:val="24"/>
                <w:szCs w:val="22"/>
                <w:highlight w:val="none"/>
              </w:rPr>
              <w:t xml:space="preserve">   </w:t>
            </w:r>
            <w:r>
              <w:rPr>
                <w:rFonts w:hint="eastAsia"/>
                <w:b/>
                <w:bCs/>
                <w:color w:val="auto"/>
                <w:kern w:val="24"/>
                <w:szCs w:val="22"/>
                <w:highlight w:val="none"/>
              </w:rPr>
              <w:t>噪声</w:t>
            </w:r>
            <w:r>
              <w:rPr>
                <w:b/>
                <w:bCs/>
                <w:color w:val="auto"/>
                <w:kern w:val="24"/>
                <w:szCs w:val="22"/>
                <w:highlight w:val="none"/>
              </w:rPr>
              <w:t>监测一览表</w:t>
            </w:r>
          </w:p>
          <w:tbl>
            <w:tblPr>
              <w:tblStyle w:val="34"/>
              <w:tblW w:w="5000" w:type="pct"/>
              <w:tblInd w:w="15"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82"/>
              <w:gridCol w:w="1600"/>
              <w:gridCol w:w="1127"/>
              <w:gridCol w:w="1201"/>
              <w:gridCol w:w="3694"/>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86" w:hRule="atLeast"/>
              </w:trPr>
              <w:tc>
                <w:tcPr>
                  <w:tcW w:w="782" w:type="dxa"/>
                  <w:tcBorders>
                    <w:tl2br w:val="nil"/>
                    <w:tr2bl w:val="nil"/>
                  </w:tcBorders>
                  <w:vAlign w:val="center"/>
                </w:tcPr>
                <w:p>
                  <w:pPr>
                    <w:jc w:val="center"/>
                    <w:rPr>
                      <w:color w:val="auto"/>
                      <w:szCs w:val="21"/>
                      <w:highlight w:val="none"/>
                    </w:rPr>
                  </w:pPr>
                  <w:r>
                    <w:rPr>
                      <w:color w:val="auto"/>
                      <w:szCs w:val="21"/>
                      <w:highlight w:val="none"/>
                    </w:rPr>
                    <w:t>监测项目</w:t>
                  </w:r>
                </w:p>
              </w:tc>
              <w:tc>
                <w:tcPr>
                  <w:tcW w:w="1600" w:type="dxa"/>
                  <w:tcBorders>
                    <w:tl2br w:val="nil"/>
                    <w:tr2bl w:val="nil"/>
                  </w:tcBorders>
                  <w:vAlign w:val="center"/>
                </w:tcPr>
                <w:p>
                  <w:pPr>
                    <w:jc w:val="center"/>
                    <w:rPr>
                      <w:color w:val="auto"/>
                      <w:szCs w:val="21"/>
                      <w:highlight w:val="none"/>
                    </w:rPr>
                  </w:pPr>
                  <w:r>
                    <w:rPr>
                      <w:color w:val="auto"/>
                      <w:szCs w:val="21"/>
                      <w:highlight w:val="none"/>
                    </w:rPr>
                    <w:t>监测位置</w:t>
                  </w:r>
                </w:p>
              </w:tc>
              <w:tc>
                <w:tcPr>
                  <w:tcW w:w="1127" w:type="dxa"/>
                  <w:tcBorders>
                    <w:tl2br w:val="nil"/>
                    <w:tr2bl w:val="nil"/>
                  </w:tcBorders>
                  <w:vAlign w:val="center"/>
                </w:tcPr>
                <w:p>
                  <w:pPr>
                    <w:jc w:val="center"/>
                    <w:rPr>
                      <w:color w:val="auto"/>
                      <w:szCs w:val="21"/>
                      <w:highlight w:val="none"/>
                    </w:rPr>
                  </w:pPr>
                  <w:r>
                    <w:rPr>
                      <w:color w:val="auto"/>
                      <w:szCs w:val="21"/>
                      <w:highlight w:val="none"/>
                    </w:rPr>
                    <w:t>监测因子</w:t>
                  </w:r>
                </w:p>
              </w:tc>
              <w:tc>
                <w:tcPr>
                  <w:tcW w:w="1201" w:type="dxa"/>
                  <w:tcBorders>
                    <w:tl2br w:val="nil"/>
                    <w:tr2bl w:val="nil"/>
                  </w:tcBorders>
                  <w:vAlign w:val="center"/>
                </w:tcPr>
                <w:p>
                  <w:pPr>
                    <w:jc w:val="center"/>
                    <w:rPr>
                      <w:color w:val="auto"/>
                      <w:szCs w:val="21"/>
                      <w:highlight w:val="none"/>
                    </w:rPr>
                  </w:pPr>
                  <w:r>
                    <w:rPr>
                      <w:color w:val="auto"/>
                      <w:szCs w:val="21"/>
                      <w:highlight w:val="none"/>
                    </w:rPr>
                    <w:t>监测时间、频率</w:t>
                  </w:r>
                </w:p>
              </w:tc>
              <w:tc>
                <w:tcPr>
                  <w:tcW w:w="3694" w:type="dxa"/>
                  <w:tcBorders>
                    <w:tl2br w:val="nil"/>
                    <w:tr2bl w:val="nil"/>
                  </w:tcBorders>
                  <w:vAlign w:val="center"/>
                </w:tcPr>
                <w:p>
                  <w:pPr>
                    <w:jc w:val="center"/>
                    <w:rPr>
                      <w:color w:val="auto"/>
                      <w:szCs w:val="21"/>
                      <w:highlight w:val="none"/>
                    </w:rPr>
                  </w:pPr>
                  <w:r>
                    <w:rPr>
                      <w:color w:val="auto"/>
                      <w:szCs w:val="21"/>
                      <w:highlight w:val="none"/>
                    </w:rPr>
                    <w:t>执行标准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43" w:hRule="atLeast"/>
              </w:trPr>
              <w:tc>
                <w:tcPr>
                  <w:tcW w:w="782" w:type="dxa"/>
                  <w:vMerge w:val="restart"/>
                  <w:tcBorders>
                    <w:tl2br w:val="nil"/>
                    <w:tr2bl w:val="nil"/>
                  </w:tcBorders>
                  <w:vAlign w:val="center"/>
                </w:tcPr>
                <w:p>
                  <w:pPr>
                    <w:jc w:val="center"/>
                    <w:rPr>
                      <w:color w:val="auto"/>
                      <w:szCs w:val="21"/>
                      <w:highlight w:val="none"/>
                    </w:rPr>
                  </w:pPr>
                  <w:r>
                    <w:rPr>
                      <w:color w:val="auto"/>
                      <w:szCs w:val="21"/>
                      <w:highlight w:val="none"/>
                    </w:rPr>
                    <w:t>噪声</w:t>
                  </w:r>
                </w:p>
              </w:tc>
              <w:tc>
                <w:tcPr>
                  <w:tcW w:w="1600" w:type="dxa"/>
                  <w:tcBorders>
                    <w:tl2br w:val="nil"/>
                    <w:tr2bl w:val="nil"/>
                  </w:tcBorders>
                  <w:vAlign w:val="center"/>
                </w:tcPr>
                <w:p>
                  <w:pPr>
                    <w:jc w:val="center"/>
                    <w:rPr>
                      <w:color w:val="auto"/>
                      <w:szCs w:val="21"/>
                      <w:highlight w:val="none"/>
                    </w:rPr>
                  </w:pPr>
                  <w:r>
                    <w:rPr>
                      <w:color w:val="auto"/>
                      <w:szCs w:val="21"/>
                      <w:highlight w:val="none"/>
                    </w:rPr>
                    <w:t>厂界四</w:t>
                  </w:r>
                  <w:r>
                    <w:rPr>
                      <w:rFonts w:hint="eastAsia"/>
                      <w:color w:val="auto"/>
                      <w:szCs w:val="21"/>
                      <w:highlight w:val="none"/>
                    </w:rPr>
                    <w:t>侧</w:t>
                  </w:r>
                </w:p>
              </w:tc>
              <w:tc>
                <w:tcPr>
                  <w:tcW w:w="1127" w:type="dxa"/>
                  <w:vMerge w:val="restart"/>
                  <w:tcBorders>
                    <w:tl2br w:val="nil"/>
                    <w:tr2bl w:val="nil"/>
                  </w:tcBorders>
                  <w:vAlign w:val="center"/>
                </w:tcPr>
                <w:p>
                  <w:pPr>
                    <w:jc w:val="center"/>
                    <w:rPr>
                      <w:color w:val="auto"/>
                      <w:szCs w:val="21"/>
                      <w:highlight w:val="none"/>
                    </w:rPr>
                  </w:pPr>
                  <w:r>
                    <w:rPr>
                      <w:color w:val="auto"/>
                      <w:highlight w:val="none"/>
                    </w:rPr>
                    <w:t>噪声</w:t>
                  </w:r>
                </w:p>
              </w:tc>
              <w:tc>
                <w:tcPr>
                  <w:tcW w:w="1201" w:type="dxa"/>
                  <w:vMerge w:val="restart"/>
                  <w:tcBorders>
                    <w:tl2br w:val="nil"/>
                    <w:tr2bl w:val="nil"/>
                  </w:tcBorders>
                  <w:vAlign w:val="center"/>
                </w:tcPr>
                <w:p>
                  <w:pPr>
                    <w:jc w:val="center"/>
                    <w:rPr>
                      <w:color w:val="auto"/>
                      <w:szCs w:val="21"/>
                      <w:highlight w:val="none"/>
                    </w:rPr>
                  </w:pPr>
                  <w:r>
                    <w:rPr>
                      <w:color w:val="auto"/>
                      <w:szCs w:val="21"/>
                      <w:highlight w:val="none"/>
                    </w:rPr>
                    <w:t>一次/季度</w:t>
                  </w:r>
                </w:p>
              </w:tc>
              <w:tc>
                <w:tcPr>
                  <w:tcW w:w="3694" w:type="dxa"/>
                  <w:tcBorders>
                    <w:tl2br w:val="nil"/>
                    <w:tr2bl w:val="nil"/>
                  </w:tcBorders>
                  <w:vAlign w:val="center"/>
                </w:tcPr>
                <w:p>
                  <w:pPr>
                    <w:jc w:val="center"/>
                    <w:rPr>
                      <w:color w:val="auto"/>
                      <w:szCs w:val="21"/>
                      <w:highlight w:val="none"/>
                    </w:rPr>
                  </w:pPr>
                  <w:r>
                    <w:rPr>
                      <w:color w:val="auto"/>
                      <w:szCs w:val="21"/>
                      <w:highlight w:val="none"/>
                      <w:lang w:val="en-GB"/>
                    </w:rPr>
                    <w:t>《</w:t>
                  </w:r>
                  <w:r>
                    <w:rPr>
                      <w:color w:val="auto"/>
                      <w:szCs w:val="21"/>
                      <w:highlight w:val="none"/>
                    </w:rPr>
                    <w:t>工业企业厂界环境噪声排放标准</w:t>
                  </w:r>
                  <w:r>
                    <w:rPr>
                      <w:color w:val="auto"/>
                      <w:szCs w:val="21"/>
                      <w:highlight w:val="none"/>
                      <w:lang w:val="en-GB"/>
                    </w:rPr>
                    <w:t>》</w:t>
                  </w:r>
                  <w:r>
                    <w:rPr>
                      <w:rFonts w:hint="eastAsia"/>
                      <w:color w:val="auto"/>
                      <w:szCs w:val="21"/>
                      <w:highlight w:val="none"/>
                      <w:lang w:val="en-GB"/>
                    </w:rPr>
                    <w:t>（</w:t>
                  </w:r>
                  <w:r>
                    <w:rPr>
                      <w:color w:val="auto"/>
                      <w:szCs w:val="21"/>
                      <w:highlight w:val="none"/>
                      <w:lang w:val="en-GB"/>
                    </w:rPr>
                    <w:t>GB</w:t>
                  </w:r>
                  <w:r>
                    <w:rPr>
                      <w:color w:val="auto"/>
                      <w:szCs w:val="21"/>
                      <w:highlight w:val="none"/>
                    </w:rPr>
                    <w:t>12348-2008</w:t>
                  </w:r>
                  <w:r>
                    <w:rPr>
                      <w:rFonts w:hint="eastAsia"/>
                      <w:color w:val="auto"/>
                      <w:szCs w:val="21"/>
                      <w:highlight w:val="none"/>
                      <w:lang w:val="en-GB"/>
                    </w:rPr>
                    <w:t>）</w:t>
                  </w:r>
                  <w:r>
                    <w:rPr>
                      <w:color w:val="auto"/>
                      <w:szCs w:val="21"/>
                      <w:highlight w:val="none"/>
                    </w:rPr>
                    <w:t>2类区标准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43" w:hRule="atLeast"/>
              </w:trPr>
              <w:tc>
                <w:tcPr>
                  <w:tcW w:w="782" w:type="dxa"/>
                  <w:vMerge w:val="continue"/>
                  <w:tcBorders>
                    <w:tl2br w:val="nil"/>
                    <w:tr2bl w:val="nil"/>
                  </w:tcBorders>
                  <w:vAlign w:val="center"/>
                </w:tcPr>
                <w:p>
                  <w:pPr>
                    <w:jc w:val="center"/>
                    <w:rPr>
                      <w:color w:val="auto"/>
                      <w:szCs w:val="21"/>
                      <w:highlight w:val="none"/>
                    </w:rPr>
                  </w:pPr>
                </w:p>
              </w:tc>
              <w:tc>
                <w:tcPr>
                  <w:tcW w:w="1600" w:type="dxa"/>
                  <w:tcBorders>
                    <w:tl2br w:val="nil"/>
                    <w:tr2bl w:val="nil"/>
                  </w:tcBorders>
                  <w:vAlign w:val="center"/>
                </w:tcPr>
                <w:p>
                  <w:pPr>
                    <w:jc w:val="center"/>
                    <w:rPr>
                      <w:color w:val="auto"/>
                      <w:szCs w:val="21"/>
                      <w:highlight w:val="none"/>
                    </w:rPr>
                  </w:pPr>
                  <w:r>
                    <w:rPr>
                      <w:rFonts w:hint="eastAsia"/>
                      <w:color w:val="auto"/>
                      <w:szCs w:val="21"/>
                      <w:highlight w:val="none"/>
                    </w:rPr>
                    <w:t>周边敏感点</w:t>
                  </w:r>
                </w:p>
              </w:tc>
              <w:tc>
                <w:tcPr>
                  <w:tcW w:w="1127" w:type="dxa"/>
                  <w:vMerge w:val="continue"/>
                  <w:tcBorders>
                    <w:tl2br w:val="nil"/>
                    <w:tr2bl w:val="nil"/>
                  </w:tcBorders>
                  <w:vAlign w:val="center"/>
                </w:tcPr>
                <w:p>
                  <w:pPr>
                    <w:jc w:val="center"/>
                    <w:rPr>
                      <w:color w:val="auto"/>
                      <w:highlight w:val="none"/>
                    </w:rPr>
                  </w:pPr>
                </w:p>
              </w:tc>
              <w:tc>
                <w:tcPr>
                  <w:tcW w:w="1201" w:type="dxa"/>
                  <w:vMerge w:val="continue"/>
                  <w:tcBorders>
                    <w:tl2br w:val="nil"/>
                    <w:tr2bl w:val="nil"/>
                  </w:tcBorders>
                  <w:vAlign w:val="center"/>
                </w:tcPr>
                <w:p>
                  <w:pPr>
                    <w:jc w:val="center"/>
                    <w:rPr>
                      <w:color w:val="auto"/>
                      <w:szCs w:val="21"/>
                      <w:highlight w:val="none"/>
                    </w:rPr>
                  </w:pPr>
                </w:p>
              </w:tc>
              <w:tc>
                <w:tcPr>
                  <w:tcW w:w="3694" w:type="dxa"/>
                  <w:tcBorders>
                    <w:tl2br w:val="nil"/>
                    <w:tr2bl w:val="nil"/>
                  </w:tcBorders>
                  <w:vAlign w:val="center"/>
                </w:tcPr>
                <w:p>
                  <w:pPr>
                    <w:jc w:val="center"/>
                    <w:rPr>
                      <w:color w:val="auto"/>
                      <w:szCs w:val="21"/>
                      <w:highlight w:val="none"/>
                      <w:lang w:val="en-GB"/>
                    </w:rPr>
                  </w:pPr>
                  <w:r>
                    <w:rPr>
                      <w:rFonts w:hint="eastAsia"/>
                      <w:color w:val="auto"/>
                      <w:szCs w:val="21"/>
                      <w:highlight w:val="none"/>
                    </w:rPr>
                    <w:t>《声环境质量标准》（GB 3096-2008）中2类标准</w:t>
                  </w:r>
                </w:p>
              </w:tc>
            </w:tr>
          </w:tbl>
          <w:p>
            <w:pPr>
              <w:adjustRightInd w:val="0"/>
              <w:snapToGrid w:val="0"/>
              <w:spacing w:line="360" w:lineRule="auto"/>
              <w:rPr>
                <w:b/>
                <w:color w:val="auto"/>
                <w:kern w:val="0"/>
                <w:sz w:val="24"/>
                <w:highlight w:val="none"/>
              </w:rPr>
            </w:pPr>
            <w:r>
              <w:rPr>
                <w:rFonts w:hint="eastAsia"/>
                <w:b/>
                <w:color w:val="auto"/>
                <w:kern w:val="0"/>
                <w:sz w:val="24"/>
                <w:highlight w:val="none"/>
              </w:rPr>
              <w:t>（</w:t>
            </w:r>
            <w:r>
              <w:rPr>
                <w:b/>
                <w:color w:val="auto"/>
                <w:kern w:val="0"/>
                <w:sz w:val="24"/>
                <w:highlight w:val="none"/>
              </w:rPr>
              <w:t>四</w:t>
            </w:r>
            <w:r>
              <w:rPr>
                <w:rFonts w:hint="eastAsia"/>
                <w:b/>
                <w:color w:val="auto"/>
                <w:kern w:val="0"/>
                <w:sz w:val="24"/>
                <w:highlight w:val="none"/>
              </w:rPr>
              <w:t>）</w:t>
            </w:r>
            <w:r>
              <w:rPr>
                <w:b/>
                <w:color w:val="auto"/>
                <w:kern w:val="0"/>
                <w:sz w:val="24"/>
                <w:highlight w:val="none"/>
              </w:rPr>
              <w:t>固体废物对环境影响分析</w:t>
            </w:r>
          </w:p>
          <w:p>
            <w:pPr>
              <w:pStyle w:val="42"/>
              <w:snapToGrid w:val="0"/>
              <w:spacing w:line="360" w:lineRule="auto"/>
              <w:ind w:firstLine="480" w:firstLineChars="200"/>
              <w:rPr>
                <w:rFonts w:ascii="Times New Roman" w:cs="Times New Roman"/>
                <w:color w:val="auto"/>
                <w:highlight w:val="none"/>
              </w:rPr>
            </w:pPr>
            <w:r>
              <w:rPr>
                <w:rFonts w:hint="eastAsia" w:ascii="Times New Roman" w:cs="Times New Roman"/>
                <w:color w:val="auto"/>
                <w:highlight w:val="none"/>
              </w:rPr>
              <w:t>运营期固废主要为生活垃圾、一般固废和危险固废。一般固废为泥饼，危险固废主要为机械维修废润滑油、废油桶、含油手套及棉纱。</w:t>
            </w:r>
          </w:p>
          <w:p>
            <w:pPr>
              <w:pStyle w:val="42"/>
              <w:snapToGrid w:val="0"/>
              <w:spacing w:line="360" w:lineRule="auto"/>
              <w:ind w:firstLine="480" w:firstLineChars="200"/>
              <w:rPr>
                <w:rFonts w:ascii="Times New Roman" w:cs="Times New Roman"/>
                <w:color w:val="auto"/>
                <w:kern w:val="2"/>
                <w:highlight w:val="none"/>
              </w:rPr>
            </w:pPr>
            <w:r>
              <w:rPr>
                <w:rFonts w:hint="eastAsia" w:ascii="Times New Roman" w:cs="Times New Roman"/>
                <w:color w:val="auto"/>
                <w:highlight w:val="none"/>
              </w:rPr>
              <w:t>1、</w:t>
            </w:r>
            <w:r>
              <w:rPr>
                <w:rFonts w:ascii="Times New Roman" w:cs="Times New Roman"/>
                <w:color w:val="auto"/>
                <w:kern w:val="2"/>
                <w:highlight w:val="none"/>
              </w:rPr>
              <w:t>生活垃圾</w:t>
            </w:r>
          </w:p>
          <w:p>
            <w:pPr>
              <w:adjustRightInd w:val="0"/>
              <w:snapToGrid w:val="0"/>
              <w:spacing w:line="360" w:lineRule="auto"/>
              <w:ind w:firstLine="482" w:firstLineChars="200"/>
              <w:rPr>
                <w:color w:val="auto"/>
                <w:sz w:val="24"/>
                <w:highlight w:val="none"/>
              </w:rPr>
            </w:pPr>
            <w:r>
              <w:rPr>
                <w:rFonts w:hint="eastAsia" w:ascii="宋体" w:hAnsi="宋体" w:cs="宋体"/>
                <w:b/>
                <w:bCs/>
                <w:color w:val="auto"/>
                <w:kern w:val="0"/>
                <w:sz w:val="24"/>
                <w:highlight w:val="none"/>
              </w:rPr>
              <w:t>产生情况：</w:t>
            </w:r>
            <w:r>
              <w:rPr>
                <w:color w:val="auto"/>
                <w:sz w:val="24"/>
                <w:highlight w:val="none"/>
              </w:rPr>
              <w:t>本</w:t>
            </w:r>
            <w:r>
              <w:rPr>
                <w:rFonts w:hint="eastAsia"/>
                <w:color w:val="auto"/>
                <w:sz w:val="24"/>
                <w:highlight w:val="none"/>
              </w:rPr>
              <w:t>次扩建新增员工6</w:t>
            </w:r>
            <w:r>
              <w:rPr>
                <w:color w:val="auto"/>
                <w:sz w:val="24"/>
                <w:highlight w:val="none"/>
              </w:rPr>
              <w:t>人，均为周边村镇民工</w:t>
            </w:r>
            <w:r>
              <w:rPr>
                <w:rFonts w:hint="eastAsia"/>
                <w:color w:val="auto"/>
                <w:sz w:val="24"/>
                <w:highlight w:val="none"/>
              </w:rPr>
              <w:t>，</w:t>
            </w:r>
            <w:r>
              <w:rPr>
                <w:color w:val="auto"/>
                <w:sz w:val="24"/>
                <w:highlight w:val="none"/>
              </w:rPr>
              <w:t>职工员工垃圾</w:t>
            </w:r>
            <w:r>
              <w:rPr>
                <w:rFonts w:hint="eastAsia"/>
                <w:color w:val="auto"/>
                <w:sz w:val="24"/>
                <w:highlight w:val="none"/>
              </w:rPr>
              <w:t>产生</w:t>
            </w:r>
            <w:r>
              <w:rPr>
                <w:color w:val="auto"/>
                <w:sz w:val="24"/>
                <w:highlight w:val="none"/>
              </w:rPr>
              <w:t>系数按</w:t>
            </w:r>
            <w:r>
              <w:rPr>
                <w:rFonts w:hint="eastAsia"/>
                <w:color w:val="auto"/>
                <w:sz w:val="24"/>
                <w:highlight w:val="none"/>
              </w:rPr>
              <w:t>每人</w:t>
            </w:r>
            <w:r>
              <w:rPr>
                <w:color w:val="auto"/>
                <w:sz w:val="24"/>
                <w:highlight w:val="none"/>
              </w:rPr>
              <w:t>0.38kg/d计算，工作天数300d</w:t>
            </w:r>
            <w:r>
              <w:rPr>
                <w:rFonts w:hint="eastAsia"/>
                <w:color w:val="auto"/>
                <w:sz w:val="24"/>
                <w:highlight w:val="none"/>
              </w:rPr>
              <w:t>/a</w:t>
            </w:r>
            <w:r>
              <w:rPr>
                <w:color w:val="auto"/>
                <w:sz w:val="24"/>
                <w:highlight w:val="none"/>
              </w:rPr>
              <w:t>，则生活垃圾</w:t>
            </w:r>
            <w:r>
              <w:rPr>
                <w:rFonts w:hint="eastAsia"/>
                <w:color w:val="auto"/>
                <w:sz w:val="24"/>
                <w:highlight w:val="none"/>
              </w:rPr>
              <w:t>新增</w:t>
            </w:r>
            <w:r>
              <w:rPr>
                <w:color w:val="auto"/>
                <w:sz w:val="24"/>
                <w:highlight w:val="none"/>
              </w:rPr>
              <w:t>量为</w:t>
            </w:r>
            <w:r>
              <w:rPr>
                <w:rFonts w:hint="eastAsia"/>
                <w:color w:val="auto"/>
                <w:sz w:val="24"/>
                <w:highlight w:val="none"/>
              </w:rPr>
              <w:t>2.28</w:t>
            </w:r>
            <w:r>
              <w:rPr>
                <w:color w:val="auto"/>
                <w:sz w:val="24"/>
                <w:highlight w:val="none"/>
              </w:rPr>
              <w:t>kg/d、</w:t>
            </w:r>
            <w:r>
              <w:rPr>
                <w:rFonts w:hint="eastAsia"/>
                <w:color w:val="auto"/>
                <w:sz w:val="24"/>
                <w:highlight w:val="none"/>
              </w:rPr>
              <w:t>0.684</w:t>
            </w:r>
            <w:r>
              <w:rPr>
                <w:color w:val="auto"/>
                <w:sz w:val="24"/>
                <w:highlight w:val="none"/>
              </w:rPr>
              <w:t>t/a。</w:t>
            </w:r>
          </w:p>
          <w:p>
            <w:pPr>
              <w:adjustRightInd w:val="0"/>
              <w:snapToGrid w:val="0"/>
              <w:spacing w:line="360" w:lineRule="auto"/>
              <w:ind w:firstLine="482" w:firstLineChars="200"/>
              <w:rPr>
                <w:color w:val="auto"/>
                <w:sz w:val="24"/>
                <w:highlight w:val="none"/>
              </w:rPr>
            </w:pPr>
            <w:r>
              <w:rPr>
                <w:rFonts w:hint="eastAsia"/>
                <w:b/>
                <w:bCs/>
                <w:color w:val="auto"/>
                <w:sz w:val="24"/>
                <w:highlight w:val="none"/>
              </w:rPr>
              <w:t>治理措施：</w:t>
            </w:r>
            <w:r>
              <w:rPr>
                <w:color w:val="auto"/>
                <w:sz w:val="24"/>
                <w:highlight w:val="none"/>
              </w:rPr>
              <w:t>生活垃圾经垃圾桶集中收集后送至</w:t>
            </w:r>
            <w:r>
              <w:rPr>
                <w:rFonts w:hint="eastAsia"/>
                <w:color w:val="auto"/>
                <w:sz w:val="24"/>
                <w:highlight w:val="none"/>
              </w:rPr>
              <w:t>就近</w:t>
            </w:r>
            <w:r>
              <w:rPr>
                <w:color w:val="auto"/>
                <w:sz w:val="24"/>
                <w:highlight w:val="none"/>
              </w:rPr>
              <w:t>垃圾收集点，交由环卫部门处理。</w:t>
            </w:r>
          </w:p>
          <w:p>
            <w:pPr>
              <w:pStyle w:val="42"/>
              <w:snapToGrid w:val="0"/>
              <w:spacing w:line="360" w:lineRule="auto"/>
              <w:ind w:firstLine="480" w:firstLineChars="200"/>
              <w:rPr>
                <w:rFonts w:ascii="Times New Roman" w:cs="Times New Roman"/>
                <w:color w:val="auto"/>
                <w:highlight w:val="none"/>
              </w:rPr>
            </w:pPr>
            <w:r>
              <w:rPr>
                <w:rFonts w:hint="eastAsia" w:ascii="Times New Roman" w:cs="Times New Roman"/>
                <w:color w:val="auto"/>
                <w:highlight w:val="none"/>
              </w:rPr>
              <w:t>2、泥饼</w:t>
            </w:r>
          </w:p>
          <w:p>
            <w:pPr>
              <w:pStyle w:val="42"/>
              <w:snapToGrid w:val="0"/>
              <w:spacing w:line="360" w:lineRule="auto"/>
              <w:ind w:firstLine="482" w:firstLineChars="200"/>
              <w:rPr>
                <w:rFonts w:ascii="Times New Roman" w:cs="Times New Roman"/>
                <w:color w:val="auto"/>
                <w:kern w:val="2"/>
                <w:highlight w:val="none"/>
              </w:rPr>
            </w:pPr>
            <w:r>
              <w:rPr>
                <w:rFonts w:hint="eastAsia" w:hAnsi="宋体"/>
                <w:b/>
                <w:bCs/>
                <w:color w:val="auto"/>
                <w:highlight w:val="none"/>
              </w:rPr>
              <w:t>产生情况：</w:t>
            </w:r>
            <w:r>
              <w:rPr>
                <w:rFonts w:hint="eastAsia" w:hAnsi="宋体"/>
                <w:color w:val="auto"/>
                <w:highlight w:val="none"/>
              </w:rPr>
              <w:t>根据前文分析可知，洗</w:t>
            </w:r>
            <w:r>
              <w:rPr>
                <w:rFonts w:hint="eastAsia" w:hAnsi="宋体"/>
                <w:color w:val="auto"/>
                <w:sz w:val="24"/>
                <w:highlight w:val="none"/>
                <w:lang w:eastAsia="zh-CN"/>
              </w:rPr>
              <w:t>砂</w:t>
            </w:r>
            <w:r>
              <w:rPr>
                <w:rFonts w:hint="eastAsia" w:hAnsi="宋体"/>
                <w:color w:val="auto"/>
                <w:highlight w:val="none"/>
              </w:rPr>
              <w:t>及脱水工序废水经沉淀后</w:t>
            </w:r>
            <w:r>
              <w:rPr>
                <w:rFonts w:hint="eastAsia" w:ascii="Times New Roman" w:cs="Times New Roman"/>
                <w:color w:val="auto"/>
                <w:highlight w:val="none"/>
              </w:rPr>
              <w:t>，上清液回用于生产工序，分离下来的泥土在沉淀池中沉降下来，进而压滤形成泥饼。通过查阅相关资料以及类比同类项目可知</w:t>
            </w:r>
            <w:r>
              <w:rPr>
                <w:rFonts w:hint="eastAsia" w:ascii="Times New Roman" w:cs="Times New Roman"/>
                <w:color w:val="auto"/>
                <w:kern w:val="2"/>
                <w:highlight w:val="none"/>
              </w:rPr>
              <w:t>，本项目原料含泥量约10%，则运营期年产泥饼约21500t/a（约合71t/d），含水率接近30%。</w:t>
            </w:r>
          </w:p>
          <w:p>
            <w:pPr>
              <w:pStyle w:val="44"/>
              <w:spacing w:line="360" w:lineRule="auto"/>
              <w:ind w:firstLine="482" w:firstLineChars="200"/>
              <w:rPr>
                <w:rFonts w:ascii="Times New Roman" w:cs="Times New Roman"/>
                <w:color w:val="auto"/>
                <w:highlight w:val="none"/>
              </w:rPr>
            </w:pPr>
            <w:r>
              <w:rPr>
                <w:rFonts w:hint="eastAsia" w:ascii="Times New Roman" w:cs="Times New Roman"/>
                <w:b/>
                <w:bCs/>
                <w:color w:val="auto"/>
                <w:highlight w:val="none"/>
              </w:rPr>
              <w:t>治理措施：</w:t>
            </w:r>
            <w:r>
              <w:rPr>
                <w:rFonts w:hint="eastAsia" w:ascii="Times New Roman" w:cs="Times New Roman"/>
                <w:color w:val="auto"/>
                <w:highlight w:val="none"/>
              </w:rPr>
              <w:t>泥饼暂存于厂区内页岩砖生产线原料库，定期用于制砖。</w:t>
            </w:r>
          </w:p>
          <w:p>
            <w:pPr>
              <w:pStyle w:val="44"/>
              <w:spacing w:line="360" w:lineRule="auto"/>
              <w:ind w:firstLine="482" w:firstLineChars="200"/>
              <w:rPr>
                <w:color w:val="auto"/>
                <w:highlight w:val="none"/>
              </w:rPr>
            </w:pPr>
            <w:r>
              <w:rPr>
                <w:rFonts w:hint="eastAsia"/>
                <w:b/>
                <w:bCs/>
                <w:color w:val="auto"/>
                <w:highlight w:val="none"/>
              </w:rPr>
              <w:t>可行性分析：</w:t>
            </w:r>
            <w:r>
              <w:rPr>
                <w:rFonts w:hint="eastAsia"/>
                <w:color w:val="auto"/>
                <w:highlight w:val="none"/>
              </w:rPr>
              <w:t>经现场调查，</w:t>
            </w:r>
            <w:r>
              <w:rPr>
                <w:rFonts w:hint="eastAsia"/>
                <w:color w:val="auto"/>
                <w:highlight w:val="none"/>
                <w:lang w:eastAsia="zh-CN"/>
              </w:rPr>
              <w:t>现有工程年需消耗粘土</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6000</w:t>
            </w:r>
            <w:r>
              <w:rPr>
                <w:rFonts w:hint="default" w:ascii="Times New Roman" w:hAnsi="Times New Roman" w:cs="Times New Roman"/>
                <w:color w:val="auto"/>
                <w:highlight w:val="none"/>
                <w:lang w:val="en-US" w:eastAsia="zh-CN"/>
              </w:rPr>
              <w:t>t</w:t>
            </w:r>
            <w:r>
              <w:rPr>
                <w:rFonts w:hint="eastAsia" w:ascii="Times New Roman" w:hAnsi="Times New Roman" w:cs="Times New Roman"/>
                <w:color w:val="auto"/>
                <w:highlight w:val="none"/>
                <w:lang w:val="en-US" w:eastAsia="zh-CN"/>
              </w:rPr>
              <w:t>（约合71t/d），故本次扩建工程压滤产生的泥饼可被现有工程消纳；此外，厂区原料区可满足泥饼的堆存。因此</w:t>
            </w:r>
            <w:r>
              <w:rPr>
                <w:rFonts w:hint="eastAsia" w:ascii="Times New Roman" w:cs="Times New Roman"/>
                <w:color w:val="auto"/>
                <w:highlight w:val="none"/>
              </w:rPr>
              <w:t>扩建产生的泥饼暂存及处置措施可行。</w:t>
            </w:r>
          </w:p>
          <w:p>
            <w:pPr>
              <w:keepNext/>
              <w:keepLines/>
              <w:adjustRightInd w:val="0"/>
              <w:snapToGrid w:val="0"/>
              <w:spacing w:line="360" w:lineRule="auto"/>
              <w:ind w:firstLine="480" w:firstLineChars="200"/>
              <w:outlineLvl w:val="2"/>
              <w:rPr>
                <w:color w:val="auto"/>
                <w:sz w:val="24"/>
                <w:highlight w:val="none"/>
              </w:rPr>
            </w:pPr>
            <w:r>
              <w:rPr>
                <w:rFonts w:hint="eastAsia"/>
                <w:color w:val="auto"/>
                <w:sz w:val="24"/>
                <w:highlight w:val="none"/>
              </w:rPr>
              <w:t>3、危险废物</w:t>
            </w:r>
          </w:p>
          <w:p>
            <w:pPr>
              <w:widowControl/>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产生情况：</w:t>
            </w:r>
            <w:r>
              <w:rPr>
                <w:rFonts w:hint="eastAsia" w:ascii="宋体" w:hAnsi="宋体" w:cs="宋体"/>
                <w:color w:val="auto"/>
                <w:kern w:val="0"/>
                <w:sz w:val="24"/>
                <w:highlight w:val="none"/>
              </w:rPr>
              <w:t>项目使用的加工或运输设备，在检修过程会产生废润滑油、废油桶、含油手套及棉纱。</w:t>
            </w:r>
          </w:p>
          <w:p>
            <w:pPr>
              <w:widowControl/>
              <w:spacing w:line="360" w:lineRule="auto"/>
              <w:ind w:firstLine="480" w:firstLineChars="200"/>
              <w:rPr>
                <w:color w:val="auto"/>
                <w:highlight w:val="none"/>
              </w:rPr>
            </w:pPr>
            <w:r>
              <w:rPr>
                <w:rFonts w:hint="eastAsia" w:ascii="宋体" w:hAnsi="宋体" w:cs="宋体"/>
                <w:color w:val="auto"/>
                <w:kern w:val="0"/>
                <w:sz w:val="24"/>
                <w:highlight w:val="none"/>
              </w:rPr>
              <w:t>由于本项目现场维修仅进行设备检修和保养，不在厂区对设备进行大修，因此维修危废产生量比较少，废润滑油产生量约</w:t>
            </w:r>
            <w:r>
              <w:rPr>
                <w:color w:val="auto"/>
                <w:kern w:val="0"/>
                <w:sz w:val="24"/>
                <w:highlight w:val="none"/>
              </w:rPr>
              <w:t>0.</w:t>
            </w:r>
            <w:r>
              <w:rPr>
                <w:rFonts w:hint="eastAsia"/>
                <w:color w:val="auto"/>
                <w:kern w:val="0"/>
                <w:sz w:val="24"/>
                <w:highlight w:val="none"/>
              </w:rPr>
              <w:t>02</w:t>
            </w:r>
            <w:r>
              <w:rPr>
                <w:color w:val="auto"/>
                <w:kern w:val="0"/>
                <w:sz w:val="24"/>
                <w:highlight w:val="none"/>
              </w:rPr>
              <w:t>t/a</w:t>
            </w:r>
            <w:r>
              <w:rPr>
                <w:rFonts w:hint="eastAsia" w:ascii="宋体" w:hAnsi="宋体" w:cs="宋体"/>
                <w:color w:val="auto"/>
                <w:kern w:val="0"/>
                <w:sz w:val="24"/>
                <w:highlight w:val="none"/>
              </w:rPr>
              <w:t>，含油手套及棉纱产生量约</w:t>
            </w:r>
            <w:r>
              <w:rPr>
                <w:color w:val="auto"/>
                <w:kern w:val="0"/>
                <w:sz w:val="24"/>
                <w:highlight w:val="none"/>
              </w:rPr>
              <w:t>0.0</w:t>
            </w:r>
            <w:r>
              <w:rPr>
                <w:rFonts w:hint="eastAsia"/>
                <w:color w:val="auto"/>
                <w:kern w:val="0"/>
                <w:sz w:val="24"/>
                <w:highlight w:val="none"/>
              </w:rPr>
              <w:t>1</w:t>
            </w:r>
            <w:r>
              <w:rPr>
                <w:color w:val="auto"/>
                <w:kern w:val="0"/>
                <w:sz w:val="24"/>
                <w:highlight w:val="none"/>
              </w:rPr>
              <w:t>t/a</w:t>
            </w:r>
            <w:r>
              <w:rPr>
                <w:rFonts w:hint="eastAsia"/>
                <w:color w:val="auto"/>
                <w:kern w:val="0"/>
                <w:sz w:val="24"/>
                <w:highlight w:val="none"/>
              </w:rPr>
              <w:t>，</w:t>
            </w:r>
            <w:r>
              <w:rPr>
                <w:color w:val="auto"/>
                <w:sz w:val="24"/>
                <w:highlight w:val="none"/>
              </w:rPr>
              <w:t>废油桶产生量约为</w:t>
            </w:r>
            <w:r>
              <w:rPr>
                <w:rFonts w:hint="eastAsia"/>
                <w:color w:val="auto"/>
                <w:sz w:val="24"/>
                <w:highlight w:val="none"/>
              </w:rPr>
              <w:t>0.01t</w:t>
            </w:r>
            <w:r>
              <w:rPr>
                <w:color w:val="auto"/>
                <w:sz w:val="24"/>
                <w:highlight w:val="none"/>
              </w:rPr>
              <w:t>/a</w:t>
            </w:r>
            <w:r>
              <w:rPr>
                <w:rFonts w:hint="eastAsia"/>
                <w:color w:val="auto"/>
                <w:sz w:val="24"/>
                <w:highlight w:val="none"/>
              </w:rPr>
              <w:t>（按润滑油使用量及油桶净重综合计算得出）</w:t>
            </w:r>
            <w:r>
              <w:rPr>
                <w:rFonts w:hint="eastAsia" w:ascii="宋体" w:hAnsi="宋体" w:cs="宋体"/>
                <w:color w:val="auto"/>
                <w:kern w:val="0"/>
                <w:sz w:val="24"/>
                <w:highlight w:val="none"/>
              </w:rPr>
              <w:t>。</w:t>
            </w:r>
          </w:p>
          <w:p>
            <w:pPr>
              <w:autoSpaceDE w:val="0"/>
              <w:autoSpaceDN w:val="0"/>
              <w:adjustRightInd w:val="0"/>
              <w:snapToGrid w:val="0"/>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治理措施：</w:t>
            </w:r>
            <w:r>
              <w:rPr>
                <w:color w:val="auto"/>
                <w:sz w:val="24"/>
                <w:highlight w:val="none"/>
              </w:rPr>
              <w:t>根据《国家危险废物名录》</w:t>
            </w:r>
            <w:r>
              <w:rPr>
                <w:rFonts w:hint="eastAsia"/>
                <w:color w:val="auto"/>
                <w:sz w:val="24"/>
                <w:highlight w:val="none"/>
              </w:rPr>
              <w:t>（2021年版）</w:t>
            </w:r>
            <w:r>
              <w:rPr>
                <w:color w:val="auto"/>
                <w:sz w:val="24"/>
                <w:highlight w:val="none"/>
              </w:rPr>
              <w:t>可知，废</w:t>
            </w:r>
            <w:r>
              <w:rPr>
                <w:rFonts w:hint="eastAsia"/>
                <w:color w:val="auto"/>
                <w:sz w:val="24"/>
                <w:highlight w:val="none"/>
              </w:rPr>
              <w:t>润滑</w:t>
            </w:r>
            <w:r>
              <w:rPr>
                <w:color w:val="auto"/>
                <w:sz w:val="24"/>
                <w:highlight w:val="none"/>
              </w:rPr>
              <w:t>油</w:t>
            </w:r>
            <w:r>
              <w:rPr>
                <w:rFonts w:hint="eastAsia"/>
                <w:color w:val="auto"/>
                <w:sz w:val="24"/>
                <w:highlight w:val="none"/>
              </w:rPr>
              <w:t>、</w:t>
            </w:r>
            <w:r>
              <w:rPr>
                <w:color w:val="auto"/>
                <w:sz w:val="24"/>
                <w:highlight w:val="none"/>
              </w:rPr>
              <w:t>含油手套</w:t>
            </w:r>
            <w:r>
              <w:rPr>
                <w:rFonts w:hint="eastAsia"/>
                <w:color w:val="auto"/>
                <w:sz w:val="24"/>
                <w:highlight w:val="none"/>
              </w:rPr>
              <w:t>及</w:t>
            </w:r>
            <w:r>
              <w:rPr>
                <w:color w:val="auto"/>
                <w:sz w:val="24"/>
                <w:highlight w:val="none"/>
              </w:rPr>
              <w:t>棉纱</w:t>
            </w:r>
            <w:r>
              <w:rPr>
                <w:rFonts w:hint="eastAsia"/>
                <w:color w:val="auto"/>
                <w:sz w:val="24"/>
                <w:highlight w:val="none"/>
              </w:rPr>
              <w:t>、</w:t>
            </w:r>
            <w:r>
              <w:rPr>
                <w:color w:val="auto"/>
                <w:sz w:val="24"/>
                <w:highlight w:val="none"/>
              </w:rPr>
              <w:t>废油桶属于危险废物，</w:t>
            </w:r>
            <w:r>
              <w:rPr>
                <w:rFonts w:hint="eastAsia"/>
                <w:color w:val="auto"/>
                <w:sz w:val="24"/>
                <w:highlight w:val="none"/>
              </w:rPr>
              <w:t>环评建议建设单位对上述危废</w:t>
            </w:r>
            <w:r>
              <w:rPr>
                <w:rFonts w:hint="eastAsia" w:ascii="宋体" w:hAnsi="宋体" w:cs="宋体"/>
                <w:color w:val="auto"/>
                <w:kern w:val="0"/>
                <w:sz w:val="24"/>
                <w:highlight w:val="none"/>
              </w:rPr>
              <w:t>分类别进行收集，并临时储存于现有危废暂存间内（占地面积约</w:t>
            </w:r>
            <w:r>
              <w:rPr>
                <w:rFonts w:hint="eastAsia"/>
                <w:color w:val="auto"/>
                <w:sz w:val="24"/>
                <w:highlight w:val="none"/>
              </w:rPr>
              <w:t>5.0</w:t>
            </w:r>
            <w:r>
              <w:rPr>
                <w:color w:val="auto"/>
                <w:kern w:val="0"/>
                <w:sz w:val="24"/>
                <w:highlight w:val="none"/>
              </w:rPr>
              <w:t>m</w:t>
            </w:r>
            <w:r>
              <w:rPr>
                <w:color w:val="auto"/>
                <w:kern w:val="0"/>
                <w:sz w:val="24"/>
                <w:highlight w:val="none"/>
                <w:vertAlign w:val="superscript"/>
              </w:rPr>
              <w:t>2</w:t>
            </w:r>
            <w:r>
              <w:rPr>
                <w:rFonts w:hint="eastAsia" w:ascii="宋体" w:hAnsi="宋体" w:cs="宋体"/>
                <w:color w:val="auto"/>
                <w:kern w:val="0"/>
                <w:sz w:val="24"/>
                <w:highlight w:val="none"/>
              </w:rPr>
              <w:t>），定期交由</w:t>
            </w:r>
            <w:r>
              <w:rPr>
                <w:rFonts w:hint="eastAsia" w:ascii="宋体" w:hAnsi="宋体" w:cs="宋体"/>
                <w:color w:val="auto"/>
                <w:kern w:val="0"/>
                <w:sz w:val="24"/>
                <w:highlight w:val="none"/>
                <w:lang w:eastAsia="zh-CN"/>
              </w:rPr>
              <w:t>有资质单位</w:t>
            </w:r>
            <w:r>
              <w:rPr>
                <w:rFonts w:hint="eastAsia" w:ascii="宋体" w:hAnsi="宋体" w:cs="宋体"/>
                <w:color w:val="auto"/>
                <w:kern w:val="0"/>
                <w:sz w:val="24"/>
                <w:highlight w:val="none"/>
              </w:rPr>
              <w:t>处置。</w:t>
            </w:r>
          </w:p>
          <w:p>
            <w:pPr>
              <w:pStyle w:val="42"/>
              <w:spacing w:line="360" w:lineRule="auto"/>
              <w:rPr>
                <w:rFonts w:ascii="Times New Roman" w:cs="Times New Roman"/>
                <w:color w:val="auto"/>
                <w:highlight w:val="none"/>
              </w:rPr>
            </w:pPr>
            <w:r>
              <w:rPr>
                <w:rFonts w:hint="eastAsia" w:hAnsi="宋体"/>
                <w:color w:val="auto"/>
                <w:highlight w:val="none"/>
              </w:rPr>
              <w:t xml:space="preserve">    </w:t>
            </w:r>
            <w:r>
              <w:rPr>
                <w:rFonts w:hint="eastAsia" w:hAnsi="宋体"/>
                <w:b/>
                <w:bCs/>
                <w:color w:val="auto"/>
                <w:highlight w:val="none"/>
              </w:rPr>
              <w:t>可行性分析：</w:t>
            </w:r>
            <w:r>
              <w:rPr>
                <w:rFonts w:ascii="Times New Roman" w:cs="Times New Roman"/>
                <w:color w:val="auto"/>
                <w:highlight w:val="none"/>
              </w:rPr>
              <w:t>由于本次扩建新增危废量较小，故</w:t>
            </w:r>
            <w:r>
              <w:rPr>
                <w:rFonts w:hint="eastAsia" w:ascii="Times New Roman" w:cs="Times New Roman"/>
                <w:color w:val="auto"/>
                <w:highlight w:val="none"/>
              </w:rPr>
              <w:t>现有危废间</w:t>
            </w:r>
            <w:r>
              <w:rPr>
                <w:rFonts w:ascii="Times New Roman" w:cs="Times New Roman"/>
                <w:color w:val="auto"/>
                <w:highlight w:val="none"/>
              </w:rPr>
              <w:t>可以满足</w:t>
            </w:r>
            <w:r>
              <w:rPr>
                <w:rFonts w:hint="eastAsia" w:ascii="Times New Roman" w:cs="Times New Roman"/>
                <w:color w:val="auto"/>
                <w:highlight w:val="none"/>
              </w:rPr>
              <w:t>新增危废的</w:t>
            </w:r>
            <w:r>
              <w:rPr>
                <w:rFonts w:ascii="Times New Roman" w:cs="Times New Roman"/>
                <w:color w:val="auto"/>
                <w:highlight w:val="none"/>
              </w:rPr>
              <w:t>暂存</w:t>
            </w:r>
            <w:r>
              <w:rPr>
                <w:rFonts w:hint="eastAsia" w:ascii="Times New Roman" w:cs="Times New Roman"/>
                <w:color w:val="auto"/>
                <w:highlight w:val="none"/>
              </w:rPr>
              <w:t>、且现有危废暂存间已做好重点防渗措施，因此本项目运营期危废暂存及处置措施可行。</w:t>
            </w:r>
          </w:p>
          <w:p>
            <w:pPr>
              <w:pStyle w:val="29"/>
              <w:widowControl w:val="0"/>
              <w:spacing w:before="0" w:beforeAutospacing="0" w:after="0" w:afterAutospacing="0" w:line="360" w:lineRule="auto"/>
              <w:ind w:firstLine="480" w:firstLineChars="200"/>
              <w:jc w:val="both"/>
              <w:rPr>
                <w:rFonts w:cs="宋体"/>
                <w:b/>
                <w:color w:val="auto"/>
                <w:highlight w:val="none"/>
              </w:rPr>
            </w:pPr>
            <w:r>
              <w:rPr>
                <w:rFonts w:hint="eastAsia" w:ascii="Times New Roman" w:hAnsi="Times New Roman" w:cs="宋体"/>
                <w:color w:val="auto"/>
                <w:kern w:val="2"/>
                <w:szCs w:val="22"/>
                <w:highlight w:val="none"/>
              </w:rPr>
              <w:t>本次扩建新增固体废物产排特性见下表所示：</w:t>
            </w:r>
          </w:p>
          <w:p>
            <w:pPr>
              <w:snapToGrid w:val="0"/>
              <w:jc w:val="center"/>
              <w:rPr>
                <w:b/>
                <w:color w:val="auto"/>
                <w:highlight w:val="none"/>
              </w:rPr>
            </w:pPr>
            <w:r>
              <w:rPr>
                <w:rFonts w:hint="eastAsia" w:cs="宋体"/>
                <w:b/>
                <w:color w:val="auto"/>
                <w:highlight w:val="none"/>
              </w:rPr>
              <w:t>表</w:t>
            </w:r>
            <w:r>
              <w:rPr>
                <w:b/>
                <w:color w:val="auto"/>
                <w:highlight w:val="none"/>
              </w:rPr>
              <w:t>4-</w:t>
            </w:r>
            <w:r>
              <w:rPr>
                <w:rFonts w:hint="eastAsia"/>
                <w:b/>
                <w:color w:val="auto"/>
                <w:highlight w:val="none"/>
                <w:lang w:val="en-US" w:eastAsia="zh-CN"/>
              </w:rPr>
              <w:t>9</w:t>
            </w:r>
            <w:r>
              <w:rPr>
                <w:rFonts w:hint="eastAsia"/>
                <w:b/>
                <w:color w:val="auto"/>
                <w:highlight w:val="none"/>
              </w:rPr>
              <w:t xml:space="preserve">  </w:t>
            </w:r>
            <w:r>
              <w:rPr>
                <w:b/>
                <w:color w:val="auto"/>
                <w:highlight w:val="none"/>
              </w:rPr>
              <w:t xml:space="preserve">  </w:t>
            </w:r>
            <w:r>
              <w:rPr>
                <w:rFonts w:hint="eastAsia" w:cs="宋体"/>
                <w:b/>
                <w:color w:val="auto"/>
                <w:highlight w:val="none"/>
              </w:rPr>
              <w:t>扩建新增固体废物产排特性表</w:t>
            </w:r>
          </w:p>
          <w:tbl>
            <w:tblPr>
              <w:tblStyle w:val="34"/>
              <w:tblW w:w="82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14"/>
              <w:gridCol w:w="1180"/>
              <w:gridCol w:w="1078"/>
              <w:gridCol w:w="903"/>
              <w:gridCol w:w="17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98" w:type="dxa"/>
                  <w:vMerge w:val="restart"/>
                  <w:tcBorders>
                    <w:tl2br w:val="nil"/>
                    <w:tr2bl w:val="nil"/>
                  </w:tcBorders>
                  <w:vAlign w:val="center"/>
                </w:tcPr>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产排</w:t>
                  </w:r>
                </w:p>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特性</w:t>
                  </w:r>
                </w:p>
              </w:tc>
              <w:tc>
                <w:tcPr>
                  <w:tcW w:w="6300" w:type="dxa"/>
                  <w:gridSpan w:val="5"/>
                  <w:tcBorders>
                    <w:tl2br w:val="nil"/>
                    <w:tr2bl w:val="nil"/>
                  </w:tcBorders>
                  <w:vAlign w:val="center"/>
                </w:tcPr>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污染物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vMerge w:val="continue"/>
                  <w:tcBorders>
                    <w:tl2br w:val="nil"/>
                    <w:tr2bl w:val="nil"/>
                  </w:tcBorders>
                  <w:vAlign w:val="center"/>
                </w:tcPr>
                <w:p>
                  <w:pPr>
                    <w:rPr>
                      <w:color w:val="auto"/>
                      <w:sz w:val="20"/>
                      <w:szCs w:val="20"/>
                      <w:highlight w:val="none"/>
                    </w:rPr>
                  </w:pP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生活垃圾</w:t>
                  </w:r>
                </w:p>
              </w:tc>
              <w:tc>
                <w:tcPr>
                  <w:tcW w:w="1180" w:type="dxa"/>
                  <w:tcBorders>
                    <w:tl2br w:val="nil"/>
                    <w:tr2bl w:val="nil"/>
                  </w:tcBorders>
                  <w:vAlign w:val="center"/>
                </w:tcPr>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泥饼</w:t>
                  </w:r>
                </w:p>
              </w:tc>
              <w:tc>
                <w:tcPr>
                  <w:tcW w:w="107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废润滑油</w:t>
                  </w:r>
                </w:p>
              </w:tc>
              <w:tc>
                <w:tcPr>
                  <w:tcW w:w="903"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废油桶</w:t>
                  </w:r>
                </w:p>
              </w:tc>
              <w:tc>
                <w:tcPr>
                  <w:tcW w:w="1725" w:type="dxa"/>
                  <w:tcBorders>
                    <w:tl2br w:val="nil"/>
                    <w:tr2bl w:val="nil"/>
                  </w:tcBorders>
                  <w:vAlign w:val="center"/>
                </w:tcPr>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含油手套及棉纱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产生环节</w:t>
                  </w: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员工生活</w:t>
                  </w:r>
                </w:p>
              </w:tc>
              <w:tc>
                <w:tcPr>
                  <w:tcW w:w="1180" w:type="dxa"/>
                  <w:tcBorders>
                    <w:tl2br w:val="nil"/>
                    <w:tr2bl w:val="nil"/>
                  </w:tcBorders>
                  <w:vAlign w:val="center"/>
                </w:tcPr>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压滤</w:t>
                  </w:r>
                </w:p>
              </w:tc>
              <w:tc>
                <w:tcPr>
                  <w:tcW w:w="3706" w:type="dxa"/>
                  <w:gridSpan w:val="3"/>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设备维护保养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属性</w:t>
                  </w: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生活</w:t>
                  </w:r>
                </w:p>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垃圾</w:t>
                  </w:r>
                </w:p>
              </w:tc>
              <w:tc>
                <w:tcPr>
                  <w:tcW w:w="1180" w:type="dxa"/>
                  <w:tcBorders>
                    <w:tl2br w:val="nil"/>
                    <w:tr2bl w:val="nil"/>
                  </w:tcBorders>
                  <w:vAlign w:val="center"/>
                </w:tcPr>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一般工业</w:t>
                  </w:r>
                </w:p>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固体废物</w:t>
                  </w:r>
                </w:p>
              </w:tc>
              <w:tc>
                <w:tcPr>
                  <w:tcW w:w="107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18"/>
                      <w:szCs w:val="18"/>
                      <w:highlight w:val="none"/>
                    </w:rPr>
                  </w:pPr>
                  <w:r>
                    <w:rPr>
                      <w:rFonts w:hint="eastAsia" w:ascii="Times New Roman" w:hAnsi="Times New Roman" w:cs="宋体"/>
                      <w:color w:val="auto"/>
                      <w:kern w:val="2"/>
                      <w:sz w:val="21"/>
                      <w:szCs w:val="21"/>
                      <w:highlight w:val="none"/>
                    </w:rPr>
                    <w:t>危险废物分类</w:t>
                  </w:r>
                  <w:r>
                    <w:rPr>
                      <w:rFonts w:ascii="Times New Roman" w:hAnsi="Times New Roman"/>
                      <w:color w:val="auto"/>
                      <w:sz w:val="21"/>
                      <w:szCs w:val="21"/>
                      <w:highlight w:val="none"/>
                    </w:rPr>
                    <w:t>HW08</w:t>
                  </w:r>
                </w:p>
                <w:p>
                  <w:pPr>
                    <w:pStyle w:val="29"/>
                    <w:widowControl w:val="0"/>
                    <w:spacing w:before="0" w:beforeAutospacing="0" w:after="0" w:afterAutospacing="0"/>
                    <w:jc w:val="center"/>
                    <w:rPr>
                      <w:rFonts w:ascii="Times New Roman" w:hAnsi="Times New Roman"/>
                      <w:color w:val="auto"/>
                      <w:sz w:val="18"/>
                      <w:szCs w:val="18"/>
                      <w:highlight w:val="none"/>
                    </w:rPr>
                  </w:pPr>
                  <w:r>
                    <w:rPr>
                      <w:rFonts w:hint="eastAsia" w:ascii="Times New Roman" w:hAnsi="Times New Roman" w:cs="宋体"/>
                      <w:color w:val="auto"/>
                      <w:kern w:val="2"/>
                      <w:sz w:val="21"/>
                      <w:szCs w:val="21"/>
                      <w:highlight w:val="none"/>
                    </w:rPr>
                    <w:t>危险代码900-214-08</w:t>
                  </w:r>
                </w:p>
              </w:tc>
              <w:tc>
                <w:tcPr>
                  <w:tcW w:w="2628" w:type="dxa"/>
                  <w:gridSpan w:val="2"/>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18"/>
                      <w:szCs w:val="18"/>
                      <w:highlight w:val="none"/>
                    </w:rPr>
                  </w:pPr>
                  <w:r>
                    <w:rPr>
                      <w:rFonts w:hint="eastAsia" w:ascii="Times New Roman" w:hAnsi="Times New Roman" w:cs="宋体"/>
                      <w:color w:val="auto"/>
                      <w:kern w:val="2"/>
                      <w:sz w:val="21"/>
                      <w:szCs w:val="21"/>
                      <w:highlight w:val="none"/>
                    </w:rPr>
                    <w:t>危险废物分类</w:t>
                  </w:r>
                  <w:r>
                    <w:rPr>
                      <w:rFonts w:ascii="Times New Roman" w:hAnsi="Times New Roman"/>
                      <w:color w:val="auto"/>
                      <w:sz w:val="21"/>
                      <w:szCs w:val="21"/>
                      <w:highlight w:val="none"/>
                    </w:rPr>
                    <w:t>HW</w:t>
                  </w:r>
                  <w:r>
                    <w:rPr>
                      <w:rFonts w:hint="eastAsia" w:ascii="Times New Roman" w:hAnsi="Times New Roman"/>
                      <w:color w:val="auto"/>
                      <w:sz w:val="21"/>
                      <w:szCs w:val="21"/>
                      <w:highlight w:val="none"/>
                    </w:rPr>
                    <w:t>49</w:t>
                  </w:r>
                </w:p>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危险代码900-041-49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主要有毒有害物质</w:t>
                  </w: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kern w:val="2"/>
                      <w:sz w:val="21"/>
                      <w:szCs w:val="21"/>
                      <w:highlight w:val="none"/>
                    </w:rPr>
                    <w:t>/</w:t>
                  </w:r>
                </w:p>
              </w:tc>
              <w:tc>
                <w:tcPr>
                  <w:tcW w:w="1180"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w:t>
                  </w:r>
                </w:p>
              </w:tc>
              <w:tc>
                <w:tcPr>
                  <w:tcW w:w="107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废矿物油</w:t>
                  </w:r>
                </w:p>
              </w:tc>
              <w:tc>
                <w:tcPr>
                  <w:tcW w:w="2628" w:type="dxa"/>
                  <w:gridSpan w:val="2"/>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废矿物油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物理性状</w:t>
                  </w: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固体</w:t>
                  </w:r>
                </w:p>
              </w:tc>
              <w:tc>
                <w:tcPr>
                  <w:tcW w:w="1180" w:type="dxa"/>
                  <w:tcBorders>
                    <w:tl2br w:val="nil"/>
                    <w:tr2bl w:val="nil"/>
                  </w:tcBorders>
                  <w:vAlign w:val="center"/>
                </w:tcPr>
                <w:p>
                  <w:pPr>
                    <w:pStyle w:val="29"/>
                    <w:widowControl w:val="0"/>
                    <w:spacing w:before="0" w:beforeAutospacing="0" w:after="0" w:afterAutospacing="0"/>
                    <w:jc w:val="center"/>
                    <w:rPr>
                      <w:rFonts w:ascii="Times New Roman" w:hAnsi="Times New Roman" w:cs="宋体"/>
                      <w:color w:val="auto"/>
                      <w:kern w:val="2"/>
                      <w:sz w:val="21"/>
                      <w:szCs w:val="21"/>
                      <w:highlight w:val="none"/>
                    </w:rPr>
                  </w:pPr>
                  <w:r>
                    <w:rPr>
                      <w:rFonts w:hint="eastAsia" w:ascii="Times New Roman" w:hAnsi="Times New Roman" w:cs="宋体"/>
                      <w:color w:val="auto"/>
                      <w:kern w:val="2"/>
                      <w:sz w:val="21"/>
                      <w:szCs w:val="21"/>
                      <w:highlight w:val="none"/>
                    </w:rPr>
                    <w:t>固体</w:t>
                  </w:r>
                </w:p>
              </w:tc>
              <w:tc>
                <w:tcPr>
                  <w:tcW w:w="107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液体</w:t>
                  </w:r>
                </w:p>
              </w:tc>
              <w:tc>
                <w:tcPr>
                  <w:tcW w:w="2628" w:type="dxa"/>
                  <w:gridSpan w:val="2"/>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固体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环境危险特性</w:t>
                  </w: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kern w:val="2"/>
                      <w:sz w:val="21"/>
                      <w:szCs w:val="21"/>
                      <w:highlight w:val="none"/>
                    </w:rPr>
                    <w:t>/</w:t>
                  </w:r>
                </w:p>
              </w:tc>
              <w:tc>
                <w:tcPr>
                  <w:tcW w:w="1180"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w:t>
                  </w:r>
                </w:p>
              </w:tc>
              <w:tc>
                <w:tcPr>
                  <w:tcW w:w="107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T，I</w:t>
                  </w:r>
                </w:p>
              </w:tc>
              <w:tc>
                <w:tcPr>
                  <w:tcW w:w="2628" w:type="dxa"/>
                  <w:gridSpan w:val="2"/>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T/In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年产生量</w:t>
                  </w: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kern w:val="2"/>
                      <w:sz w:val="21"/>
                      <w:szCs w:val="21"/>
                      <w:highlight w:val="none"/>
                    </w:rPr>
                    <w:t>0.648</w:t>
                  </w:r>
                  <w:r>
                    <w:rPr>
                      <w:rFonts w:ascii="Times New Roman" w:hAnsi="Times New Roman"/>
                      <w:color w:val="auto"/>
                      <w:kern w:val="2"/>
                      <w:sz w:val="21"/>
                      <w:szCs w:val="21"/>
                      <w:highlight w:val="none"/>
                    </w:rPr>
                    <w:t>t/a</w:t>
                  </w:r>
                </w:p>
              </w:tc>
              <w:tc>
                <w:tcPr>
                  <w:tcW w:w="1180"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21500</w:t>
                  </w:r>
                  <w:r>
                    <w:rPr>
                      <w:rFonts w:ascii="Times New Roman" w:hAnsi="Times New Roman"/>
                      <w:color w:val="auto"/>
                      <w:kern w:val="2"/>
                      <w:sz w:val="21"/>
                      <w:szCs w:val="21"/>
                      <w:highlight w:val="none"/>
                    </w:rPr>
                    <w:t>t/a</w:t>
                  </w:r>
                </w:p>
              </w:tc>
              <w:tc>
                <w:tcPr>
                  <w:tcW w:w="107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kern w:val="2"/>
                      <w:sz w:val="21"/>
                      <w:szCs w:val="21"/>
                      <w:highlight w:val="none"/>
                    </w:rPr>
                    <w:t>0.</w:t>
                  </w:r>
                  <w:r>
                    <w:rPr>
                      <w:rFonts w:hint="eastAsia" w:ascii="Times New Roman" w:hAnsi="Times New Roman"/>
                      <w:color w:val="auto"/>
                      <w:kern w:val="2"/>
                      <w:sz w:val="21"/>
                      <w:szCs w:val="21"/>
                      <w:highlight w:val="none"/>
                    </w:rPr>
                    <w:t>02</w:t>
                  </w:r>
                  <w:r>
                    <w:rPr>
                      <w:rFonts w:ascii="Times New Roman" w:hAnsi="Times New Roman"/>
                      <w:color w:val="auto"/>
                      <w:kern w:val="2"/>
                      <w:sz w:val="21"/>
                      <w:szCs w:val="21"/>
                      <w:highlight w:val="none"/>
                    </w:rPr>
                    <w:t>t/a</w:t>
                  </w:r>
                </w:p>
              </w:tc>
              <w:tc>
                <w:tcPr>
                  <w:tcW w:w="903"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0.01t/a</w:t>
                  </w:r>
                </w:p>
              </w:tc>
              <w:tc>
                <w:tcPr>
                  <w:tcW w:w="1725"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0.0</w:t>
                  </w:r>
                  <w:r>
                    <w:rPr>
                      <w:rFonts w:hint="eastAsia" w:ascii="Times New Roman" w:hAnsi="Times New Roman"/>
                      <w:color w:val="auto"/>
                      <w:kern w:val="2"/>
                      <w:sz w:val="21"/>
                      <w:szCs w:val="21"/>
                      <w:highlight w:val="none"/>
                    </w:rPr>
                    <w:t>1</w:t>
                  </w:r>
                  <w:r>
                    <w:rPr>
                      <w:rFonts w:ascii="Times New Roman" w:hAnsi="Times New Roman"/>
                      <w:color w:val="auto"/>
                      <w:kern w:val="2"/>
                      <w:sz w:val="21"/>
                      <w:szCs w:val="21"/>
                      <w:highlight w:val="none"/>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贮存方式</w:t>
                  </w: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袋盖塑料垃圾桶收集</w:t>
                  </w:r>
                </w:p>
              </w:tc>
              <w:tc>
                <w:tcPr>
                  <w:tcW w:w="1180" w:type="dxa"/>
                  <w:tcBorders>
                    <w:tl2br w:val="nil"/>
                    <w:tr2bl w:val="nil"/>
                  </w:tcBorders>
                  <w:vAlign w:val="center"/>
                </w:tcPr>
                <w:p>
                  <w:pPr>
                    <w:jc w:val="center"/>
                    <w:rPr>
                      <w:rFonts w:cs="宋体"/>
                      <w:color w:val="auto"/>
                      <w:szCs w:val="21"/>
                      <w:highlight w:val="none"/>
                    </w:rPr>
                  </w:pPr>
                  <w:r>
                    <w:rPr>
                      <w:rFonts w:hint="eastAsia" w:cs="宋体"/>
                      <w:color w:val="auto"/>
                      <w:szCs w:val="21"/>
                      <w:highlight w:val="none"/>
                    </w:rPr>
                    <w:t>制砖车间原料库暂存</w:t>
                  </w:r>
                </w:p>
              </w:tc>
              <w:tc>
                <w:tcPr>
                  <w:tcW w:w="1078"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钢质桶收集后置于危废暂存间</w:t>
                  </w:r>
                </w:p>
              </w:tc>
              <w:tc>
                <w:tcPr>
                  <w:tcW w:w="2628" w:type="dxa"/>
                  <w:gridSpan w:val="2"/>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含油手套和含油棉纱采用塑料桶收集后与废油桶一起放置在危废暂存间内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cs="宋体"/>
                      <w:bCs/>
                      <w:color w:val="auto"/>
                      <w:kern w:val="21"/>
                      <w:sz w:val="21"/>
                      <w:szCs w:val="21"/>
                      <w:highlight w:val="none"/>
                    </w:rPr>
                  </w:pPr>
                  <w:r>
                    <w:rPr>
                      <w:rFonts w:hint="eastAsia" w:ascii="Times New Roman" w:hAnsi="Times New Roman" w:cs="宋体"/>
                      <w:bCs/>
                      <w:color w:val="auto"/>
                      <w:kern w:val="21"/>
                      <w:sz w:val="21"/>
                      <w:szCs w:val="21"/>
                      <w:highlight w:val="none"/>
                    </w:rPr>
                    <w:t>利用处置方式</w:t>
                  </w:r>
                </w:p>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bCs/>
                      <w:color w:val="auto"/>
                      <w:kern w:val="21"/>
                      <w:sz w:val="21"/>
                      <w:szCs w:val="21"/>
                      <w:highlight w:val="none"/>
                    </w:rPr>
                    <w:t>和去向</w:t>
                  </w:r>
                </w:p>
              </w:tc>
              <w:tc>
                <w:tcPr>
                  <w:tcW w:w="1414" w:type="dxa"/>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交环卫部门处置</w:t>
                  </w:r>
                </w:p>
              </w:tc>
              <w:tc>
                <w:tcPr>
                  <w:tcW w:w="1180" w:type="dxa"/>
                  <w:tcBorders>
                    <w:tl2br w:val="nil"/>
                    <w:tr2bl w:val="nil"/>
                  </w:tcBorders>
                  <w:vAlign w:val="center"/>
                </w:tcPr>
                <w:p>
                  <w:pPr>
                    <w:jc w:val="center"/>
                    <w:rPr>
                      <w:rFonts w:cs="宋体"/>
                      <w:color w:val="auto"/>
                      <w:szCs w:val="21"/>
                      <w:highlight w:val="none"/>
                    </w:rPr>
                  </w:pPr>
                  <w:r>
                    <w:rPr>
                      <w:rFonts w:hint="eastAsia" w:cs="宋体"/>
                      <w:color w:val="auto"/>
                      <w:szCs w:val="21"/>
                      <w:highlight w:val="none"/>
                    </w:rPr>
                    <w:t>作为原料，用于制砖</w:t>
                  </w:r>
                </w:p>
              </w:tc>
              <w:tc>
                <w:tcPr>
                  <w:tcW w:w="3706" w:type="dxa"/>
                  <w:gridSpan w:val="3"/>
                  <w:tcBorders>
                    <w:tl2br w:val="nil"/>
                    <w:tr2bl w:val="nil"/>
                  </w:tcBorders>
                  <w:vAlign w:val="center"/>
                </w:tcPr>
                <w:p>
                  <w:pPr>
                    <w:pStyle w:val="29"/>
                    <w:widowControl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s="宋体"/>
                      <w:color w:val="auto"/>
                      <w:kern w:val="2"/>
                      <w:sz w:val="21"/>
                      <w:szCs w:val="21"/>
                      <w:highlight w:val="none"/>
                    </w:rPr>
                    <w:t>交由</w:t>
                  </w:r>
                  <w:r>
                    <w:rPr>
                      <w:rFonts w:hint="eastAsia" w:ascii="Times New Roman" w:hAnsi="Times New Roman" w:cs="宋体"/>
                      <w:color w:val="auto"/>
                      <w:kern w:val="2"/>
                      <w:sz w:val="21"/>
                      <w:szCs w:val="21"/>
                      <w:highlight w:val="none"/>
                      <w:lang w:eastAsia="zh-CN"/>
                    </w:rPr>
                    <w:t>有</w:t>
                  </w:r>
                  <w:r>
                    <w:rPr>
                      <w:rFonts w:hint="eastAsia" w:ascii="Times New Roman" w:hAnsi="Times New Roman" w:cs="宋体"/>
                      <w:color w:val="auto"/>
                      <w:kern w:val="2"/>
                      <w:sz w:val="21"/>
                      <w:szCs w:val="21"/>
                      <w:highlight w:val="none"/>
                    </w:rPr>
                    <w:t>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tcBorders>
                    <w:tl2br w:val="nil"/>
                    <w:tr2bl w:val="nil"/>
                  </w:tcBorders>
                  <w:vAlign w:val="center"/>
                </w:tcPr>
                <w:p>
                  <w:pPr>
                    <w:pStyle w:val="29"/>
                    <w:widowControl w:val="0"/>
                    <w:spacing w:before="0" w:beforeAutospacing="0" w:after="0" w:afterAutospacing="0"/>
                    <w:jc w:val="center"/>
                    <w:rPr>
                      <w:rFonts w:ascii="Times New Roman" w:hAnsi="Times New Roman"/>
                      <w:bCs/>
                      <w:color w:val="auto"/>
                      <w:kern w:val="21"/>
                      <w:sz w:val="21"/>
                      <w:szCs w:val="21"/>
                      <w:highlight w:val="none"/>
                    </w:rPr>
                  </w:pPr>
                  <w:r>
                    <w:rPr>
                      <w:rFonts w:hint="eastAsia" w:ascii="Times New Roman" w:hAnsi="Times New Roman" w:cs="宋体"/>
                      <w:bCs/>
                      <w:color w:val="auto"/>
                      <w:kern w:val="21"/>
                      <w:sz w:val="21"/>
                      <w:szCs w:val="21"/>
                      <w:highlight w:val="none"/>
                    </w:rPr>
                    <w:t>利用或处置量</w:t>
                  </w:r>
                </w:p>
              </w:tc>
              <w:tc>
                <w:tcPr>
                  <w:tcW w:w="6300" w:type="dxa"/>
                  <w:gridSpan w:val="5"/>
                  <w:tcBorders>
                    <w:tl2br w:val="nil"/>
                    <w:tr2bl w:val="nil"/>
                  </w:tcBorders>
                  <w:vAlign w:val="center"/>
                </w:tcPr>
                <w:p>
                  <w:pPr>
                    <w:pStyle w:val="29"/>
                    <w:widowControl w:val="0"/>
                    <w:spacing w:before="0" w:beforeAutospacing="0" w:after="0" w:afterAutospacing="0"/>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100%</w:t>
                  </w:r>
                  <w:r>
                    <w:rPr>
                      <w:rFonts w:hint="eastAsia" w:ascii="Times New Roman" w:hAnsi="Times New Roman" w:cs="宋体"/>
                      <w:color w:val="auto"/>
                      <w:kern w:val="2"/>
                      <w:sz w:val="21"/>
                      <w:szCs w:val="21"/>
                      <w:highlight w:val="none"/>
                    </w:rPr>
                    <w:t>处置</w:t>
                  </w:r>
                </w:p>
              </w:tc>
            </w:tr>
          </w:tbl>
          <w:p>
            <w:pPr>
              <w:adjustRightInd w:val="0"/>
              <w:snapToGrid w:val="0"/>
              <w:spacing w:line="360" w:lineRule="auto"/>
              <w:ind w:firstLine="480" w:firstLineChars="200"/>
              <w:rPr>
                <w:color w:val="auto"/>
                <w:sz w:val="24"/>
                <w:highlight w:val="none"/>
              </w:rPr>
            </w:pPr>
            <w:r>
              <w:rPr>
                <w:color w:val="auto"/>
                <w:sz w:val="24"/>
                <w:highlight w:val="none"/>
              </w:rPr>
              <w:t>综上所述，</w:t>
            </w:r>
            <w:r>
              <w:rPr>
                <w:rFonts w:hint="eastAsia"/>
                <w:color w:val="auto"/>
                <w:sz w:val="24"/>
                <w:highlight w:val="none"/>
              </w:rPr>
              <w:t>建设</w:t>
            </w:r>
            <w:r>
              <w:rPr>
                <w:color w:val="auto"/>
                <w:sz w:val="24"/>
                <w:highlight w:val="none"/>
              </w:rPr>
              <w:t>单位在采取上述措施后，</w:t>
            </w:r>
            <w:r>
              <w:rPr>
                <w:rFonts w:hint="eastAsia"/>
                <w:color w:val="auto"/>
                <w:sz w:val="24"/>
                <w:highlight w:val="none"/>
              </w:rPr>
              <w:t>运营期</w:t>
            </w:r>
            <w:r>
              <w:rPr>
                <w:color w:val="auto"/>
                <w:sz w:val="24"/>
                <w:highlight w:val="none"/>
              </w:rPr>
              <w:t>产生的固体废物对周围环境影响较小</w:t>
            </w:r>
            <w:r>
              <w:rPr>
                <w:rFonts w:hint="eastAsia"/>
                <w:color w:val="auto"/>
                <w:sz w:val="24"/>
                <w:highlight w:val="none"/>
              </w:rPr>
              <w:t>。因此这样的措施是可行的，同样是可靠的</w:t>
            </w:r>
            <w:r>
              <w:rPr>
                <w:color w:val="auto"/>
                <w:sz w:val="24"/>
                <w:highlight w:val="none"/>
              </w:rPr>
              <w:t>。</w:t>
            </w:r>
          </w:p>
          <w:p>
            <w:pPr>
              <w:adjustRightInd w:val="0"/>
              <w:snapToGrid w:val="0"/>
              <w:spacing w:line="360" w:lineRule="auto"/>
              <w:rPr>
                <w:b/>
                <w:bCs/>
                <w:color w:val="auto"/>
                <w:sz w:val="24"/>
                <w:highlight w:val="none"/>
              </w:rPr>
            </w:pPr>
            <w:r>
              <w:rPr>
                <w:rFonts w:hint="eastAsia"/>
                <w:b/>
                <w:bCs/>
                <w:color w:val="auto"/>
                <w:sz w:val="24"/>
                <w:highlight w:val="none"/>
              </w:rPr>
              <w:t>（五）</w:t>
            </w:r>
            <w:r>
              <w:rPr>
                <w:b/>
                <w:bCs/>
                <w:color w:val="auto"/>
                <w:sz w:val="24"/>
                <w:highlight w:val="none"/>
              </w:rPr>
              <w:t>地下水及土壤</w:t>
            </w:r>
          </w:p>
          <w:p>
            <w:pPr>
              <w:adjustRightInd w:val="0"/>
              <w:snapToGrid w:val="0"/>
              <w:spacing w:line="360" w:lineRule="auto"/>
              <w:ind w:firstLine="480" w:firstLineChars="200"/>
              <w:rPr>
                <w:color w:val="auto"/>
                <w:sz w:val="24"/>
                <w:highlight w:val="none"/>
              </w:rPr>
            </w:pPr>
            <w:r>
              <w:rPr>
                <w:rFonts w:hint="eastAsia"/>
                <w:color w:val="auto"/>
                <w:sz w:val="24"/>
                <w:highlight w:val="none"/>
              </w:rPr>
              <w:t>1、影响途径和污染物类型</w:t>
            </w:r>
          </w:p>
          <w:p>
            <w:pPr>
              <w:adjustRightInd w:val="0"/>
              <w:snapToGrid w:val="0"/>
              <w:spacing w:line="360" w:lineRule="auto"/>
              <w:ind w:firstLine="480" w:firstLineChars="200"/>
              <w:rPr>
                <w:color w:val="auto"/>
                <w:sz w:val="24"/>
                <w:highlight w:val="none"/>
              </w:rPr>
            </w:pPr>
            <w:r>
              <w:rPr>
                <w:rFonts w:hint="eastAsia"/>
                <w:color w:val="auto"/>
                <w:sz w:val="24"/>
                <w:highlight w:val="none"/>
              </w:rPr>
              <w:t>地下水和土壤污染源主要为：化粪池、</w:t>
            </w:r>
            <w:r>
              <w:rPr>
                <w:rFonts w:hint="eastAsia"/>
                <w:color w:val="auto"/>
                <w:sz w:val="24"/>
                <w:highlight w:val="none"/>
                <w:lang w:eastAsia="zh-CN"/>
              </w:rPr>
              <w:t>污水罐</w:t>
            </w:r>
            <w:r>
              <w:rPr>
                <w:rFonts w:hint="eastAsia"/>
                <w:color w:val="auto"/>
                <w:sz w:val="24"/>
                <w:highlight w:val="none"/>
              </w:rPr>
              <w:t>以及危险废物暂存间等；</w:t>
            </w:r>
          </w:p>
          <w:p>
            <w:pPr>
              <w:adjustRightInd w:val="0"/>
              <w:snapToGrid w:val="0"/>
              <w:spacing w:line="360" w:lineRule="auto"/>
              <w:ind w:firstLine="480" w:firstLineChars="200"/>
              <w:rPr>
                <w:color w:val="auto"/>
                <w:sz w:val="24"/>
                <w:highlight w:val="none"/>
              </w:rPr>
            </w:pPr>
            <w:r>
              <w:rPr>
                <w:rFonts w:hint="eastAsia"/>
                <w:color w:val="auto"/>
                <w:sz w:val="24"/>
                <w:highlight w:val="none"/>
              </w:rPr>
              <w:t>途径：污水处理设施渗漏，危废遗撒下渗，从而造成土壤和地下水污染；</w:t>
            </w:r>
          </w:p>
          <w:p>
            <w:pPr>
              <w:adjustRightInd w:val="0"/>
              <w:snapToGrid w:val="0"/>
              <w:spacing w:line="360" w:lineRule="auto"/>
              <w:ind w:firstLine="480" w:firstLineChars="200"/>
              <w:rPr>
                <w:color w:val="auto"/>
                <w:sz w:val="24"/>
                <w:highlight w:val="none"/>
              </w:rPr>
            </w:pPr>
            <w:r>
              <w:rPr>
                <w:rFonts w:hint="eastAsia"/>
                <w:color w:val="auto"/>
                <w:sz w:val="24"/>
                <w:highlight w:val="none"/>
              </w:rPr>
              <w:t>污染物类型：生产废水污染物主要为SS，生活污水污染物主要为氨氮、COD、总磷等，危险废物污染物主要为石油类。</w:t>
            </w:r>
          </w:p>
          <w:p>
            <w:pPr>
              <w:adjustRightInd w:val="0"/>
              <w:snapToGrid w:val="0"/>
              <w:spacing w:line="360" w:lineRule="auto"/>
              <w:ind w:firstLine="480" w:firstLineChars="200"/>
              <w:rPr>
                <w:color w:val="auto"/>
                <w:sz w:val="24"/>
                <w:highlight w:val="none"/>
              </w:rPr>
            </w:pPr>
            <w:r>
              <w:rPr>
                <w:rFonts w:hint="eastAsia"/>
                <w:color w:val="auto"/>
                <w:sz w:val="24"/>
                <w:highlight w:val="none"/>
              </w:rPr>
              <w:t>2、防控措施</w:t>
            </w:r>
          </w:p>
          <w:p>
            <w:pPr>
              <w:adjustRightInd w:val="0"/>
              <w:snapToGrid w:val="0"/>
              <w:spacing w:line="360" w:lineRule="auto"/>
              <w:ind w:firstLine="480" w:firstLineChars="200"/>
              <w:rPr>
                <w:color w:val="auto"/>
                <w:sz w:val="24"/>
                <w:highlight w:val="none"/>
              </w:rPr>
            </w:pPr>
            <w:r>
              <w:rPr>
                <w:rFonts w:hint="eastAsia"/>
                <w:color w:val="auto"/>
                <w:sz w:val="24"/>
                <w:highlight w:val="none"/>
              </w:rPr>
              <w:t>环评要求</w:t>
            </w:r>
            <w:r>
              <w:rPr>
                <w:rFonts w:hint="eastAsia"/>
                <w:color w:val="auto"/>
                <w:sz w:val="24"/>
                <w:highlight w:val="none"/>
                <w:lang w:eastAsia="zh-CN"/>
              </w:rPr>
              <w:t>建设单位在污水罐区域应做</w:t>
            </w:r>
            <w:r>
              <w:rPr>
                <w:rFonts w:hint="eastAsia"/>
                <w:color w:val="auto"/>
                <w:sz w:val="24"/>
                <w:highlight w:val="none"/>
              </w:rPr>
              <w:t>好硬化及防渗处理，运营期应加强危废间日常监管，确保做好收集、分类、标识等工作。</w:t>
            </w:r>
          </w:p>
          <w:p>
            <w:pPr>
              <w:adjustRightInd w:val="0"/>
              <w:snapToGrid w:val="0"/>
              <w:spacing w:line="360" w:lineRule="auto"/>
              <w:ind w:firstLine="480" w:firstLineChars="200"/>
              <w:rPr>
                <w:color w:val="auto"/>
                <w:sz w:val="24"/>
                <w:highlight w:val="none"/>
              </w:rPr>
            </w:pPr>
            <w:r>
              <w:rPr>
                <w:rFonts w:hint="eastAsia"/>
                <w:color w:val="auto"/>
                <w:sz w:val="24"/>
                <w:highlight w:val="none"/>
              </w:rPr>
              <w:t>通过采取以上措施并加强管理后，正常工况下不会对项目区地下水和土壤产生影响。</w:t>
            </w:r>
          </w:p>
          <w:p>
            <w:pPr>
              <w:numPr>
                <w:ilvl w:val="0"/>
                <w:numId w:val="5"/>
              </w:numPr>
              <w:adjustRightInd w:val="0"/>
              <w:snapToGrid w:val="0"/>
              <w:spacing w:line="360" w:lineRule="auto"/>
              <w:rPr>
                <w:b/>
                <w:bCs/>
                <w:color w:val="auto"/>
                <w:sz w:val="24"/>
                <w:highlight w:val="none"/>
              </w:rPr>
            </w:pPr>
            <w:r>
              <w:rPr>
                <w:b/>
                <w:bCs/>
                <w:color w:val="auto"/>
                <w:sz w:val="24"/>
                <w:highlight w:val="none"/>
              </w:rPr>
              <w:t>环境风险</w:t>
            </w:r>
          </w:p>
          <w:p>
            <w:pPr>
              <w:adjustRightInd w:val="0"/>
              <w:snapToGrid w:val="0"/>
              <w:spacing w:line="360" w:lineRule="auto"/>
              <w:ind w:firstLine="480" w:firstLineChars="200"/>
              <w:rPr>
                <w:color w:val="auto"/>
                <w:sz w:val="24"/>
                <w:highlight w:val="none"/>
              </w:rPr>
            </w:pPr>
            <w:bookmarkStart w:id="4" w:name="_Hlk69918736"/>
            <w:r>
              <w:rPr>
                <w:rFonts w:hint="eastAsia"/>
                <w:color w:val="auto"/>
                <w:sz w:val="24"/>
                <w:highlight w:val="none"/>
              </w:rPr>
              <w:t>（1）环境风险物质：润滑油及废润滑油。</w:t>
            </w:r>
          </w:p>
          <w:p>
            <w:pPr>
              <w:adjustRightInd w:val="0"/>
              <w:snapToGrid w:val="0"/>
              <w:spacing w:line="360" w:lineRule="auto"/>
              <w:ind w:firstLine="480" w:firstLineChars="200"/>
              <w:rPr>
                <w:b/>
                <w:color w:val="auto"/>
                <w:szCs w:val="21"/>
                <w:highlight w:val="none"/>
              </w:rPr>
            </w:pPr>
            <w:r>
              <w:rPr>
                <w:color w:val="auto"/>
                <w:sz w:val="24"/>
                <w:highlight w:val="none"/>
              </w:rPr>
              <w:t>根据《建设项目环境风险评价技术导则》（HJ169-2018）附录B，对本项目环境风险物质</w:t>
            </w:r>
            <w:r>
              <w:rPr>
                <w:rFonts w:hint="eastAsia"/>
                <w:color w:val="auto"/>
                <w:sz w:val="24"/>
                <w:highlight w:val="none"/>
              </w:rPr>
              <w:t>的Q值计算如下</w:t>
            </w:r>
            <w:r>
              <w:rPr>
                <w:color w:val="auto"/>
                <w:sz w:val="24"/>
                <w:highlight w:val="none"/>
              </w:rPr>
              <w:t>：</w:t>
            </w:r>
          </w:p>
          <w:p>
            <w:pPr>
              <w:pStyle w:val="44"/>
              <w:snapToGrid w:val="0"/>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表4-1</w:t>
            </w:r>
            <w:r>
              <w:rPr>
                <w:rFonts w:hint="eastAsia" w:ascii="Times New Roman" w:hAnsi="Times New Roman" w:cs="Times New Roman"/>
                <w:b/>
                <w:color w:val="auto"/>
                <w:sz w:val="21"/>
                <w:szCs w:val="21"/>
                <w:highlight w:val="none"/>
                <w:lang w:val="en-US" w:eastAsia="zh-CN"/>
              </w:rPr>
              <w:t>0</w:t>
            </w:r>
            <w:r>
              <w:rPr>
                <w:rFonts w:ascii="Times New Roman" w:hAnsi="Times New Roman" w:cs="Times New Roman"/>
                <w:b/>
                <w:color w:val="auto"/>
                <w:sz w:val="21"/>
                <w:szCs w:val="21"/>
                <w:highlight w:val="none"/>
              </w:rPr>
              <w:t xml:space="preserve">   风险物质及Q值计算一览表</w:t>
            </w:r>
          </w:p>
          <w:tbl>
            <w:tblPr>
              <w:tblStyle w:val="34"/>
              <w:tblW w:w="8381" w:type="dxa"/>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 w:type="dxa"/>
                <w:bottom w:w="0" w:type="dxa"/>
                <w:right w:w="10" w:type="dxa"/>
              </w:tblCellMar>
            </w:tblPr>
            <w:tblGrid>
              <w:gridCol w:w="1858"/>
              <w:gridCol w:w="1300"/>
              <w:gridCol w:w="1681"/>
              <w:gridCol w:w="1742"/>
              <w:gridCol w:w="18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 w:type="dxa"/>
                  <w:bottom w:w="0" w:type="dxa"/>
                  <w:right w:w="10" w:type="dxa"/>
                </w:tblCellMar>
              </w:tblPrEx>
              <w:trPr>
                <w:trHeight w:val="397" w:hRule="exact"/>
              </w:trPr>
              <w:tc>
                <w:tcPr>
                  <w:tcW w:w="1858" w:type="dxa"/>
                  <w:tcBorders>
                    <w:tl2br w:val="nil"/>
                    <w:tr2bl w:val="nil"/>
                  </w:tcBorders>
                  <w:vAlign w:val="center"/>
                </w:tcPr>
                <w:p>
                  <w:pPr>
                    <w:snapToGrid w:val="0"/>
                    <w:spacing w:beforeLines="30" w:afterLines="30"/>
                    <w:jc w:val="center"/>
                    <w:rPr>
                      <w:color w:val="auto"/>
                      <w:szCs w:val="21"/>
                      <w:highlight w:val="none"/>
                    </w:rPr>
                  </w:pPr>
                  <w:r>
                    <w:rPr>
                      <w:color w:val="auto"/>
                      <w:szCs w:val="21"/>
                      <w:highlight w:val="none"/>
                    </w:rPr>
                    <w:t>风险物质</w:t>
                  </w:r>
                </w:p>
              </w:tc>
              <w:tc>
                <w:tcPr>
                  <w:tcW w:w="1300" w:type="dxa"/>
                  <w:tcBorders>
                    <w:tl2br w:val="nil"/>
                    <w:tr2bl w:val="nil"/>
                  </w:tcBorders>
                  <w:vAlign w:val="center"/>
                </w:tcPr>
                <w:p>
                  <w:pPr>
                    <w:snapToGrid w:val="0"/>
                    <w:spacing w:beforeLines="30" w:afterLines="30"/>
                    <w:jc w:val="center"/>
                    <w:rPr>
                      <w:color w:val="auto"/>
                      <w:szCs w:val="21"/>
                      <w:highlight w:val="none"/>
                    </w:rPr>
                  </w:pPr>
                  <w:r>
                    <w:rPr>
                      <w:color w:val="auto"/>
                      <w:szCs w:val="21"/>
                      <w:highlight w:val="none"/>
                    </w:rPr>
                    <w:t>CAS</w:t>
                  </w:r>
                </w:p>
              </w:tc>
              <w:tc>
                <w:tcPr>
                  <w:tcW w:w="1681" w:type="dxa"/>
                  <w:tcBorders>
                    <w:tl2br w:val="nil"/>
                    <w:tr2bl w:val="nil"/>
                  </w:tcBorders>
                  <w:vAlign w:val="center"/>
                </w:tcPr>
                <w:p>
                  <w:pPr>
                    <w:snapToGrid w:val="0"/>
                    <w:spacing w:beforeLines="30" w:afterLines="30"/>
                    <w:jc w:val="center"/>
                    <w:rPr>
                      <w:color w:val="auto"/>
                      <w:szCs w:val="21"/>
                      <w:highlight w:val="none"/>
                    </w:rPr>
                  </w:pPr>
                  <w:r>
                    <w:rPr>
                      <w:color w:val="auto"/>
                      <w:szCs w:val="21"/>
                      <w:highlight w:val="none"/>
                    </w:rPr>
                    <w:t>临界量t</w:t>
                  </w:r>
                </w:p>
              </w:tc>
              <w:tc>
                <w:tcPr>
                  <w:tcW w:w="1742" w:type="dxa"/>
                  <w:tcBorders>
                    <w:tl2br w:val="nil"/>
                    <w:tr2bl w:val="nil"/>
                  </w:tcBorders>
                  <w:vAlign w:val="center"/>
                </w:tcPr>
                <w:p>
                  <w:pPr>
                    <w:snapToGrid w:val="0"/>
                    <w:spacing w:beforeLines="30" w:afterLines="30"/>
                    <w:jc w:val="center"/>
                    <w:rPr>
                      <w:color w:val="auto"/>
                      <w:szCs w:val="21"/>
                      <w:highlight w:val="none"/>
                    </w:rPr>
                  </w:pPr>
                  <w:r>
                    <w:rPr>
                      <w:color w:val="auto"/>
                      <w:szCs w:val="21"/>
                      <w:highlight w:val="none"/>
                    </w:rPr>
                    <w:t>最大储存量t</w:t>
                  </w:r>
                </w:p>
              </w:tc>
              <w:tc>
                <w:tcPr>
                  <w:tcW w:w="1800" w:type="dxa"/>
                  <w:tcBorders>
                    <w:tl2br w:val="nil"/>
                    <w:tr2bl w:val="nil"/>
                  </w:tcBorders>
                  <w:vAlign w:val="center"/>
                </w:tcPr>
                <w:p>
                  <w:pPr>
                    <w:snapToGrid w:val="0"/>
                    <w:spacing w:beforeLines="30" w:afterLines="30"/>
                    <w:jc w:val="center"/>
                    <w:rPr>
                      <w:color w:val="auto"/>
                      <w:szCs w:val="21"/>
                      <w:highlight w:val="none"/>
                    </w:rPr>
                  </w:pPr>
                  <w:r>
                    <w:rPr>
                      <w:color w:val="auto"/>
                      <w:szCs w:val="21"/>
                      <w:highlight w:val="none"/>
                    </w:rPr>
                    <w:t>Q</w:t>
                  </w:r>
                  <w:r>
                    <w:rPr>
                      <w:color w:val="auto"/>
                      <w:szCs w:val="21"/>
                      <w:highlight w:val="none"/>
                      <w:vertAlign w:val="subscript"/>
                    </w:rPr>
                    <w:t>i</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 w:type="dxa"/>
                  <w:bottom w:w="0" w:type="dxa"/>
                  <w:right w:w="10" w:type="dxa"/>
                </w:tblCellMar>
              </w:tblPrEx>
              <w:trPr>
                <w:trHeight w:val="397" w:hRule="exact"/>
              </w:trPr>
              <w:tc>
                <w:tcPr>
                  <w:tcW w:w="1858" w:type="dxa"/>
                  <w:tcBorders>
                    <w:tl2br w:val="nil"/>
                    <w:tr2bl w:val="nil"/>
                  </w:tcBorders>
                  <w:vAlign w:val="center"/>
                </w:tcPr>
                <w:p>
                  <w:pPr>
                    <w:snapToGrid w:val="0"/>
                    <w:spacing w:beforeLines="30" w:afterLines="30"/>
                    <w:jc w:val="center"/>
                    <w:rPr>
                      <w:color w:val="auto"/>
                      <w:szCs w:val="21"/>
                      <w:highlight w:val="none"/>
                    </w:rPr>
                  </w:pPr>
                  <w:r>
                    <w:rPr>
                      <w:rFonts w:hint="eastAsia"/>
                      <w:color w:val="auto"/>
                      <w:szCs w:val="21"/>
                      <w:highlight w:val="none"/>
                    </w:rPr>
                    <w:t>润滑油</w:t>
                  </w:r>
                </w:p>
              </w:tc>
              <w:tc>
                <w:tcPr>
                  <w:tcW w:w="1300" w:type="dxa"/>
                  <w:tcBorders>
                    <w:tl2br w:val="nil"/>
                    <w:tr2bl w:val="nil"/>
                  </w:tcBorders>
                  <w:vAlign w:val="center"/>
                </w:tcPr>
                <w:p>
                  <w:pPr>
                    <w:snapToGrid w:val="0"/>
                    <w:spacing w:beforeLines="30" w:afterLines="30"/>
                    <w:jc w:val="center"/>
                    <w:rPr>
                      <w:color w:val="auto"/>
                      <w:szCs w:val="21"/>
                      <w:highlight w:val="none"/>
                    </w:rPr>
                  </w:pPr>
                  <w:r>
                    <w:rPr>
                      <w:rFonts w:hint="eastAsia"/>
                      <w:color w:val="auto"/>
                      <w:szCs w:val="21"/>
                      <w:highlight w:val="none"/>
                    </w:rPr>
                    <w:t>/</w:t>
                  </w:r>
                </w:p>
              </w:tc>
              <w:tc>
                <w:tcPr>
                  <w:tcW w:w="1681" w:type="dxa"/>
                  <w:tcBorders>
                    <w:tl2br w:val="nil"/>
                    <w:tr2bl w:val="nil"/>
                  </w:tcBorders>
                  <w:vAlign w:val="center"/>
                </w:tcPr>
                <w:p>
                  <w:pPr>
                    <w:snapToGrid w:val="0"/>
                    <w:spacing w:beforeLines="30" w:afterLines="30"/>
                    <w:jc w:val="center"/>
                    <w:rPr>
                      <w:color w:val="auto"/>
                      <w:szCs w:val="21"/>
                      <w:highlight w:val="none"/>
                    </w:rPr>
                  </w:pPr>
                  <w:r>
                    <w:rPr>
                      <w:rFonts w:hint="eastAsia"/>
                      <w:color w:val="auto"/>
                      <w:szCs w:val="21"/>
                      <w:highlight w:val="none"/>
                    </w:rPr>
                    <w:t>2500</w:t>
                  </w:r>
                </w:p>
              </w:tc>
              <w:tc>
                <w:tcPr>
                  <w:tcW w:w="1742" w:type="dxa"/>
                  <w:tcBorders>
                    <w:tl2br w:val="nil"/>
                    <w:tr2bl w:val="nil"/>
                  </w:tcBorders>
                  <w:vAlign w:val="center"/>
                </w:tcPr>
                <w:p>
                  <w:pPr>
                    <w:snapToGrid w:val="0"/>
                    <w:spacing w:beforeLines="30" w:afterLines="30"/>
                    <w:jc w:val="center"/>
                    <w:rPr>
                      <w:color w:val="auto"/>
                      <w:szCs w:val="21"/>
                      <w:highlight w:val="none"/>
                    </w:rPr>
                  </w:pPr>
                  <w:r>
                    <w:rPr>
                      <w:rFonts w:hint="eastAsia"/>
                      <w:color w:val="auto"/>
                      <w:szCs w:val="21"/>
                      <w:highlight w:val="none"/>
                    </w:rPr>
                    <w:t>0.2</w:t>
                  </w:r>
                </w:p>
              </w:tc>
              <w:tc>
                <w:tcPr>
                  <w:tcW w:w="1800" w:type="dxa"/>
                  <w:tcBorders>
                    <w:tl2br w:val="nil"/>
                    <w:tr2bl w:val="nil"/>
                  </w:tcBorders>
                  <w:vAlign w:val="center"/>
                </w:tcPr>
                <w:p>
                  <w:pPr>
                    <w:snapToGrid w:val="0"/>
                    <w:spacing w:beforeLines="30" w:afterLines="30"/>
                    <w:jc w:val="center"/>
                    <w:rPr>
                      <w:rFonts w:hint="default" w:eastAsia="宋体"/>
                      <w:color w:val="auto"/>
                      <w:szCs w:val="21"/>
                      <w:highlight w:val="none"/>
                      <w:lang w:val="en-US" w:eastAsia="zh-CN"/>
                    </w:rPr>
                  </w:pPr>
                  <w:r>
                    <w:rPr>
                      <w:rFonts w:hint="eastAsia"/>
                      <w:color w:val="auto"/>
                      <w:szCs w:val="21"/>
                      <w:highlight w:val="none"/>
                      <w:lang w:val="en-US" w:eastAsia="zh-CN"/>
                    </w:rPr>
                    <w:t>0.00008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 w:type="dxa"/>
                  <w:bottom w:w="0" w:type="dxa"/>
                  <w:right w:w="10" w:type="dxa"/>
                </w:tblCellMar>
              </w:tblPrEx>
              <w:trPr>
                <w:trHeight w:val="397" w:hRule="exact"/>
              </w:trPr>
              <w:tc>
                <w:tcPr>
                  <w:tcW w:w="1858" w:type="dxa"/>
                  <w:tcBorders>
                    <w:tl2br w:val="nil"/>
                    <w:tr2bl w:val="nil"/>
                  </w:tcBorders>
                  <w:vAlign w:val="center"/>
                </w:tcPr>
                <w:p>
                  <w:pPr>
                    <w:snapToGrid w:val="0"/>
                    <w:spacing w:beforeLines="30" w:afterLines="30"/>
                    <w:jc w:val="center"/>
                    <w:rPr>
                      <w:rFonts w:hint="eastAsia"/>
                      <w:color w:val="auto"/>
                      <w:szCs w:val="21"/>
                      <w:highlight w:val="none"/>
                    </w:rPr>
                  </w:pPr>
                  <w:r>
                    <w:rPr>
                      <w:rFonts w:hint="eastAsia"/>
                      <w:color w:val="auto"/>
                      <w:szCs w:val="21"/>
                      <w:highlight w:val="none"/>
                    </w:rPr>
                    <w:t>废润滑油</w:t>
                  </w:r>
                </w:p>
              </w:tc>
              <w:tc>
                <w:tcPr>
                  <w:tcW w:w="1300" w:type="dxa"/>
                  <w:tcBorders>
                    <w:tl2br w:val="nil"/>
                    <w:tr2bl w:val="nil"/>
                  </w:tcBorders>
                  <w:vAlign w:val="center"/>
                </w:tcPr>
                <w:p>
                  <w:pPr>
                    <w:snapToGrid w:val="0"/>
                    <w:spacing w:beforeLines="30" w:afterLines="30"/>
                    <w:jc w:val="center"/>
                    <w:rPr>
                      <w:rFonts w:hint="eastAsia"/>
                      <w:color w:val="auto"/>
                      <w:szCs w:val="21"/>
                      <w:highlight w:val="none"/>
                    </w:rPr>
                  </w:pPr>
                  <w:r>
                    <w:rPr>
                      <w:rFonts w:hint="eastAsia"/>
                      <w:color w:val="auto"/>
                      <w:szCs w:val="21"/>
                      <w:highlight w:val="none"/>
                    </w:rPr>
                    <w:t>/</w:t>
                  </w:r>
                </w:p>
              </w:tc>
              <w:tc>
                <w:tcPr>
                  <w:tcW w:w="1681" w:type="dxa"/>
                  <w:tcBorders>
                    <w:tl2br w:val="nil"/>
                    <w:tr2bl w:val="nil"/>
                  </w:tcBorders>
                  <w:vAlign w:val="center"/>
                </w:tcPr>
                <w:p>
                  <w:pPr>
                    <w:snapToGrid w:val="0"/>
                    <w:spacing w:beforeLines="30" w:afterLines="30"/>
                    <w:jc w:val="center"/>
                    <w:rPr>
                      <w:rFonts w:hint="default" w:eastAsia="宋体"/>
                      <w:color w:val="auto"/>
                      <w:szCs w:val="21"/>
                      <w:highlight w:val="none"/>
                      <w:lang w:val="en-US" w:eastAsia="zh-CN"/>
                    </w:rPr>
                  </w:pPr>
                  <w:r>
                    <w:rPr>
                      <w:rFonts w:hint="eastAsia"/>
                      <w:color w:val="auto"/>
                      <w:szCs w:val="21"/>
                      <w:highlight w:val="none"/>
                      <w:lang w:val="en-US" w:eastAsia="zh-CN"/>
                    </w:rPr>
                    <w:t>2500</w:t>
                  </w:r>
                </w:p>
              </w:tc>
              <w:tc>
                <w:tcPr>
                  <w:tcW w:w="1742" w:type="dxa"/>
                  <w:tcBorders>
                    <w:tl2br w:val="nil"/>
                    <w:tr2bl w:val="nil"/>
                  </w:tcBorders>
                  <w:vAlign w:val="center"/>
                </w:tcPr>
                <w:p>
                  <w:pPr>
                    <w:snapToGrid w:val="0"/>
                    <w:spacing w:beforeLines="30" w:afterLines="30"/>
                    <w:jc w:val="center"/>
                    <w:rPr>
                      <w:rFonts w:hint="default" w:eastAsia="宋体"/>
                      <w:color w:val="auto"/>
                      <w:szCs w:val="21"/>
                      <w:highlight w:val="none"/>
                      <w:lang w:val="en-US" w:eastAsia="zh-CN"/>
                    </w:rPr>
                  </w:pPr>
                  <w:r>
                    <w:rPr>
                      <w:rFonts w:hint="eastAsia"/>
                      <w:color w:val="auto"/>
                      <w:szCs w:val="21"/>
                      <w:highlight w:val="none"/>
                      <w:lang w:val="en-US" w:eastAsia="zh-CN"/>
                    </w:rPr>
                    <w:t>0.02</w:t>
                  </w:r>
                </w:p>
              </w:tc>
              <w:tc>
                <w:tcPr>
                  <w:tcW w:w="1800" w:type="dxa"/>
                  <w:tcBorders>
                    <w:tl2br w:val="nil"/>
                    <w:tr2bl w:val="nil"/>
                  </w:tcBorders>
                  <w:vAlign w:val="center"/>
                </w:tcPr>
                <w:p>
                  <w:pPr>
                    <w:snapToGrid w:val="0"/>
                    <w:spacing w:beforeLines="30" w:afterLines="30"/>
                    <w:jc w:val="center"/>
                    <w:rPr>
                      <w:rFonts w:hint="default" w:eastAsia="宋体"/>
                      <w:color w:val="auto"/>
                      <w:szCs w:val="21"/>
                      <w:highlight w:val="none"/>
                      <w:lang w:val="en-US" w:eastAsia="zh-CN"/>
                    </w:rPr>
                  </w:pPr>
                  <w:r>
                    <w:rPr>
                      <w:rFonts w:hint="eastAsia"/>
                      <w:color w:val="auto"/>
                      <w:szCs w:val="21"/>
                      <w:highlight w:val="none"/>
                      <w:lang w:val="en-US" w:eastAsia="zh-CN"/>
                    </w:rPr>
                    <w:t>0.000008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 w:type="dxa"/>
                  <w:bottom w:w="0" w:type="dxa"/>
                  <w:right w:w="10" w:type="dxa"/>
                </w:tblCellMar>
              </w:tblPrEx>
              <w:trPr>
                <w:trHeight w:val="397" w:hRule="exact"/>
              </w:trPr>
              <w:tc>
                <w:tcPr>
                  <w:tcW w:w="6581" w:type="dxa"/>
                  <w:gridSpan w:val="4"/>
                  <w:tcBorders>
                    <w:tl2br w:val="nil"/>
                    <w:tr2bl w:val="nil"/>
                  </w:tcBorders>
                  <w:vAlign w:val="center"/>
                </w:tcPr>
                <w:p>
                  <w:pPr>
                    <w:snapToGrid w:val="0"/>
                    <w:spacing w:beforeLines="30" w:afterLines="30"/>
                    <w:jc w:val="center"/>
                    <w:rPr>
                      <w:rFonts w:hint="eastAsia"/>
                      <w:color w:val="auto"/>
                      <w:szCs w:val="21"/>
                      <w:highlight w:val="none"/>
                      <w:lang w:val="en-US" w:eastAsia="zh-CN"/>
                    </w:rPr>
                  </w:pPr>
                  <w:r>
                    <w:rPr>
                      <w:rFonts w:hint="eastAsia"/>
                      <w:color w:val="auto"/>
                      <w:szCs w:val="21"/>
                      <w:highlight w:val="none"/>
                      <w:lang w:val="en-US" w:eastAsia="zh-CN"/>
                    </w:rPr>
                    <w:t>合计</w:t>
                  </w:r>
                </w:p>
              </w:tc>
              <w:tc>
                <w:tcPr>
                  <w:tcW w:w="1800" w:type="dxa"/>
                  <w:tcBorders>
                    <w:tl2br w:val="nil"/>
                    <w:tr2bl w:val="nil"/>
                  </w:tcBorders>
                  <w:vAlign w:val="center"/>
                </w:tcPr>
                <w:p>
                  <w:pPr>
                    <w:snapToGrid w:val="0"/>
                    <w:spacing w:beforeLines="30" w:afterLines="30"/>
                    <w:jc w:val="center"/>
                    <w:rPr>
                      <w:rFonts w:hint="eastAsia"/>
                      <w:color w:val="auto"/>
                      <w:szCs w:val="21"/>
                      <w:highlight w:val="none"/>
                    </w:rPr>
                  </w:pPr>
                  <w:r>
                    <w:rPr>
                      <w:rFonts w:hint="eastAsia"/>
                      <w:color w:val="auto"/>
                      <w:szCs w:val="21"/>
                      <w:highlight w:val="none"/>
                    </w:rPr>
                    <w:t>0.000088</w:t>
                  </w:r>
                </w:p>
              </w:tc>
            </w:tr>
          </w:tbl>
          <w:p>
            <w:pPr>
              <w:adjustRightInd w:val="0"/>
              <w:snapToGrid w:val="0"/>
              <w:spacing w:line="360" w:lineRule="auto"/>
              <w:ind w:firstLine="480" w:firstLineChars="200"/>
              <w:rPr>
                <w:color w:val="auto"/>
                <w:sz w:val="24"/>
                <w:highlight w:val="none"/>
              </w:rPr>
            </w:pPr>
            <w:r>
              <w:rPr>
                <w:color w:val="auto"/>
                <w:sz w:val="24"/>
                <w:highlight w:val="none"/>
              </w:rPr>
              <w:t>上表可见，本项目危险物质储存量极少，Q=</w:t>
            </w:r>
            <w:r>
              <w:rPr>
                <w:rFonts w:hint="eastAsia"/>
                <w:color w:val="auto"/>
                <w:sz w:val="24"/>
                <w:highlight w:val="none"/>
              </w:rPr>
              <w:t>0.00008</w:t>
            </w:r>
            <w:r>
              <w:rPr>
                <w:color w:val="auto"/>
                <w:sz w:val="24"/>
                <w:highlight w:val="none"/>
              </w:rPr>
              <w:t>&lt;1，该项目风险潜势为Ⅰ，环境风险较低。</w:t>
            </w:r>
          </w:p>
          <w:p>
            <w:pPr>
              <w:adjustRightInd w:val="0"/>
              <w:snapToGrid w:val="0"/>
              <w:spacing w:line="360" w:lineRule="auto"/>
              <w:ind w:firstLine="480" w:firstLineChars="200"/>
              <w:rPr>
                <w:color w:val="auto"/>
                <w:sz w:val="24"/>
                <w:highlight w:val="none"/>
              </w:rPr>
            </w:pPr>
            <w:r>
              <w:rPr>
                <w:rFonts w:hint="eastAsia"/>
                <w:color w:val="auto"/>
                <w:sz w:val="24"/>
                <w:highlight w:val="none"/>
              </w:rPr>
              <w:t>（2）影响途径：</w:t>
            </w:r>
            <w:r>
              <w:rPr>
                <w:rStyle w:val="40"/>
                <w:rFonts w:hint="eastAsia"/>
                <w:color w:val="auto"/>
                <w:kern w:val="0"/>
                <w:sz w:val="24"/>
                <w:highlight w:val="none"/>
              </w:rPr>
              <w:t>油类物质发生泄漏渗入地下，会给周边土壤及地下水环境带来污染隐患</w:t>
            </w:r>
            <w:r>
              <w:rPr>
                <w:rFonts w:hint="eastAsia"/>
                <w:color w:val="auto"/>
                <w:sz w:val="24"/>
                <w:highlight w:val="none"/>
              </w:rPr>
              <w:t>。</w:t>
            </w:r>
          </w:p>
          <w:p>
            <w:pPr>
              <w:adjustRightInd w:val="0"/>
              <w:snapToGrid w:val="0"/>
              <w:spacing w:line="360" w:lineRule="auto"/>
              <w:ind w:firstLine="480" w:firstLineChars="200"/>
              <w:rPr>
                <w:rFonts w:ascii="宋体" w:hAnsi="宋体" w:cs="宋体"/>
                <w:bCs/>
                <w:color w:val="auto"/>
                <w:kern w:val="21"/>
                <w:szCs w:val="21"/>
                <w:highlight w:val="none"/>
              </w:rPr>
            </w:pPr>
            <w:r>
              <w:rPr>
                <w:rFonts w:hint="eastAsia"/>
                <w:color w:val="auto"/>
                <w:sz w:val="24"/>
                <w:highlight w:val="none"/>
              </w:rPr>
              <w:t>（3）防范措施：本项目润滑油与废润滑油堆存量少，均盛装有包装设施，即使发生泄漏，其影响范围也大多集中在储存区，且储存区地面及四周均做好防渗措施，故项目润滑油及废润滑油发生泄漏的可能性很小，同时若是因事故原因发生泄漏时，因储存区的防渗措施阻隔，及时收集后不会下渗至地下，影响区域土壤与地下水环境。</w:t>
            </w:r>
            <w:bookmarkEnd w:id="4"/>
            <w:r>
              <w:rPr>
                <w:rFonts w:hint="eastAsia"/>
                <w:color w:val="auto"/>
                <w:sz w:val="24"/>
                <w:highlight w:val="none"/>
              </w:rPr>
              <w:t xml:space="preserve">          </w:t>
            </w:r>
          </w:p>
          <w:p>
            <w:pPr>
              <w:adjustRightInd w:val="0"/>
              <w:snapToGrid w:val="0"/>
              <w:spacing w:line="360" w:lineRule="auto"/>
              <w:ind w:firstLine="480" w:firstLineChars="200"/>
              <w:rPr>
                <w:rFonts w:ascii="宋体" w:hAnsi="宋体" w:cs="宋体"/>
                <w:bCs/>
                <w:color w:val="auto"/>
                <w:spacing w:val="-10"/>
                <w:szCs w:val="21"/>
                <w:highlight w:val="none"/>
              </w:rPr>
            </w:pPr>
            <w:r>
              <w:rPr>
                <w:rFonts w:hint="eastAsia"/>
                <w:color w:val="auto"/>
                <w:sz w:val="24"/>
                <w:highlight w:val="none"/>
              </w:rPr>
              <w:t>综上，通过采取上述措施后，可以有效减少润滑油和废润滑油对环境造成的影响。</w:t>
            </w:r>
          </w:p>
        </w:tc>
      </w:tr>
    </w:tbl>
    <w:p>
      <w:pPr>
        <w:pStyle w:val="29"/>
        <w:widowControl w:val="0"/>
        <w:adjustRightInd w:val="0"/>
        <w:snapToGrid w:val="0"/>
        <w:spacing w:before="0" w:beforeAutospacing="0" w:after="0" w:afterAutospacing="0"/>
        <w:jc w:val="center"/>
        <w:rPr>
          <w:b/>
          <w:bCs/>
          <w:color w:val="auto"/>
          <w:kern w:val="2"/>
          <w:sz w:val="21"/>
          <w:szCs w:val="21"/>
          <w:highlight w:val="none"/>
        </w:rPr>
        <w:sectPr>
          <w:pgSz w:w="11906" w:h="16838"/>
          <w:pgMar w:top="1701" w:right="1531" w:bottom="1701" w:left="1531" w:header="851" w:footer="851" w:gutter="0"/>
          <w:cols w:space="720" w:num="1"/>
          <w:docGrid w:linePitch="312" w:charSpace="0"/>
        </w:sectPr>
      </w:pPr>
    </w:p>
    <w:p>
      <w:pPr>
        <w:pStyle w:val="29"/>
        <w:widowControl w:val="0"/>
        <w:adjustRightInd w:val="0"/>
        <w:snapToGrid w:val="0"/>
        <w:spacing w:before="0" w:beforeAutospacing="0" w:after="0" w:afterAutospacing="0"/>
        <w:jc w:val="center"/>
        <w:rPr>
          <w:b/>
          <w:bCs/>
          <w:color w:val="auto"/>
          <w:kern w:val="2"/>
          <w:sz w:val="21"/>
          <w:szCs w:val="21"/>
          <w:highlight w:val="none"/>
        </w:rPr>
      </w:pPr>
    </w:p>
    <w:p>
      <w:pPr>
        <w:pStyle w:val="29"/>
        <w:widowControl w:val="0"/>
        <w:adjustRightInd w:val="0"/>
        <w:snapToGrid w:val="0"/>
        <w:spacing w:before="0" w:beforeAutospacing="0" w:after="0" w:afterAutospacing="0"/>
        <w:jc w:val="center"/>
        <w:rPr>
          <w:b/>
          <w:bCs/>
          <w:color w:val="auto"/>
          <w:kern w:val="2"/>
          <w:sz w:val="21"/>
          <w:szCs w:val="21"/>
          <w:highlight w:val="none"/>
        </w:rPr>
      </w:pPr>
    </w:p>
    <w:p>
      <w:pPr>
        <w:pStyle w:val="29"/>
        <w:widowControl w:val="0"/>
        <w:adjustRightInd w:val="0"/>
        <w:snapToGrid w:val="0"/>
        <w:spacing w:before="0" w:beforeAutospacing="0" w:after="0" w:afterAutospacing="0"/>
        <w:jc w:val="center"/>
        <w:rPr>
          <w:b/>
          <w:bCs/>
          <w:color w:val="auto"/>
          <w:kern w:val="2"/>
          <w:sz w:val="21"/>
          <w:szCs w:val="21"/>
          <w:highlight w:val="none"/>
        </w:rPr>
      </w:pPr>
      <w:r>
        <w:rPr>
          <w:rFonts w:hint="eastAsia"/>
          <w:b/>
          <w:bCs/>
          <w:color w:val="auto"/>
          <w:kern w:val="2"/>
          <w:sz w:val="21"/>
          <w:szCs w:val="21"/>
          <w:highlight w:val="none"/>
        </w:rPr>
        <w:t>表</w:t>
      </w:r>
      <w:r>
        <w:rPr>
          <w:rFonts w:hint="eastAsia" w:ascii="Times New Roman" w:hAnsi="Times New Roman"/>
          <w:b/>
          <w:bCs/>
          <w:color w:val="auto"/>
          <w:kern w:val="2"/>
          <w:sz w:val="21"/>
          <w:szCs w:val="21"/>
          <w:highlight w:val="none"/>
        </w:rPr>
        <w:t>4-1</w:t>
      </w:r>
      <w:r>
        <w:rPr>
          <w:rFonts w:hint="eastAsia" w:ascii="Times New Roman" w:hAnsi="Times New Roman"/>
          <w:b/>
          <w:bCs/>
          <w:color w:val="auto"/>
          <w:kern w:val="2"/>
          <w:sz w:val="21"/>
          <w:szCs w:val="21"/>
          <w:highlight w:val="none"/>
          <w:lang w:val="en-US" w:eastAsia="zh-CN"/>
        </w:rPr>
        <w:t>1</w:t>
      </w:r>
      <w:r>
        <w:rPr>
          <w:b/>
          <w:bCs/>
          <w:color w:val="auto"/>
          <w:kern w:val="2"/>
          <w:sz w:val="21"/>
          <w:szCs w:val="21"/>
          <w:highlight w:val="none"/>
        </w:rPr>
        <w:t xml:space="preserve">   </w:t>
      </w:r>
      <w:r>
        <w:rPr>
          <w:rFonts w:hint="eastAsia"/>
          <w:b/>
          <w:bCs/>
          <w:color w:val="auto"/>
          <w:kern w:val="2"/>
          <w:sz w:val="21"/>
          <w:szCs w:val="21"/>
          <w:highlight w:val="none"/>
        </w:rPr>
        <w:t>废气污染源源强核算结果及相关参数一览表</w:t>
      </w:r>
    </w:p>
    <w:tbl>
      <w:tblPr>
        <w:tblStyle w:val="34"/>
        <w:tblW w:w="14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6"/>
        <w:gridCol w:w="712"/>
        <w:gridCol w:w="925"/>
        <w:gridCol w:w="828"/>
        <w:gridCol w:w="1003"/>
        <w:gridCol w:w="970"/>
        <w:gridCol w:w="1107"/>
        <w:gridCol w:w="900"/>
        <w:gridCol w:w="1293"/>
        <w:gridCol w:w="1086"/>
        <w:gridCol w:w="893"/>
        <w:gridCol w:w="1041"/>
        <w:gridCol w:w="1077"/>
        <w:gridCol w:w="966"/>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366" w:type="dxa"/>
            <w:vMerge w:val="restart"/>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生产线</w:t>
            </w:r>
          </w:p>
        </w:tc>
        <w:tc>
          <w:tcPr>
            <w:tcW w:w="712" w:type="dxa"/>
            <w:vMerge w:val="restart"/>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生产</w:t>
            </w:r>
          </w:p>
          <w:p>
            <w:pPr>
              <w:adjustRightInd w:val="0"/>
              <w:snapToGrid w:val="0"/>
              <w:spacing w:line="240" w:lineRule="exact"/>
              <w:jc w:val="center"/>
              <w:rPr>
                <w:color w:val="auto"/>
                <w:szCs w:val="21"/>
                <w:highlight w:val="none"/>
              </w:rPr>
            </w:pPr>
            <w:r>
              <w:rPr>
                <w:color w:val="auto"/>
                <w:szCs w:val="21"/>
                <w:highlight w:val="none"/>
              </w:rPr>
              <w:t>装置</w:t>
            </w:r>
          </w:p>
        </w:tc>
        <w:tc>
          <w:tcPr>
            <w:tcW w:w="925" w:type="dxa"/>
            <w:vMerge w:val="restart"/>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污染源</w:t>
            </w:r>
          </w:p>
        </w:tc>
        <w:tc>
          <w:tcPr>
            <w:tcW w:w="828" w:type="dxa"/>
            <w:vMerge w:val="restart"/>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污染物</w:t>
            </w:r>
          </w:p>
        </w:tc>
        <w:tc>
          <w:tcPr>
            <w:tcW w:w="3980" w:type="dxa"/>
            <w:gridSpan w:val="4"/>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污染物产生</w:t>
            </w:r>
          </w:p>
        </w:tc>
        <w:tc>
          <w:tcPr>
            <w:tcW w:w="2379" w:type="dxa"/>
            <w:gridSpan w:val="2"/>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治理措施</w:t>
            </w:r>
          </w:p>
        </w:tc>
        <w:tc>
          <w:tcPr>
            <w:tcW w:w="3977" w:type="dxa"/>
            <w:gridSpan w:val="4"/>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污染物排放</w:t>
            </w:r>
          </w:p>
        </w:tc>
        <w:tc>
          <w:tcPr>
            <w:tcW w:w="853" w:type="dxa"/>
            <w:vMerge w:val="restart"/>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排放</w:t>
            </w:r>
          </w:p>
          <w:p>
            <w:pPr>
              <w:adjustRightInd w:val="0"/>
              <w:snapToGrid w:val="0"/>
              <w:spacing w:line="240" w:lineRule="exact"/>
              <w:jc w:val="center"/>
              <w:rPr>
                <w:color w:val="auto"/>
                <w:szCs w:val="21"/>
                <w:highlight w:val="none"/>
              </w:rPr>
            </w:pPr>
            <w:r>
              <w:rPr>
                <w:color w:val="auto"/>
                <w:szCs w:val="21"/>
                <w:highlight w:val="none"/>
              </w:rPr>
              <w:t>时间（</w:t>
            </w:r>
            <w:r>
              <w:rPr>
                <w:rFonts w:hint="eastAsia"/>
                <w:color w:val="auto"/>
                <w:szCs w:val="21"/>
                <w:highlight w:val="none"/>
              </w:rPr>
              <w:t>h</w:t>
            </w:r>
            <w:r>
              <w:rPr>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6" w:hRule="atLeast"/>
          <w:jc w:val="center"/>
        </w:trPr>
        <w:tc>
          <w:tcPr>
            <w:tcW w:w="366" w:type="dxa"/>
            <w:vMerge w:val="continue"/>
            <w:tcBorders>
              <w:tl2br w:val="nil"/>
              <w:tr2bl w:val="nil"/>
            </w:tcBorders>
            <w:vAlign w:val="center"/>
          </w:tcPr>
          <w:p>
            <w:pPr>
              <w:widowControl/>
              <w:spacing w:line="240" w:lineRule="exact"/>
              <w:jc w:val="left"/>
              <w:rPr>
                <w:color w:val="auto"/>
                <w:szCs w:val="21"/>
                <w:highlight w:val="none"/>
              </w:rPr>
            </w:pPr>
          </w:p>
        </w:tc>
        <w:tc>
          <w:tcPr>
            <w:tcW w:w="712" w:type="dxa"/>
            <w:vMerge w:val="continue"/>
            <w:tcBorders>
              <w:tl2br w:val="nil"/>
              <w:tr2bl w:val="nil"/>
            </w:tcBorders>
            <w:vAlign w:val="center"/>
          </w:tcPr>
          <w:p>
            <w:pPr>
              <w:widowControl/>
              <w:spacing w:line="240" w:lineRule="exact"/>
              <w:jc w:val="left"/>
              <w:rPr>
                <w:color w:val="auto"/>
                <w:szCs w:val="21"/>
                <w:highlight w:val="none"/>
              </w:rPr>
            </w:pPr>
          </w:p>
        </w:tc>
        <w:tc>
          <w:tcPr>
            <w:tcW w:w="925" w:type="dxa"/>
            <w:vMerge w:val="continue"/>
            <w:tcBorders>
              <w:tl2br w:val="nil"/>
              <w:tr2bl w:val="nil"/>
            </w:tcBorders>
            <w:vAlign w:val="center"/>
          </w:tcPr>
          <w:p>
            <w:pPr>
              <w:widowControl/>
              <w:spacing w:line="240" w:lineRule="exact"/>
              <w:jc w:val="left"/>
              <w:rPr>
                <w:color w:val="auto"/>
                <w:szCs w:val="21"/>
                <w:highlight w:val="none"/>
              </w:rPr>
            </w:pPr>
          </w:p>
        </w:tc>
        <w:tc>
          <w:tcPr>
            <w:tcW w:w="828" w:type="dxa"/>
            <w:vMerge w:val="continue"/>
            <w:tcBorders>
              <w:tl2br w:val="nil"/>
              <w:tr2bl w:val="nil"/>
            </w:tcBorders>
            <w:vAlign w:val="center"/>
          </w:tcPr>
          <w:p>
            <w:pPr>
              <w:widowControl/>
              <w:spacing w:line="240" w:lineRule="exact"/>
              <w:jc w:val="left"/>
              <w:rPr>
                <w:color w:val="auto"/>
                <w:szCs w:val="21"/>
                <w:highlight w:val="none"/>
              </w:rPr>
            </w:pPr>
          </w:p>
        </w:tc>
        <w:tc>
          <w:tcPr>
            <w:tcW w:w="1003"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核算方法</w:t>
            </w:r>
          </w:p>
        </w:tc>
        <w:tc>
          <w:tcPr>
            <w:tcW w:w="970"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产生量（</w:t>
            </w:r>
            <w:r>
              <w:rPr>
                <w:rFonts w:hint="eastAsia"/>
                <w:color w:val="auto"/>
                <w:szCs w:val="21"/>
                <w:highlight w:val="none"/>
              </w:rPr>
              <w:t>t</w:t>
            </w:r>
            <w:r>
              <w:rPr>
                <w:color w:val="auto"/>
                <w:szCs w:val="21"/>
                <w:highlight w:val="none"/>
              </w:rPr>
              <w:t>/a）</w:t>
            </w:r>
          </w:p>
        </w:tc>
        <w:tc>
          <w:tcPr>
            <w:tcW w:w="1107"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产生浓度</w:t>
            </w:r>
          </w:p>
          <w:p>
            <w:pPr>
              <w:adjustRightInd w:val="0"/>
              <w:snapToGrid w:val="0"/>
              <w:spacing w:line="240" w:lineRule="exact"/>
              <w:jc w:val="center"/>
              <w:rPr>
                <w:color w:val="auto"/>
                <w:szCs w:val="21"/>
                <w:highlight w:val="none"/>
              </w:rPr>
            </w:pPr>
            <w:r>
              <w:rPr>
                <w:color w:val="auto"/>
                <w:szCs w:val="21"/>
                <w:highlight w:val="none"/>
              </w:rPr>
              <w:t>（mg/m</w:t>
            </w:r>
            <w:r>
              <w:rPr>
                <w:color w:val="auto"/>
                <w:szCs w:val="21"/>
                <w:highlight w:val="none"/>
                <w:vertAlign w:val="superscript"/>
              </w:rPr>
              <w:t>3</w:t>
            </w:r>
            <w:r>
              <w:rPr>
                <w:color w:val="auto"/>
                <w:szCs w:val="21"/>
                <w:highlight w:val="none"/>
              </w:rPr>
              <w:t>）</w:t>
            </w:r>
          </w:p>
        </w:tc>
        <w:tc>
          <w:tcPr>
            <w:tcW w:w="900"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产生</w:t>
            </w:r>
            <w:r>
              <w:rPr>
                <w:rFonts w:hint="eastAsia"/>
                <w:color w:val="auto"/>
                <w:szCs w:val="21"/>
                <w:highlight w:val="none"/>
              </w:rPr>
              <w:t>速率</w:t>
            </w:r>
            <w:r>
              <w:rPr>
                <w:color w:val="auto"/>
                <w:szCs w:val="21"/>
                <w:highlight w:val="none"/>
              </w:rPr>
              <w:t>（kg/h）</w:t>
            </w:r>
          </w:p>
        </w:tc>
        <w:tc>
          <w:tcPr>
            <w:tcW w:w="1293"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工艺</w:t>
            </w:r>
          </w:p>
        </w:tc>
        <w:tc>
          <w:tcPr>
            <w:tcW w:w="1086"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效率</w:t>
            </w:r>
          </w:p>
        </w:tc>
        <w:tc>
          <w:tcPr>
            <w:tcW w:w="893"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核算方法</w:t>
            </w:r>
          </w:p>
        </w:tc>
        <w:tc>
          <w:tcPr>
            <w:tcW w:w="1041"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排放量（</w:t>
            </w:r>
            <w:r>
              <w:rPr>
                <w:rFonts w:hint="eastAsia"/>
                <w:color w:val="auto"/>
                <w:szCs w:val="21"/>
                <w:highlight w:val="none"/>
              </w:rPr>
              <w:t>t</w:t>
            </w:r>
            <w:r>
              <w:rPr>
                <w:color w:val="auto"/>
                <w:szCs w:val="21"/>
                <w:highlight w:val="none"/>
              </w:rPr>
              <w:t>/a）</w:t>
            </w:r>
          </w:p>
        </w:tc>
        <w:tc>
          <w:tcPr>
            <w:tcW w:w="1077"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排放浓度</w:t>
            </w:r>
          </w:p>
          <w:p>
            <w:pPr>
              <w:adjustRightInd w:val="0"/>
              <w:snapToGrid w:val="0"/>
              <w:spacing w:line="240" w:lineRule="exact"/>
              <w:jc w:val="center"/>
              <w:rPr>
                <w:color w:val="auto"/>
                <w:szCs w:val="21"/>
                <w:highlight w:val="none"/>
              </w:rPr>
            </w:pPr>
            <w:r>
              <w:rPr>
                <w:color w:val="auto"/>
                <w:szCs w:val="21"/>
                <w:highlight w:val="none"/>
              </w:rPr>
              <w:t>（mg/m</w:t>
            </w:r>
            <w:r>
              <w:rPr>
                <w:color w:val="auto"/>
                <w:szCs w:val="21"/>
                <w:highlight w:val="none"/>
                <w:vertAlign w:val="superscript"/>
              </w:rPr>
              <w:t>3</w:t>
            </w:r>
            <w:r>
              <w:rPr>
                <w:color w:val="auto"/>
                <w:szCs w:val="21"/>
                <w:highlight w:val="none"/>
              </w:rPr>
              <w:t>）</w:t>
            </w:r>
          </w:p>
        </w:tc>
        <w:tc>
          <w:tcPr>
            <w:tcW w:w="966"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排放</w:t>
            </w:r>
            <w:r>
              <w:rPr>
                <w:rFonts w:hint="eastAsia"/>
                <w:color w:val="auto"/>
                <w:szCs w:val="21"/>
                <w:highlight w:val="none"/>
              </w:rPr>
              <w:t>速率</w:t>
            </w:r>
          </w:p>
          <w:p>
            <w:pPr>
              <w:adjustRightInd w:val="0"/>
              <w:snapToGrid w:val="0"/>
              <w:spacing w:line="240" w:lineRule="exact"/>
              <w:jc w:val="center"/>
              <w:rPr>
                <w:color w:val="auto"/>
                <w:szCs w:val="21"/>
                <w:highlight w:val="none"/>
              </w:rPr>
            </w:pPr>
            <w:r>
              <w:rPr>
                <w:color w:val="auto"/>
                <w:szCs w:val="21"/>
                <w:highlight w:val="none"/>
              </w:rPr>
              <w:t>（</w:t>
            </w:r>
            <w:r>
              <w:rPr>
                <w:rFonts w:hint="eastAsia"/>
                <w:color w:val="auto"/>
                <w:szCs w:val="21"/>
                <w:highlight w:val="none"/>
              </w:rPr>
              <w:t>kg</w:t>
            </w:r>
            <w:r>
              <w:rPr>
                <w:color w:val="auto"/>
                <w:szCs w:val="21"/>
                <w:highlight w:val="none"/>
              </w:rPr>
              <w:t>/h）</w:t>
            </w:r>
          </w:p>
        </w:tc>
        <w:tc>
          <w:tcPr>
            <w:tcW w:w="853" w:type="dxa"/>
            <w:vMerge w:val="continue"/>
            <w:tcBorders>
              <w:tl2br w:val="nil"/>
              <w:tr2bl w:val="nil"/>
            </w:tcBorders>
            <w:vAlign w:val="center"/>
          </w:tcPr>
          <w:p>
            <w:pPr>
              <w:widowControl/>
              <w:spacing w:line="240" w:lineRule="exact"/>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366" w:type="dxa"/>
            <w:vMerge w:val="continue"/>
            <w:tcBorders>
              <w:tl2br w:val="nil"/>
              <w:tr2bl w:val="nil"/>
            </w:tcBorders>
            <w:vAlign w:val="center"/>
          </w:tcPr>
          <w:p>
            <w:pPr>
              <w:widowControl/>
              <w:spacing w:line="240" w:lineRule="exact"/>
              <w:jc w:val="left"/>
              <w:rPr>
                <w:color w:val="auto"/>
                <w:szCs w:val="21"/>
                <w:highlight w:val="none"/>
              </w:rPr>
            </w:pPr>
          </w:p>
        </w:tc>
        <w:tc>
          <w:tcPr>
            <w:tcW w:w="712"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装卸</w:t>
            </w:r>
          </w:p>
        </w:tc>
        <w:tc>
          <w:tcPr>
            <w:tcW w:w="925"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无组织</w:t>
            </w:r>
          </w:p>
        </w:tc>
        <w:tc>
          <w:tcPr>
            <w:tcW w:w="828" w:type="dxa"/>
            <w:vMerge w:val="restart"/>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颗粒物</w:t>
            </w:r>
          </w:p>
        </w:tc>
        <w:tc>
          <w:tcPr>
            <w:tcW w:w="1003"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产污</w:t>
            </w:r>
          </w:p>
          <w:p>
            <w:pPr>
              <w:adjustRightInd w:val="0"/>
              <w:snapToGrid w:val="0"/>
              <w:spacing w:line="240" w:lineRule="exact"/>
              <w:jc w:val="center"/>
              <w:rPr>
                <w:color w:val="auto"/>
                <w:szCs w:val="21"/>
                <w:highlight w:val="none"/>
              </w:rPr>
            </w:pPr>
            <w:r>
              <w:rPr>
                <w:rFonts w:hint="eastAsia"/>
                <w:color w:val="auto"/>
                <w:szCs w:val="21"/>
                <w:highlight w:val="none"/>
              </w:rPr>
              <w:t>系数法</w:t>
            </w:r>
          </w:p>
        </w:tc>
        <w:tc>
          <w:tcPr>
            <w:tcW w:w="970"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highlight w:val="none"/>
              </w:rPr>
              <w:t>0.18</w:t>
            </w:r>
          </w:p>
        </w:tc>
        <w:tc>
          <w:tcPr>
            <w:tcW w:w="1107"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w:t>
            </w:r>
          </w:p>
        </w:tc>
        <w:tc>
          <w:tcPr>
            <w:tcW w:w="900"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w:t>
            </w:r>
          </w:p>
        </w:tc>
        <w:tc>
          <w:tcPr>
            <w:tcW w:w="1293"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半封闭车间内，合理控制</w:t>
            </w:r>
            <w:r>
              <w:rPr>
                <w:rFonts w:hint="eastAsia"/>
                <w:color w:val="auto"/>
                <w:szCs w:val="21"/>
                <w:highlight w:val="none"/>
              </w:rPr>
              <w:t>卸料</w:t>
            </w:r>
            <w:r>
              <w:rPr>
                <w:color w:val="auto"/>
                <w:szCs w:val="21"/>
                <w:highlight w:val="none"/>
              </w:rPr>
              <w:t>高度</w:t>
            </w:r>
            <w:r>
              <w:rPr>
                <w:rFonts w:hint="eastAsia"/>
                <w:color w:val="auto"/>
                <w:szCs w:val="21"/>
                <w:highlight w:val="none"/>
              </w:rPr>
              <w:t>并及时喷洒水</w:t>
            </w:r>
          </w:p>
        </w:tc>
        <w:tc>
          <w:tcPr>
            <w:tcW w:w="1086"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kern w:val="0"/>
                <w:szCs w:val="21"/>
                <w:highlight w:val="none"/>
              </w:rPr>
              <w:t>80</w:t>
            </w:r>
            <w:r>
              <w:rPr>
                <w:color w:val="auto"/>
                <w:szCs w:val="21"/>
                <w:highlight w:val="none"/>
              </w:rPr>
              <w:t>%</w:t>
            </w:r>
          </w:p>
        </w:tc>
        <w:tc>
          <w:tcPr>
            <w:tcW w:w="893" w:type="dxa"/>
            <w:vMerge w:val="restart"/>
            <w:tcBorders>
              <w:tl2br w:val="nil"/>
              <w:tr2bl w:val="nil"/>
            </w:tcBorders>
            <w:vAlign w:val="center"/>
          </w:tcPr>
          <w:p>
            <w:pPr>
              <w:adjustRightInd w:val="0"/>
              <w:snapToGrid w:val="0"/>
              <w:spacing w:line="240" w:lineRule="exact"/>
              <w:jc w:val="center"/>
              <w:rPr>
                <w:color w:val="auto"/>
                <w:kern w:val="0"/>
                <w:szCs w:val="21"/>
                <w:highlight w:val="none"/>
              </w:rPr>
            </w:pPr>
            <w:r>
              <w:rPr>
                <w:color w:val="auto"/>
                <w:kern w:val="0"/>
                <w:szCs w:val="21"/>
                <w:highlight w:val="none"/>
              </w:rPr>
              <w:t>物料</w:t>
            </w:r>
          </w:p>
          <w:p>
            <w:pPr>
              <w:adjustRightInd w:val="0"/>
              <w:snapToGrid w:val="0"/>
              <w:spacing w:line="240" w:lineRule="exact"/>
              <w:jc w:val="center"/>
              <w:rPr>
                <w:color w:val="auto"/>
                <w:szCs w:val="21"/>
                <w:highlight w:val="none"/>
              </w:rPr>
            </w:pPr>
            <w:r>
              <w:rPr>
                <w:color w:val="auto"/>
                <w:kern w:val="0"/>
                <w:szCs w:val="21"/>
                <w:highlight w:val="none"/>
              </w:rPr>
              <w:t>衡算法</w:t>
            </w:r>
          </w:p>
        </w:tc>
        <w:tc>
          <w:tcPr>
            <w:tcW w:w="1041"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0.03</w:t>
            </w:r>
          </w:p>
        </w:tc>
        <w:tc>
          <w:tcPr>
            <w:tcW w:w="1077"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w:t>
            </w:r>
          </w:p>
        </w:tc>
        <w:tc>
          <w:tcPr>
            <w:tcW w:w="966"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w:t>
            </w:r>
          </w:p>
        </w:tc>
        <w:tc>
          <w:tcPr>
            <w:tcW w:w="853"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366" w:type="dxa"/>
            <w:vMerge w:val="continue"/>
            <w:tcBorders>
              <w:tl2br w:val="nil"/>
              <w:tr2bl w:val="nil"/>
            </w:tcBorders>
            <w:vAlign w:val="center"/>
          </w:tcPr>
          <w:p>
            <w:pPr>
              <w:widowControl/>
              <w:spacing w:line="240" w:lineRule="exact"/>
              <w:jc w:val="left"/>
              <w:rPr>
                <w:color w:val="auto"/>
                <w:szCs w:val="21"/>
                <w:highlight w:val="none"/>
              </w:rPr>
            </w:pPr>
          </w:p>
        </w:tc>
        <w:tc>
          <w:tcPr>
            <w:tcW w:w="712"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筛分</w:t>
            </w:r>
          </w:p>
        </w:tc>
        <w:tc>
          <w:tcPr>
            <w:tcW w:w="925"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无组织</w:t>
            </w:r>
          </w:p>
        </w:tc>
        <w:tc>
          <w:tcPr>
            <w:tcW w:w="828" w:type="dxa"/>
            <w:vMerge w:val="continue"/>
            <w:tcBorders>
              <w:tl2br w:val="nil"/>
              <w:tr2bl w:val="nil"/>
            </w:tcBorders>
            <w:vAlign w:val="center"/>
          </w:tcPr>
          <w:p>
            <w:pPr>
              <w:adjustRightInd w:val="0"/>
              <w:snapToGrid w:val="0"/>
              <w:spacing w:line="240" w:lineRule="exact"/>
              <w:jc w:val="center"/>
              <w:rPr>
                <w:color w:val="auto"/>
                <w:szCs w:val="21"/>
                <w:highlight w:val="none"/>
              </w:rPr>
            </w:pPr>
          </w:p>
        </w:tc>
        <w:tc>
          <w:tcPr>
            <w:tcW w:w="1003"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产污</w:t>
            </w:r>
          </w:p>
          <w:p>
            <w:pPr>
              <w:adjustRightInd w:val="0"/>
              <w:snapToGrid w:val="0"/>
              <w:spacing w:line="240" w:lineRule="exact"/>
              <w:jc w:val="center"/>
              <w:rPr>
                <w:color w:val="auto"/>
                <w:szCs w:val="21"/>
                <w:highlight w:val="none"/>
              </w:rPr>
            </w:pPr>
            <w:r>
              <w:rPr>
                <w:rFonts w:hint="eastAsia"/>
                <w:color w:val="auto"/>
                <w:szCs w:val="21"/>
                <w:highlight w:val="none"/>
              </w:rPr>
              <w:t>系数法</w:t>
            </w:r>
          </w:p>
        </w:tc>
        <w:tc>
          <w:tcPr>
            <w:tcW w:w="970" w:type="dxa"/>
            <w:tcBorders>
              <w:tl2br w:val="nil"/>
              <w:tr2bl w:val="nil"/>
            </w:tcBorders>
            <w:vAlign w:val="center"/>
          </w:tcPr>
          <w:p>
            <w:pPr>
              <w:adjustRightInd w:val="0"/>
              <w:snapToGrid w:val="0"/>
              <w:spacing w:line="240" w:lineRule="exact"/>
              <w:jc w:val="center"/>
              <w:rPr>
                <w:color w:val="auto"/>
                <w:highlight w:val="none"/>
              </w:rPr>
            </w:pPr>
            <w:r>
              <w:rPr>
                <w:rFonts w:hint="eastAsia"/>
                <w:color w:val="auto"/>
                <w:highlight w:val="none"/>
              </w:rPr>
              <w:t>378</w:t>
            </w:r>
          </w:p>
        </w:tc>
        <w:tc>
          <w:tcPr>
            <w:tcW w:w="1107" w:type="dxa"/>
            <w:tcBorders>
              <w:tl2br w:val="nil"/>
              <w:tr2bl w:val="nil"/>
            </w:tcBorders>
            <w:vAlign w:val="center"/>
          </w:tcPr>
          <w:p>
            <w:pPr>
              <w:adjustRightInd w:val="0"/>
              <w:snapToGrid w:val="0"/>
              <w:spacing w:line="240" w:lineRule="exact"/>
              <w:jc w:val="center"/>
              <w:rPr>
                <w:color w:val="auto"/>
                <w:szCs w:val="21"/>
                <w:highlight w:val="none"/>
              </w:rPr>
            </w:pPr>
          </w:p>
        </w:tc>
        <w:tc>
          <w:tcPr>
            <w:tcW w:w="900" w:type="dxa"/>
            <w:tcBorders>
              <w:tl2br w:val="nil"/>
              <w:tr2bl w:val="nil"/>
            </w:tcBorders>
            <w:vAlign w:val="center"/>
          </w:tcPr>
          <w:p>
            <w:pPr>
              <w:adjustRightInd w:val="0"/>
              <w:snapToGrid w:val="0"/>
              <w:spacing w:line="240" w:lineRule="exact"/>
              <w:jc w:val="center"/>
              <w:rPr>
                <w:color w:val="auto"/>
                <w:szCs w:val="21"/>
                <w:highlight w:val="none"/>
              </w:rPr>
            </w:pPr>
          </w:p>
        </w:tc>
        <w:tc>
          <w:tcPr>
            <w:tcW w:w="1293" w:type="dxa"/>
            <w:tcBorders>
              <w:tl2br w:val="nil"/>
              <w:tr2bl w:val="nil"/>
            </w:tcBorders>
            <w:vAlign w:val="center"/>
          </w:tcPr>
          <w:p>
            <w:pPr>
              <w:adjustRightInd w:val="0"/>
              <w:snapToGrid w:val="0"/>
              <w:spacing w:line="240" w:lineRule="exact"/>
              <w:jc w:val="center"/>
              <w:rPr>
                <w:color w:val="auto"/>
                <w:szCs w:val="21"/>
                <w:highlight w:val="none"/>
              </w:rPr>
            </w:pPr>
            <w:r>
              <w:rPr>
                <w:color w:val="auto"/>
                <w:kern w:val="0"/>
                <w:szCs w:val="21"/>
                <w:highlight w:val="none"/>
              </w:rPr>
              <w:t>湿法作业</w:t>
            </w:r>
            <w:r>
              <w:rPr>
                <w:rFonts w:hint="eastAsia"/>
                <w:color w:val="auto"/>
                <w:kern w:val="0"/>
                <w:szCs w:val="21"/>
                <w:highlight w:val="none"/>
              </w:rPr>
              <w:t>除尘</w:t>
            </w:r>
            <w:r>
              <w:rPr>
                <w:rFonts w:hint="eastAsia"/>
                <w:color w:val="auto"/>
                <w:kern w:val="0"/>
                <w:szCs w:val="21"/>
                <w:highlight w:val="none"/>
                <w:lang w:val="en-US" w:eastAsia="zh-CN"/>
              </w:rPr>
              <w:t>+</w:t>
            </w:r>
            <w:r>
              <w:rPr>
                <w:color w:val="auto"/>
                <w:kern w:val="0"/>
                <w:szCs w:val="21"/>
                <w:highlight w:val="none"/>
              </w:rPr>
              <w:t>厂房</w:t>
            </w:r>
            <w:r>
              <w:rPr>
                <w:rFonts w:hint="eastAsia"/>
                <w:color w:val="auto"/>
                <w:kern w:val="0"/>
                <w:szCs w:val="21"/>
                <w:highlight w:val="none"/>
              </w:rPr>
              <w:t>阻隔+</w:t>
            </w:r>
            <w:r>
              <w:rPr>
                <w:color w:val="auto"/>
                <w:highlight w:val="none"/>
              </w:rPr>
              <w:t>喷雾除尘</w:t>
            </w:r>
          </w:p>
        </w:tc>
        <w:tc>
          <w:tcPr>
            <w:tcW w:w="1086" w:type="dxa"/>
            <w:tcBorders>
              <w:tl2br w:val="nil"/>
              <w:tr2bl w:val="nil"/>
            </w:tcBorders>
            <w:vAlign w:val="center"/>
          </w:tcPr>
          <w:p>
            <w:pPr>
              <w:adjustRightInd w:val="0"/>
              <w:snapToGrid w:val="0"/>
              <w:spacing w:line="240" w:lineRule="exact"/>
              <w:jc w:val="center"/>
              <w:rPr>
                <w:rFonts w:hint="default"/>
                <w:color w:val="auto"/>
                <w:kern w:val="0"/>
                <w:szCs w:val="21"/>
                <w:highlight w:val="none"/>
                <w:lang w:val="en-US" w:eastAsia="zh-CN"/>
              </w:rPr>
            </w:pPr>
            <w:r>
              <w:rPr>
                <w:rFonts w:hint="eastAsia"/>
                <w:color w:val="auto"/>
                <w:kern w:val="0"/>
                <w:szCs w:val="21"/>
                <w:highlight w:val="none"/>
                <w:lang w:val="en-US" w:eastAsia="zh-CN"/>
              </w:rPr>
              <w:t>湿法作业90%、</w:t>
            </w:r>
          </w:p>
          <w:p>
            <w:pPr>
              <w:adjustRightInd w:val="0"/>
              <w:snapToGrid w:val="0"/>
              <w:spacing w:line="240" w:lineRule="exact"/>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厂房阻隔60%、喷雾除尘</w:t>
            </w:r>
            <w:r>
              <w:rPr>
                <w:rFonts w:hint="eastAsia"/>
                <w:color w:val="auto"/>
                <w:kern w:val="0"/>
                <w:szCs w:val="21"/>
                <w:highlight w:val="none"/>
              </w:rPr>
              <w:t>90</w:t>
            </w:r>
            <w:r>
              <w:rPr>
                <w:rFonts w:hint="eastAsia"/>
                <w:color w:val="auto"/>
                <w:kern w:val="0"/>
                <w:szCs w:val="21"/>
                <w:highlight w:val="none"/>
                <w:lang w:val="en-US" w:eastAsia="zh-CN"/>
              </w:rPr>
              <w:t>%</w:t>
            </w:r>
          </w:p>
        </w:tc>
        <w:tc>
          <w:tcPr>
            <w:tcW w:w="893" w:type="dxa"/>
            <w:vMerge w:val="continue"/>
            <w:tcBorders>
              <w:tl2br w:val="nil"/>
              <w:tr2bl w:val="nil"/>
            </w:tcBorders>
            <w:vAlign w:val="center"/>
          </w:tcPr>
          <w:p>
            <w:pPr>
              <w:adjustRightInd w:val="0"/>
              <w:snapToGrid w:val="0"/>
              <w:spacing w:line="240" w:lineRule="exact"/>
              <w:jc w:val="center"/>
              <w:rPr>
                <w:color w:val="auto"/>
                <w:kern w:val="0"/>
                <w:szCs w:val="21"/>
                <w:highlight w:val="none"/>
              </w:rPr>
            </w:pPr>
          </w:p>
        </w:tc>
        <w:tc>
          <w:tcPr>
            <w:tcW w:w="1041"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1.51</w:t>
            </w:r>
          </w:p>
        </w:tc>
        <w:tc>
          <w:tcPr>
            <w:tcW w:w="1077" w:type="dxa"/>
            <w:tcBorders>
              <w:tl2br w:val="nil"/>
              <w:tr2bl w:val="nil"/>
            </w:tcBorders>
            <w:vAlign w:val="center"/>
          </w:tcPr>
          <w:p>
            <w:pPr>
              <w:adjustRightInd w:val="0"/>
              <w:snapToGrid w:val="0"/>
              <w:spacing w:line="240" w:lineRule="exact"/>
              <w:jc w:val="center"/>
              <w:rPr>
                <w:color w:val="auto"/>
                <w:szCs w:val="21"/>
                <w:highlight w:val="none"/>
              </w:rPr>
            </w:pPr>
          </w:p>
        </w:tc>
        <w:tc>
          <w:tcPr>
            <w:tcW w:w="966" w:type="dxa"/>
            <w:tcBorders>
              <w:tl2br w:val="nil"/>
              <w:tr2bl w:val="nil"/>
            </w:tcBorders>
            <w:vAlign w:val="center"/>
          </w:tcPr>
          <w:p>
            <w:pPr>
              <w:adjustRightInd w:val="0"/>
              <w:snapToGrid w:val="0"/>
              <w:spacing w:line="240" w:lineRule="exact"/>
              <w:jc w:val="center"/>
              <w:rPr>
                <w:color w:val="auto"/>
                <w:szCs w:val="21"/>
                <w:highlight w:val="none"/>
              </w:rPr>
            </w:pPr>
          </w:p>
        </w:tc>
        <w:tc>
          <w:tcPr>
            <w:tcW w:w="853"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jc w:val="center"/>
        </w:trPr>
        <w:tc>
          <w:tcPr>
            <w:tcW w:w="366" w:type="dxa"/>
            <w:vMerge w:val="continue"/>
            <w:tcBorders>
              <w:tl2br w:val="nil"/>
              <w:tr2bl w:val="nil"/>
            </w:tcBorders>
            <w:vAlign w:val="center"/>
          </w:tcPr>
          <w:p>
            <w:pPr>
              <w:widowControl/>
              <w:spacing w:line="240" w:lineRule="exact"/>
              <w:jc w:val="left"/>
              <w:rPr>
                <w:color w:val="auto"/>
                <w:szCs w:val="21"/>
                <w:highlight w:val="none"/>
              </w:rPr>
            </w:pPr>
          </w:p>
        </w:tc>
        <w:tc>
          <w:tcPr>
            <w:tcW w:w="712"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运输</w:t>
            </w:r>
          </w:p>
        </w:tc>
        <w:tc>
          <w:tcPr>
            <w:tcW w:w="925"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无组织</w:t>
            </w:r>
          </w:p>
        </w:tc>
        <w:tc>
          <w:tcPr>
            <w:tcW w:w="828" w:type="dxa"/>
            <w:vMerge w:val="continue"/>
            <w:tcBorders>
              <w:tl2br w:val="nil"/>
              <w:tr2bl w:val="nil"/>
            </w:tcBorders>
            <w:vAlign w:val="center"/>
          </w:tcPr>
          <w:p>
            <w:pPr>
              <w:adjustRightInd w:val="0"/>
              <w:snapToGrid w:val="0"/>
              <w:spacing w:line="240" w:lineRule="exact"/>
              <w:rPr>
                <w:color w:val="auto"/>
                <w:szCs w:val="21"/>
                <w:highlight w:val="none"/>
              </w:rPr>
            </w:pPr>
          </w:p>
        </w:tc>
        <w:tc>
          <w:tcPr>
            <w:tcW w:w="1003"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类比法</w:t>
            </w:r>
          </w:p>
        </w:tc>
        <w:tc>
          <w:tcPr>
            <w:tcW w:w="970"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0.7</w:t>
            </w:r>
          </w:p>
        </w:tc>
        <w:tc>
          <w:tcPr>
            <w:tcW w:w="1107"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w:t>
            </w:r>
          </w:p>
        </w:tc>
        <w:tc>
          <w:tcPr>
            <w:tcW w:w="900"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w:t>
            </w:r>
          </w:p>
        </w:tc>
        <w:tc>
          <w:tcPr>
            <w:tcW w:w="1293"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车辆冲洗、洒水抑尘</w:t>
            </w:r>
          </w:p>
        </w:tc>
        <w:tc>
          <w:tcPr>
            <w:tcW w:w="1086"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kern w:val="0"/>
                <w:szCs w:val="21"/>
                <w:highlight w:val="none"/>
              </w:rPr>
              <w:t>80</w:t>
            </w:r>
            <w:r>
              <w:rPr>
                <w:color w:val="auto"/>
                <w:szCs w:val="21"/>
                <w:highlight w:val="none"/>
              </w:rPr>
              <w:t>%</w:t>
            </w:r>
          </w:p>
        </w:tc>
        <w:tc>
          <w:tcPr>
            <w:tcW w:w="893" w:type="dxa"/>
            <w:vMerge w:val="continue"/>
            <w:tcBorders>
              <w:tl2br w:val="nil"/>
              <w:tr2bl w:val="nil"/>
            </w:tcBorders>
            <w:vAlign w:val="center"/>
          </w:tcPr>
          <w:p>
            <w:pPr>
              <w:adjustRightInd w:val="0"/>
              <w:snapToGrid w:val="0"/>
              <w:spacing w:line="240" w:lineRule="exact"/>
              <w:jc w:val="center"/>
              <w:rPr>
                <w:color w:val="auto"/>
                <w:szCs w:val="21"/>
                <w:highlight w:val="none"/>
              </w:rPr>
            </w:pPr>
          </w:p>
        </w:tc>
        <w:tc>
          <w:tcPr>
            <w:tcW w:w="1041"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0.14</w:t>
            </w:r>
          </w:p>
        </w:tc>
        <w:tc>
          <w:tcPr>
            <w:tcW w:w="1077"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w:t>
            </w:r>
          </w:p>
        </w:tc>
        <w:tc>
          <w:tcPr>
            <w:tcW w:w="966" w:type="dxa"/>
            <w:tcBorders>
              <w:tl2br w:val="nil"/>
              <w:tr2bl w:val="nil"/>
            </w:tcBorders>
            <w:vAlign w:val="center"/>
          </w:tcPr>
          <w:p>
            <w:pPr>
              <w:adjustRightInd w:val="0"/>
              <w:snapToGrid w:val="0"/>
              <w:spacing w:line="240" w:lineRule="exact"/>
              <w:jc w:val="center"/>
              <w:rPr>
                <w:color w:val="auto"/>
                <w:szCs w:val="21"/>
                <w:highlight w:val="none"/>
              </w:rPr>
            </w:pPr>
            <w:r>
              <w:rPr>
                <w:color w:val="auto"/>
                <w:szCs w:val="21"/>
                <w:highlight w:val="none"/>
              </w:rPr>
              <w:t>/</w:t>
            </w:r>
          </w:p>
        </w:tc>
        <w:tc>
          <w:tcPr>
            <w:tcW w:w="853" w:type="dxa"/>
            <w:tcBorders>
              <w:tl2br w:val="nil"/>
              <w:tr2bl w:val="nil"/>
            </w:tcBorders>
            <w:vAlign w:val="center"/>
          </w:tcPr>
          <w:p>
            <w:pPr>
              <w:adjustRightInd w:val="0"/>
              <w:snapToGrid w:val="0"/>
              <w:spacing w:line="240" w:lineRule="exact"/>
              <w:jc w:val="center"/>
              <w:rPr>
                <w:color w:val="auto"/>
                <w:szCs w:val="21"/>
                <w:highlight w:val="none"/>
              </w:rPr>
            </w:pPr>
            <w:r>
              <w:rPr>
                <w:rFonts w:hint="eastAsia"/>
                <w:color w:val="auto"/>
                <w:szCs w:val="21"/>
                <w:highlight w:val="none"/>
              </w:rPr>
              <w:t>2400</w:t>
            </w:r>
          </w:p>
        </w:tc>
      </w:tr>
    </w:tbl>
    <w:p>
      <w:pPr>
        <w:pStyle w:val="29"/>
        <w:widowControl w:val="0"/>
        <w:adjustRightInd w:val="0"/>
        <w:snapToGrid w:val="0"/>
        <w:spacing w:before="0" w:beforeAutospacing="0" w:after="0" w:afterAutospacing="0"/>
        <w:jc w:val="center"/>
        <w:rPr>
          <w:b/>
          <w:bCs/>
          <w:color w:val="auto"/>
          <w:kern w:val="2"/>
          <w:sz w:val="21"/>
          <w:szCs w:val="21"/>
          <w:highlight w:val="none"/>
        </w:rPr>
      </w:pPr>
    </w:p>
    <w:p>
      <w:pPr>
        <w:pStyle w:val="29"/>
        <w:widowControl w:val="0"/>
        <w:adjustRightInd w:val="0"/>
        <w:snapToGrid w:val="0"/>
        <w:spacing w:before="0" w:beforeAutospacing="0" w:after="0" w:afterAutospacing="0"/>
        <w:jc w:val="center"/>
        <w:rPr>
          <w:b/>
          <w:bCs/>
          <w:color w:val="auto"/>
          <w:kern w:val="2"/>
          <w:sz w:val="21"/>
          <w:szCs w:val="21"/>
          <w:highlight w:val="none"/>
        </w:rPr>
      </w:pPr>
    </w:p>
    <w:p>
      <w:pPr>
        <w:pStyle w:val="29"/>
        <w:widowControl w:val="0"/>
        <w:adjustRightInd w:val="0"/>
        <w:snapToGrid w:val="0"/>
        <w:spacing w:before="0" w:beforeAutospacing="0" w:after="0" w:afterAutospacing="0"/>
        <w:jc w:val="center"/>
        <w:rPr>
          <w:b/>
          <w:bCs/>
          <w:color w:val="auto"/>
          <w:kern w:val="2"/>
          <w:sz w:val="21"/>
          <w:szCs w:val="21"/>
          <w:highlight w:val="none"/>
        </w:rPr>
      </w:pPr>
    </w:p>
    <w:p>
      <w:pPr>
        <w:pStyle w:val="29"/>
        <w:widowControl w:val="0"/>
        <w:adjustRightInd w:val="0"/>
        <w:snapToGrid w:val="0"/>
        <w:spacing w:before="0" w:beforeAutospacing="0" w:after="0" w:afterAutospacing="0"/>
        <w:jc w:val="center"/>
        <w:rPr>
          <w:b/>
          <w:bCs/>
          <w:color w:val="auto"/>
          <w:kern w:val="2"/>
          <w:sz w:val="21"/>
          <w:szCs w:val="21"/>
          <w:highlight w:val="none"/>
        </w:rPr>
      </w:pPr>
    </w:p>
    <w:p>
      <w:pPr>
        <w:pStyle w:val="29"/>
        <w:widowControl w:val="0"/>
        <w:adjustRightInd w:val="0"/>
        <w:snapToGrid w:val="0"/>
        <w:spacing w:before="0" w:beforeAutospacing="0" w:after="0" w:afterAutospacing="0"/>
        <w:jc w:val="center"/>
        <w:rPr>
          <w:b/>
          <w:bCs/>
          <w:color w:val="auto"/>
          <w:kern w:val="2"/>
          <w:sz w:val="21"/>
          <w:szCs w:val="21"/>
          <w:highlight w:val="none"/>
        </w:rPr>
      </w:pPr>
    </w:p>
    <w:p>
      <w:pPr>
        <w:pStyle w:val="29"/>
        <w:adjustRightInd w:val="0"/>
        <w:snapToGrid w:val="0"/>
        <w:spacing w:before="0" w:beforeAutospacing="0" w:after="0" w:afterAutospacing="0" w:line="360" w:lineRule="auto"/>
        <w:jc w:val="center"/>
        <w:outlineLvl w:val="0"/>
        <w:rPr>
          <w:rFonts w:ascii="黑体" w:hAnsi="黑体" w:eastAsia="黑体"/>
          <w:snapToGrid w:val="0"/>
          <w:color w:val="auto"/>
          <w:sz w:val="30"/>
          <w:szCs w:val="30"/>
          <w:highlight w:val="none"/>
        </w:rPr>
        <w:sectPr>
          <w:pgSz w:w="16838" w:h="11906" w:orient="landscape"/>
          <w:pgMar w:top="1531" w:right="1701" w:bottom="1531" w:left="1701" w:header="851" w:footer="851" w:gutter="0"/>
          <w:cols w:space="720" w:num="1"/>
          <w:docGrid w:linePitch="312" w:charSpace="0"/>
        </w:sectPr>
      </w:pPr>
    </w:p>
    <w:p>
      <w:pPr>
        <w:pStyle w:val="29"/>
        <w:adjustRightInd w:val="0"/>
        <w:snapToGrid w:val="0"/>
        <w:spacing w:before="0" w:beforeAutospacing="0" w:after="0" w:afterAutospacing="0" w:line="360" w:lineRule="auto"/>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五、</w:t>
      </w:r>
      <w:bookmarkStart w:id="5" w:name="_Hlk54167917"/>
      <w:r>
        <w:rPr>
          <w:rFonts w:hint="eastAsia" w:ascii="黑体" w:hAnsi="黑体" w:eastAsia="黑体"/>
          <w:snapToGrid w:val="0"/>
          <w:color w:val="auto"/>
          <w:sz w:val="30"/>
          <w:szCs w:val="30"/>
          <w:highlight w:val="none"/>
        </w:rPr>
        <w:t>环境保护措施监督检查清单</w:t>
      </w:r>
      <w:bookmarkEnd w:id="5"/>
    </w:p>
    <w:tbl>
      <w:tblPr>
        <w:tblStyle w:val="34"/>
        <w:tblW w:w="91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575"/>
        <w:gridCol w:w="1088"/>
        <w:gridCol w:w="2895"/>
        <w:gridCol w:w="20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tcBorders>
              <w:tl2br w:val="single" w:color="auto" w:sz="4" w:space="0"/>
            </w:tcBorders>
          </w:tcPr>
          <w:p>
            <w:pPr>
              <w:adjustRightInd w:val="0"/>
              <w:snapToGrid w:val="0"/>
              <w:jc w:val="center"/>
              <w:rPr>
                <w:color w:val="auto"/>
                <w:szCs w:val="21"/>
                <w:highlight w:val="none"/>
              </w:rPr>
            </w:pPr>
            <w:r>
              <w:rPr>
                <w:color w:val="auto"/>
                <w:szCs w:val="21"/>
                <w:highlight w:val="none"/>
              </w:rPr>
              <w:t>内容</w:t>
            </w:r>
          </w:p>
          <w:p>
            <w:pPr>
              <w:adjustRightInd w:val="0"/>
              <w:snapToGrid w:val="0"/>
              <w:rPr>
                <w:color w:val="auto"/>
                <w:szCs w:val="21"/>
                <w:highlight w:val="none"/>
              </w:rPr>
            </w:pPr>
            <w:r>
              <w:rPr>
                <w:rFonts w:hint="eastAsia"/>
                <w:color w:val="auto"/>
                <w:szCs w:val="21"/>
                <w:highlight w:val="none"/>
              </w:rPr>
              <w:t>要素</w:t>
            </w:r>
          </w:p>
        </w:tc>
        <w:tc>
          <w:tcPr>
            <w:tcW w:w="1575" w:type="dxa"/>
            <w:vAlign w:val="center"/>
          </w:tcPr>
          <w:p>
            <w:pPr>
              <w:adjustRightInd w:val="0"/>
              <w:snapToGrid w:val="0"/>
              <w:jc w:val="center"/>
              <w:rPr>
                <w:color w:val="auto"/>
                <w:szCs w:val="21"/>
                <w:highlight w:val="none"/>
              </w:rPr>
            </w:pPr>
            <w:r>
              <w:rPr>
                <w:color w:val="auto"/>
                <w:szCs w:val="21"/>
                <w:highlight w:val="none"/>
              </w:rPr>
              <w:t>排放口(编号、</w:t>
            </w:r>
          </w:p>
          <w:p>
            <w:pPr>
              <w:adjustRightInd w:val="0"/>
              <w:snapToGrid w:val="0"/>
              <w:jc w:val="center"/>
              <w:rPr>
                <w:color w:val="auto"/>
                <w:szCs w:val="21"/>
                <w:highlight w:val="none"/>
              </w:rPr>
            </w:pPr>
            <w:r>
              <w:rPr>
                <w:color w:val="auto"/>
                <w:szCs w:val="21"/>
                <w:highlight w:val="none"/>
              </w:rPr>
              <w:t>名称)/污染源</w:t>
            </w:r>
          </w:p>
        </w:tc>
        <w:tc>
          <w:tcPr>
            <w:tcW w:w="1088" w:type="dxa"/>
            <w:vAlign w:val="center"/>
          </w:tcPr>
          <w:p>
            <w:pPr>
              <w:adjustRightInd w:val="0"/>
              <w:snapToGrid w:val="0"/>
              <w:jc w:val="center"/>
              <w:rPr>
                <w:color w:val="auto"/>
                <w:szCs w:val="21"/>
                <w:highlight w:val="none"/>
              </w:rPr>
            </w:pPr>
            <w:r>
              <w:rPr>
                <w:color w:val="auto"/>
                <w:szCs w:val="21"/>
                <w:highlight w:val="none"/>
              </w:rPr>
              <w:t>污染物</w:t>
            </w:r>
          </w:p>
          <w:p>
            <w:pPr>
              <w:adjustRightInd w:val="0"/>
              <w:snapToGrid w:val="0"/>
              <w:jc w:val="center"/>
              <w:rPr>
                <w:color w:val="auto"/>
                <w:szCs w:val="21"/>
                <w:highlight w:val="none"/>
              </w:rPr>
            </w:pPr>
            <w:r>
              <w:rPr>
                <w:color w:val="auto"/>
                <w:szCs w:val="21"/>
                <w:highlight w:val="none"/>
              </w:rPr>
              <w:t>项目</w:t>
            </w:r>
          </w:p>
        </w:tc>
        <w:tc>
          <w:tcPr>
            <w:tcW w:w="2895" w:type="dxa"/>
            <w:vAlign w:val="center"/>
          </w:tcPr>
          <w:p>
            <w:pPr>
              <w:adjustRightInd w:val="0"/>
              <w:snapToGrid w:val="0"/>
              <w:jc w:val="center"/>
              <w:rPr>
                <w:color w:val="auto"/>
                <w:szCs w:val="21"/>
                <w:highlight w:val="none"/>
              </w:rPr>
            </w:pPr>
            <w:r>
              <w:rPr>
                <w:color w:val="auto"/>
                <w:szCs w:val="21"/>
                <w:highlight w:val="none"/>
              </w:rPr>
              <w:t>环境保护措施</w:t>
            </w:r>
          </w:p>
        </w:tc>
        <w:tc>
          <w:tcPr>
            <w:tcW w:w="2055" w:type="dxa"/>
            <w:vAlign w:val="center"/>
          </w:tcPr>
          <w:p>
            <w:pPr>
              <w:adjustRightInd w:val="0"/>
              <w:snapToGrid w:val="0"/>
              <w:jc w:val="center"/>
              <w:rPr>
                <w:color w:val="auto"/>
                <w:szCs w:val="21"/>
                <w:highlight w:val="none"/>
              </w:rPr>
            </w:pPr>
            <w:r>
              <w:rPr>
                <w:rFonts w:hint="eastAsia"/>
                <w:color w:val="auto"/>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Merge w:val="restart"/>
            <w:vAlign w:val="center"/>
          </w:tcPr>
          <w:p>
            <w:pPr>
              <w:adjustRightInd w:val="0"/>
              <w:snapToGrid w:val="0"/>
              <w:jc w:val="center"/>
              <w:rPr>
                <w:color w:val="auto"/>
                <w:szCs w:val="21"/>
                <w:highlight w:val="none"/>
              </w:rPr>
            </w:pPr>
            <w:r>
              <w:rPr>
                <w:rFonts w:hint="eastAsia"/>
                <w:color w:val="auto"/>
                <w:szCs w:val="21"/>
                <w:highlight w:val="none"/>
              </w:rPr>
              <w:t>大气环境</w:t>
            </w:r>
          </w:p>
        </w:tc>
        <w:tc>
          <w:tcPr>
            <w:tcW w:w="1575" w:type="dxa"/>
            <w:vAlign w:val="center"/>
          </w:tcPr>
          <w:p>
            <w:pPr>
              <w:adjustRightInd w:val="0"/>
              <w:snapToGrid w:val="0"/>
              <w:jc w:val="center"/>
              <w:rPr>
                <w:color w:val="auto"/>
                <w:szCs w:val="21"/>
                <w:highlight w:val="none"/>
              </w:rPr>
            </w:pPr>
            <w:r>
              <w:rPr>
                <w:rFonts w:hint="eastAsia"/>
                <w:color w:val="auto"/>
                <w:szCs w:val="21"/>
                <w:highlight w:val="none"/>
              </w:rPr>
              <w:t>装卸</w:t>
            </w:r>
          </w:p>
          <w:p>
            <w:pPr>
              <w:adjustRightInd w:val="0"/>
              <w:snapToGrid w:val="0"/>
              <w:jc w:val="center"/>
              <w:rPr>
                <w:color w:val="auto"/>
                <w:szCs w:val="21"/>
                <w:highlight w:val="none"/>
              </w:rPr>
            </w:pPr>
            <w:r>
              <w:rPr>
                <w:rFonts w:hint="eastAsia"/>
                <w:color w:val="auto"/>
                <w:szCs w:val="21"/>
                <w:highlight w:val="none"/>
              </w:rPr>
              <w:t>堆存</w:t>
            </w:r>
          </w:p>
        </w:tc>
        <w:tc>
          <w:tcPr>
            <w:tcW w:w="1088" w:type="dxa"/>
            <w:vAlign w:val="center"/>
          </w:tcPr>
          <w:p>
            <w:pPr>
              <w:adjustRightInd w:val="0"/>
              <w:snapToGrid w:val="0"/>
              <w:jc w:val="center"/>
              <w:rPr>
                <w:color w:val="auto"/>
                <w:szCs w:val="21"/>
                <w:highlight w:val="none"/>
              </w:rPr>
            </w:pPr>
            <w:r>
              <w:rPr>
                <w:rFonts w:hint="eastAsia"/>
                <w:color w:val="auto"/>
                <w:szCs w:val="21"/>
                <w:highlight w:val="none"/>
              </w:rPr>
              <w:t>颗粒物</w:t>
            </w:r>
          </w:p>
        </w:tc>
        <w:tc>
          <w:tcPr>
            <w:tcW w:w="2895" w:type="dxa"/>
            <w:vAlign w:val="center"/>
          </w:tcPr>
          <w:p>
            <w:pPr>
              <w:adjustRightInd w:val="0"/>
              <w:snapToGrid w:val="0"/>
              <w:rPr>
                <w:color w:val="auto"/>
                <w:szCs w:val="21"/>
                <w:highlight w:val="none"/>
              </w:rPr>
            </w:pPr>
            <w:r>
              <w:rPr>
                <w:rFonts w:hint="eastAsia" w:ascii="宋体" w:hAnsi="宋体" w:cs="宋体"/>
                <w:color w:val="auto"/>
                <w:szCs w:val="21"/>
                <w:highlight w:val="none"/>
              </w:rPr>
              <w:t>①</w:t>
            </w:r>
            <w:r>
              <w:rPr>
                <w:rFonts w:hint="eastAsia"/>
                <w:color w:val="auto"/>
                <w:szCs w:val="21"/>
                <w:highlight w:val="none"/>
              </w:rPr>
              <w:t>合理控制装卸料高度，喷洒水抑尘；</w:t>
            </w:r>
          </w:p>
          <w:p>
            <w:pPr>
              <w:adjustRightInd w:val="0"/>
              <w:snapToGrid w:val="0"/>
              <w:rPr>
                <w:color w:val="auto"/>
                <w:szCs w:val="21"/>
                <w:highlight w:val="none"/>
              </w:rPr>
            </w:pPr>
            <w:r>
              <w:rPr>
                <w:rFonts w:hint="eastAsia" w:ascii="宋体" w:hAnsi="宋体" w:cs="宋体"/>
                <w:color w:val="auto"/>
                <w:szCs w:val="21"/>
                <w:highlight w:val="none"/>
              </w:rPr>
              <w:t>②</w:t>
            </w:r>
            <w:r>
              <w:rPr>
                <w:rFonts w:hint="eastAsia"/>
                <w:color w:val="auto"/>
                <w:szCs w:val="21"/>
                <w:highlight w:val="none"/>
              </w:rPr>
              <w:t>原料区、成品区及</w:t>
            </w:r>
            <w:r>
              <w:rPr>
                <w:rFonts w:hint="eastAsia"/>
                <w:color w:val="auto"/>
                <w:szCs w:val="21"/>
                <w:highlight w:val="none"/>
                <w:lang w:eastAsia="zh-CN"/>
              </w:rPr>
              <w:t>泥砂分离</w:t>
            </w:r>
            <w:r>
              <w:rPr>
                <w:rFonts w:hint="eastAsia"/>
                <w:color w:val="auto"/>
                <w:szCs w:val="21"/>
                <w:highlight w:val="none"/>
              </w:rPr>
              <w:t>车间</w:t>
            </w:r>
            <w:r>
              <w:rPr>
                <w:color w:val="auto"/>
                <w:szCs w:val="21"/>
                <w:highlight w:val="none"/>
              </w:rPr>
              <w:t>地</w:t>
            </w:r>
            <w:r>
              <w:rPr>
                <w:rFonts w:hint="eastAsia"/>
                <w:color w:val="auto"/>
                <w:szCs w:val="21"/>
                <w:highlight w:val="none"/>
              </w:rPr>
              <w:t>面</w:t>
            </w:r>
            <w:r>
              <w:rPr>
                <w:color w:val="auto"/>
                <w:szCs w:val="21"/>
                <w:highlight w:val="none"/>
              </w:rPr>
              <w:t>进行硬化，</w:t>
            </w:r>
            <w:r>
              <w:rPr>
                <w:rFonts w:hint="eastAsia"/>
                <w:color w:val="auto"/>
                <w:szCs w:val="21"/>
                <w:highlight w:val="none"/>
              </w:rPr>
              <w:t>且要进行</w:t>
            </w:r>
            <w:r>
              <w:rPr>
                <w:color w:val="auto"/>
                <w:szCs w:val="21"/>
                <w:highlight w:val="none"/>
              </w:rPr>
              <w:t>三面封闭</w:t>
            </w:r>
            <w:r>
              <w:rPr>
                <w:rFonts w:hint="eastAsia"/>
                <w:color w:val="auto"/>
                <w:szCs w:val="21"/>
                <w:highlight w:val="none"/>
              </w:rPr>
              <w:t>+</w:t>
            </w:r>
            <w:r>
              <w:rPr>
                <w:color w:val="auto"/>
                <w:szCs w:val="21"/>
                <w:highlight w:val="none"/>
              </w:rPr>
              <w:t>顶</w:t>
            </w:r>
            <w:r>
              <w:rPr>
                <w:rFonts w:hint="eastAsia"/>
                <w:color w:val="auto"/>
                <w:szCs w:val="21"/>
                <w:highlight w:val="none"/>
              </w:rPr>
              <w:t>棚</w:t>
            </w:r>
            <w:r>
              <w:rPr>
                <w:color w:val="auto"/>
                <w:szCs w:val="21"/>
                <w:highlight w:val="none"/>
              </w:rPr>
              <w:t>处理</w:t>
            </w:r>
            <w:r>
              <w:rPr>
                <w:rFonts w:hint="eastAsia"/>
                <w:color w:val="auto"/>
                <w:szCs w:val="21"/>
                <w:highlight w:val="none"/>
              </w:rPr>
              <w:t>。</w:t>
            </w:r>
          </w:p>
        </w:tc>
        <w:tc>
          <w:tcPr>
            <w:tcW w:w="2055" w:type="dxa"/>
            <w:vMerge w:val="restart"/>
            <w:vAlign w:val="center"/>
          </w:tcPr>
          <w:p>
            <w:pPr>
              <w:adjustRightInd w:val="0"/>
              <w:snapToGrid w:val="0"/>
              <w:jc w:val="center"/>
              <w:rPr>
                <w:color w:val="auto"/>
                <w:szCs w:val="21"/>
                <w:highlight w:val="none"/>
              </w:rPr>
            </w:pPr>
            <w:r>
              <w:rPr>
                <w:color w:val="auto"/>
                <w:kern w:val="0"/>
                <w:szCs w:val="21"/>
                <w:highlight w:val="none"/>
              </w:rPr>
              <w:t>《大气污染物综合排放标准》（GB16297-1996）表2中</w:t>
            </w:r>
            <w:r>
              <w:rPr>
                <w:rFonts w:hint="eastAsia"/>
                <w:color w:val="auto"/>
                <w:kern w:val="0"/>
                <w:szCs w:val="21"/>
                <w:highlight w:val="none"/>
                <w:lang w:eastAsia="zh-CN"/>
              </w:rPr>
              <w:t>无组织排放标准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Merge w:val="continue"/>
            <w:vAlign w:val="center"/>
          </w:tcPr>
          <w:p>
            <w:pPr>
              <w:adjustRightInd w:val="0"/>
              <w:snapToGrid w:val="0"/>
              <w:jc w:val="center"/>
              <w:rPr>
                <w:color w:val="auto"/>
                <w:szCs w:val="21"/>
                <w:highlight w:val="none"/>
              </w:rPr>
            </w:pPr>
          </w:p>
        </w:tc>
        <w:tc>
          <w:tcPr>
            <w:tcW w:w="1575" w:type="dxa"/>
            <w:vAlign w:val="center"/>
          </w:tcPr>
          <w:p>
            <w:pPr>
              <w:adjustRightInd w:val="0"/>
              <w:snapToGrid w:val="0"/>
              <w:jc w:val="center"/>
              <w:rPr>
                <w:color w:val="auto"/>
                <w:szCs w:val="21"/>
                <w:highlight w:val="none"/>
              </w:rPr>
            </w:pPr>
            <w:r>
              <w:rPr>
                <w:rFonts w:hint="eastAsia"/>
                <w:color w:val="auto"/>
                <w:szCs w:val="21"/>
                <w:highlight w:val="none"/>
              </w:rPr>
              <w:t>筛分</w:t>
            </w:r>
          </w:p>
        </w:tc>
        <w:tc>
          <w:tcPr>
            <w:tcW w:w="1088" w:type="dxa"/>
            <w:vAlign w:val="center"/>
          </w:tcPr>
          <w:p>
            <w:pPr>
              <w:adjustRightInd w:val="0"/>
              <w:snapToGrid w:val="0"/>
              <w:jc w:val="center"/>
              <w:rPr>
                <w:color w:val="auto"/>
                <w:szCs w:val="21"/>
                <w:highlight w:val="none"/>
              </w:rPr>
            </w:pPr>
            <w:r>
              <w:rPr>
                <w:rFonts w:hint="eastAsia"/>
                <w:color w:val="auto"/>
                <w:szCs w:val="21"/>
                <w:highlight w:val="none"/>
              </w:rPr>
              <w:t>颗粒物</w:t>
            </w:r>
          </w:p>
        </w:tc>
        <w:tc>
          <w:tcPr>
            <w:tcW w:w="2895" w:type="dxa"/>
            <w:vAlign w:val="center"/>
          </w:tcPr>
          <w:p>
            <w:pPr>
              <w:adjustRightInd w:val="0"/>
              <w:snapToGrid w:val="0"/>
              <w:rPr>
                <w:rFonts w:ascii="宋体" w:hAnsi="宋体" w:cs="宋体"/>
                <w:color w:val="auto"/>
                <w:szCs w:val="21"/>
                <w:highlight w:val="none"/>
              </w:rPr>
            </w:pPr>
            <w:r>
              <w:rPr>
                <w:rFonts w:hint="eastAsia"/>
                <w:color w:val="auto"/>
                <w:szCs w:val="21"/>
                <w:highlight w:val="none"/>
                <w:lang w:eastAsia="zh-CN"/>
              </w:rPr>
              <w:t>泥砂分离</w:t>
            </w:r>
            <w:r>
              <w:rPr>
                <w:color w:val="auto"/>
                <w:szCs w:val="21"/>
                <w:highlight w:val="none"/>
              </w:rPr>
              <w:t>车间</w:t>
            </w:r>
            <w:r>
              <w:rPr>
                <w:rFonts w:hint="eastAsia"/>
                <w:color w:val="auto"/>
                <w:szCs w:val="21"/>
                <w:highlight w:val="none"/>
              </w:rPr>
              <w:t>半</w:t>
            </w:r>
            <w:r>
              <w:rPr>
                <w:color w:val="auto"/>
                <w:szCs w:val="21"/>
                <w:highlight w:val="none"/>
              </w:rPr>
              <w:t>封</w:t>
            </w:r>
            <w:r>
              <w:rPr>
                <w:rFonts w:hint="eastAsia"/>
                <w:color w:val="auto"/>
                <w:szCs w:val="21"/>
                <w:highlight w:val="none"/>
              </w:rPr>
              <w:t>闭</w:t>
            </w:r>
            <w:r>
              <w:rPr>
                <w:color w:val="auto"/>
                <w:szCs w:val="21"/>
                <w:highlight w:val="none"/>
              </w:rPr>
              <w:t>，</w:t>
            </w:r>
            <w:r>
              <w:rPr>
                <w:rFonts w:hint="eastAsia"/>
                <w:color w:val="auto"/>
                <w:szCs w:val="21"/>
                <w:highlight w:val="none"/>
              </w:rPr>
              <w:t>地面硬化，</w:t>
            </w:r>
            <w:r>
              <w:rPr>
                <w:color w:val="auto"/>
                <w:szCs w:val="21"/>
                <w:highlight w:val="none"/>
              </w:rPr>
              <w:t>筛分设备密封，筛分工序入料口和出料口各设置1个喷淋装置</w:t>
            </w:r>
            <w:r>
              <w:rPr>
                <w:rFonts w:hint="eastAsia"/>
                <w:color w:val="auto"/>
                <w:szCs w:val="21"/>
                <w:highlight w:val="none"/>
              </w:rPr>
              <w:t>，</w:t>
            </w:r>
            <w:r>
              <w:rPr>
                <w:color w:val="auto"/>
                <w:szCs w:val="21"/>
                <w:highlight w:val="none"/>
              </w:rPr>
              <w:t>车间顶棚设置喷雾除尘设备</w:t>
            </w:r>
            <w:r>
              <w:rPr>
                <w:rFonts w:hint="eastAsia"/>
                <w:color w:val="auto"/>
                <w:szCs w:val="21"/>
                <w:highlight w:val="none"/>
              </w:rPr>
              <w:t>。</w:t>
            </w:r>
          </w:p>
        </w:tc>
        <w:tc>
          <w:tcPr>
            <w:tcW w:w="2055" w:type="dxa"/>
            <w:vMerge w:val="continue"/>
            <w:vAlign w:val="center"/>
          </w:tcPr>
          <w:p>
            <w:pPr>
              <w:adjustRightInd w:val="0"/>
              <w:snapToGrid w:val="0"/>
              <w:jc w:val="center"/>
              <w:rPr>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Merge w:val="continue"/>
            <w:vAlign w:val="center"/>
          </w:tcPr>
          <w:p>
            <w:pPr>
              <w:adjustRightInd w:val="0"/>
              <w:snapToGrid w:val="0"/>
              <w:jc w:val="center"/>
              <w:rPr>
                <w:color w:val="auto"/>
                <w:szCs w:val="21"/>
                <w:highlight w:val="none"/>
              </w:rPr>
            </w:pPr>
          </w:p>
        </w:tc>
        <w:tc>
          <w:tcPr>
            <w:tcW w:w="1575" w:type="dxa"/>
            <w:vAlign w:val="center"/>
          </w:tcPr>
          <w:p>
            <w:pPr>
              <w:adjustRightInd w:val="0"/>
              <w:snapToGrid w:val="0"/>
              <w:jc w:val="center"/>
              <w:rPr>
                <w:color w:val="auto"/>
                <w:szCs w:val="21"/>
                <w:highlight w:val="none"/>
              </w:rPr>
            </w:pPr>
            <w:r>
              <w:rPr>
                <w:rFonts w:hint="eastAsia"/>
                <w:color w:val="auto"/>
                <w:szCs w:val="21"/>
                <w:highlight w:val="none"/>
              </w:rPr>
              <w:t>运输</w:t>
            </w:r>
          </w:p>
        </w:tc>
        <w:tc>
          <w:tcPr>
            <w:tcW w:w="1088" w:type="dxa"/>
            <w:vAlign w:val="center"/>
          </w:tcPr>
          <w:p>
            <w:pPr>
              <w:adjustRightInd w:val="0"/>
              <w:snapToGrid w:val="0"/>
              <w:jc w:val="center"/>
              <w:rPr>
                <w:color w:val="auto"/>
                <w:szCs w:val="21"/>
                <w:highlight w:val="none"/>
              </w:rPr>
            </w:pPr>
            <w:r>
              <w:rPr>
                <w:rFonts w:hint="eastAsia"/>
                <w:color w:val="auto"/>
                <w:szCs w:val="21"/>
                <w:highlight w:val="none"/>
              </w:rPr>
              <w:t>颗粒物</w:t>
            </w:r>
          </w:p>
        </w:tc>
        <w:tc>
          <w:tcPr>
            <w:tcW w:w="2895" w:type="dxa"/>
            <w:vAlign w:val="center"/>
          </w:tcPr>
          <w:p>
            <w:pPr>
              <w:adjustRightInd w:val="0"/>
              <w:snapToGrid w:val="0"/>
              <w:rPr>
                <w:color w:val="auto"/>
                <w:szCs w:val="21"/>
                <w:highlight w:val="none"/>
              </w:rPr>
            </w:pPr>
            <w:r>
              <w:rPr>
                <w:rFonts w:hint="eastAsia"/>
                <w:color w:val="auto"/>
                <w:szCs w:val="21"/>
                <w:highlight w:val="none"/>
              </w:rPr>
              <w:t>车辆冲洗、道路洒水等措施</w:t>
            </w:r>
          </w:p>
        </w:tc>
        <w:tc>
          <w:tcPr>
            <w:tcW w:w="2055" w:type="dxa"/>
            <w:vMerge w:val="continue"/>
            <w:vAlign w:val="center"/>
          </w:tcPr>
          <w:p>
            <w:pPr>
              <w:adjustRightInd w:val="0"/>
              <w:snapToGrid w:val="0"/>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Merge w:val="restart"/>
            <w:vAlign w:val="center"/>
          </w:tcPr>
          <w:p>
            <w:pPr>
              <w:adjustRightInd w:val="0"/>
              <w:snapToGrid w:val="0"/>
              <w:jc w:val="center"/>
              <w:rPr>
                <w:color w:val="auto"/>
                <w:szCs w:val="21"/>
                <w:highlight w:val="none"/>
              </w:rPr>
            </w:pPr>
            <w:r>
              <w:rPr>
                <w:rFonts w:hint="eastAsia"/>
                <w:color w:val="auto"/>
                <w:szCs w:val="21"/>
                <w:highlight w:val="none"/>
              </w:rPr>
              <w:t>地表水环境</w:t>
            </w:r>
          </w:p>
        </w:tc>
        <w:tc>
          <w:tcPr>
            <w:tcW w:w="1575" w:type="dxa"/>
            <w:vAlign w:val="center"/>
          </w:tcPr>
          <w:p>
            <w:pPr>
              <w:adjustRightInd w:val="0"/>
              <w:snapToGrid w:val="0"/>
              <w:jc w:val="center"/>
              <w:rPr>
                <w:color w:val="auto"/>
                <w:szCs w:val="21"/>
                <w:highlight w:val="none"/>
              </w:rPr>
            </w:pPr>
            <w:r>
              <w:rPr>
                <w:rFonts w:hint="eastAsia"/>
                <w:color w:val="auto"/>
                <w:szCs w:val="21"/>
                <w:highlight w:val="none"/>
              </w:rPr>
              <w:t>洗</w:t>
            </w:r>
            <w:r>
              <w:rPr>
                <w:rFonts w:hint="eastAsia"/>
                <w:color w:val="auto"/>
                <w:szCs w:val="21"/>
                <w:highlight w:val="none"/>
                <w:lang w:eastAsia="zh-CN"/>
              </w:rPr>
              <w:t>砂</w:t>
            </w:r>
            <w:r>
              <w:rPr>
                <w:rFonts w:hint="eastAsia"/>
                <w:color w:val="auto"/>
                <w:szCs w:val="21"/>
                <w:highlight w:val="none"/>
              </w:rPr>
              <w:t>及脱水</w:t>
            </w:r>
          </w:p>
          <w:p>
            <w:pPr>
              <w:adjustRightInd w:val="0"/>
              <w:snapToGrid w:val="0"/>
              <w:jc w:val="center"/>
              <w:rPr>
                <w:color w:val="auto"/>
                <w:szCs w:val="21"/>
                <w:highlight w:val="none"/>
              </w:rPr>
            </w:pPr>
            <w:r>
              <w:rPr>
                <w:rFonts w:hint="eastAsia"/>
                <w:color w:val="auto"/>
                <w:szCs w:val="21"/>
                <w:highlight w:val="none"/>
              </w:rPr>
              <w:t>工序</w:t>
            </w:r>
          </w:p>
        </w:tc>
        <w:tc>
          <w:tcPr>
            <w:tcW w:w="1088" w:type="dxa"/>
            <w:vAlign w:val="center"/>
          </w:tcPr>
          <w:p>
            <w:pPr>
              <w:adjustRightInd w:val="0"/>
              <w:snapToGrid w:val="0"/>
              <w:jc w:val="center"/>
              <w:rPr>
                <w:color w:val="auto"/>
                <w:szCs w:val="21"/>
                <w:highlight w:val="none"/>
              </w:rPr>
            </w:pPr>
            <w:r>
              <w:rPr>
                <w:rFonts w:hint="eastAsia"/>
                <w:color w:val="auto"/>
                <w:szCs w:val="21"/>
                <w:highlight w:val="none"/>
              </w:rPr>
              <w:t>生产废水</w:t>
            </w:r>
          </w:p>
        </w:tc>
        <w:tc>
          <w:tcPr>
            <w:tcW w:w="2895" w:type="dxa"/>
            <w:vAlign w:val="center"/>
          </w:tcPr>
          <w:p>
            <w:pPr>
              <w:adjustRightInd w:val="0"/>
              <w:snapToGrid w:val="0"/>
              <w:rPr>
                <w:color w:val="auto"/>
                <w:szCs w:val="21"/>
                <w:highlight w:val="none"/>
              </w:rPr>
            </w:pPr>
            <w:r>
              <w:rPr>
                <w:rFonts w:hint="eastAsia"/>
                <w:color w:val="auto"/>
                <w:szCs w:val="21"/>
                <w:highlight w:val="none"/>
              </w:rPr>
              <w:t>进入污水罐（100m</w:t>
            </w:r>
            <w:r>
              <w:rPr>
                <w:rFonts w:hint="eastAsia"/>
                <w:color w:val="auto"/>
                <w:szCs w:val="21"/>
                <w:highlight w:val="none"/>
                <w:vertAlign w:val="superscript"/>
              </w:rPr>
              <w:t>3</w:t>
            </w:r>
            <w:r>
              <w:rPr>
                <w:rFonts w:hint="eastAsia"/>
                <w:color w:val="auto"/>
                <w:szCs w:val="21"/>
                <w:highlight w:val="none"/>
              </w:rPr>
              <w:t>）内絮凝沉淀并配备压滤机对尾泥进行压滤，压滤液与上清液暂存于清水池（120m</w:t>
            </w:r>
            <w:r>
              <w:rPr>
                <w:rFonts w:hint="eastAsia"/>
                <w:color w:val="auto"/>
                <w:szCs w:val="21"/>
                <w:highlight w:val="none"/>
                <w:vertAlign w:val="superscript"/>
              </w:rPr>
              <w:t>3</w:t>
            </w:r>
            <w:r>
              <w:rPr>
                <w:rFonts w:hint="eastAsia"/>
                <w:color w:val="auto"/>
                <w:szCs w:val="21"/>
                <w:highlight w:val="none"/>
              </w:rPr>
              <w:t>）后及时回用于生产工序。</w:t>
            </w:r>
          </w:p>
        </w:tc>
        <w:tc>
          <w:tcPr>
            <w:tcW w:w="2055" w:type="dxa"/>
            <w:vAlign w:val="center"/>
          </w:tcPr>
          <w:p>
            <w:pPr>
              <w:adjustRightInd w:val="0"/>
              <w:snapToGrid w:val="0"/>
              <w:jc w:val="center"/>
              <w:rPr>
                <w:color w:val="auto"/>
                <w:szCs w:val="21"/>
                <w:highlight w:val="none"/>
              </w:rPr>
            </w:pPr>
            <w:r>
              <w:rPr>
                <w:rFonts w:hint="eastAsia"/>
                <w:color w:val="auto"/>
                <w:szCs w:val="21"/>
                <w:highlight w:val="none"/>
              </w:rPr>
              <w:t>循环利用</w:t>
            </w:r>
          </w:p>
          <w:p>
            <w:pPr>
              <w:adjustRightInd w:val="0"/>
              <w:snapToGrid w:val="0"/>
              <w:jc w:val="center"/>
              <w:rPr>
                <w:color w:val="auto"/>
                <w:szCs w:val="21"/>
                <w:highlight w:val="none"/>
              </w:rPr>
            </w:pPr>
            <w:r>
              <w:rPr>
                <w:rFonts w:hint="eastAsia"/>
                <w:color w:val="auto"/>
                <w:szCs w:val="21"/>
                <w:highlight w:val="none"/>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Merge w:val="continue"/>
            <w:vAlign w:val="center"/>
          </w:tcPr>
          <w:p>
            <w:pPr>
              <w:adjustRightInd w:val="0"/>
              <w:snapToGrid w:val="0"/>
              <w:jc w:val="center"/>
              <w:rPr>
                <w:color w:val="auto"/>
                <w:szCs w:val="21"/>
                <w:highlight w:val="none"/>
              </w:rPr>
            </w:pPr>
          </w:p>
        </w:tc>
        <w:tc>
          <w:tcPr>
            <w:tcW w:w="1575" w:type="dxa"/>
            <w:vAlign w:val="center"/>
          </w:tcPr>
          <w:p>
            <w:pPr>
              <w:adjustRightInd w:val="0"/>
              <w:snapToGrid w:val="0"/>
              <w:jc w:val="center"/>
              <w:rPr>
                <w:color w:val="auto"/>
                <w:szCs w:val="21"/>
                <w:highlight w:val="none"/>
              </w:rPr>
            </w:pPr>
            <w:r>
              <w:rPr>
                <w:rFonts w:hint="eastAsia"/>
                <w:color w:val="auto"/>
                <w:szCs w:val="21"/>
                <w:highlight w:val="none"/>
              </w:rPr>
              <w:t>车辆冲洗</w:t>
            </w:r>
          </w:p>
        </w:tc>
        <w:tc>
          <w:tcPr>
            <w:tcW w:w="1088" w:type="dxa"/>
            <w:vAlign w:val="center"/>
          </w:tcPr>
          <w:p>
            <w:pPr>
              <w:adjustRightInd w:val="0"/>
              <w:snapToGrid w:val="0"/>
              <w:jc w:val="center"/>
              <w:rPr>
                <w:color w:val="auto"/>
                <w:szCs w:val="21"/>
                <w:highlight w:val="none"/>
              </w:rPr>
            </w:pPr>
            <w:r>
              <w:rPr>
                <w:rFonts w:hint="eastAsia"/>
                <w:color w:val="auto"/>
                <w:szCs w:val="21"/>
                <w:highlight w:val="none"/>
              </w:rPr>
              <w:t>洗车废水</w:t>
            </w:r>
          </w:p>
        </w:tc>
        <w:tc>
          <w:tcPr>
            <w:tcW w:w="2895" w:type="dxa"/>
            <w:vAlign w:val="center"/>
          </w:tcPr>
          <w:p>
            <w:pPr>
              <w:adjustRightInd w:val="0"/>
              <w:snapToGrid w:val="0"/>
              <w:rPr>
                <w:color w:val="auto"/>
                <w:szCs w:val="21"/>
                <w:highlight w:val="none"/>
              </w:rPr>
            </w:pPr>
            <w:r>
              <w:rPr>
                <w:rFonts w:hint="eastAsia"/>
                <w:color w:val="auto"/>
                <w:szCs w:val="21"/>
                <w:highlight w:val="none"/>
              </w:rPr>
              <w:t>出入厂道路硬化，依托现有洗车台+沉淀池（45</w:t>
            </w:r>
            <w:r>
              <w:rPr>
                <w:color w:val="auto"/>
                <w:szCs w:val="21"/>
                <w:highlight w:val="none"/>
              </w:rPr>
              <w:t>m</w:t>
            </w:r>
            <w:r>
              <w:rPr>
                <w:color w:val="auto"/>
                <w:szCs w:val="21"/>
                <w:highlight w:val="none"/>
                <w:vertAlign w:val="superscript"/>
              </w:rPr>
              <w:t>3</w:t>
            </w:r>
            <w:r>
              <w:rPr>
                <w:rFonts w:hint="eastAsia"/>
                <w:color w:val="auto"/>
                <w:szCs w:val="21"/>
                <w:highlight w:val="none"/>
              </w:rPr>
              <w:t>）处理后回用。</w:t>
            </w:r>
          </w:p>
        </w:tc>
        <w:tc>
          <w:tcPr>
            <w:tcW w:w="2055" w:type="dxa"/>
            <w:vAlign w:val="center"/>
          </w:tcPr>
          <w:p>
            <w:pPr>
              <w:adjustRightInd w:val="0"/>
              <w:snapToGrid w:val="0"/>
              <w:jc w:val="center"/>
              <w:rPr>
                <w:color w:val="auto"/>
                <w:szCs w:val="21"/>
                <w:highlight w:val="none"/>
              </w:rPr>
            </w:pPr>
            <w:r>
              <w:rPr>
                <w:rFonts w:hint="eastAsia"/>
                <w:color w:val="auto"/>
                <w:szCs w:val="21"/>
                <w:highlight w:val="none"/>
              </w:rPr>
              <w:t>循环利用</w:t>
            </w:r>
          </w:p>
          <w:p>
            <w:pPr>
              <w:adjustRightInd w:val="0"/>
              <w:snapToGrid w:val="0"/>
              <w:jc w:val="center"/>
              <w:rPr>
                <w:color w:val="auto"/>
                <w:szCs w:val="21"/>
                <w:highlight w:val="none"/>
              </w:rPr>
            </w:pPr>
            <w:r>
              <w:rPr>
                <w:rFonts w:hint="eastAsia"/>
                <w:color w:val="auto"/>
                <w:szCs w:val="21"/>
                <w:highlight w:val="none"/>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Merge w:val="continue"/>
            <w:vAlign w:val="center"/>
          </w:tcPr>
          <w:p>
            <w:pPr>
              <w:adjustRightInd w:val="0"/>
              <w:snapToGrid w:val="0"/>
              <w:jc w:val="center"/>
              <w:rPr>
                <w:color w:val="auto"/>
                <w:szCs w:val="21"/>
                <w:highlight w:val="none"/>
              </w:rPr>
            </w:pPr>
          </w:p>
        </w:tc>
        <w:tc>
          <w:tcPr>
            <w:tcW w:w="1575" w:type="dxa"/>
            <w:vAlign w:val="center"/>
          </w:tcPr>
          <w:p>
            <w:pPr>
              <w:adjustRightInd w:val="0"/>
              <w:snapToGrid w:val="0"/>
              <w:jc w:val="center"/>
              <w:rPr>
                <w:color w:val="auto"/>
                <w:szCs w:val="21"/>
                <w:highlight w:val="none"/>
              </w:rPr>
            </w:pPr>
            <w:r>
              <w:rPr>
                <w:rFonts w:hint="eastAsia"/>
                <w:color w:val="auto"/>
                <w:szCs w:val="21"/>
                <w:highlight w:val="none"/>
              </w:rPr>
              <w:t>办公区</w:t>
            </w:r>
          </w:p>
        </w:tc>
        <w:tc>
          <w:tcPr>
            <w:tcW w:w="1088" w:type="dxa"/>
            <w:vAlign w:val="center"/>
          </w:tcPr>
          <w:p>
            <w:pPr>
              <w:adjustRightInd w:val="0"/>
              <w:snapToGrid w:val="0"/>
              <w:jc w:val="center"/>
              <w:rPr>
                <w:color w:val="auto"/>
                <w:szCs w:val="21"/>
                <w:highlight w:val="none"/>
              </w:rPr>
            </w:pPr>
            <w:r>
              <w:rPr>
                <w:rFonts w:hint="eastAsia"/>
                <w:color w:val="auto"/>
                <w:szCs w:val="21"/>
                <w:highlight w:val="none"/>
              </w:rPr>
              <w:t>生活污水</w:t>
            </w:r>
          </w:p>
        </w:tc>
        <w:tc>
          <w:tcPr>
            <w:tcW w:w="2895" w:type="dxa"/>
            <w:vAlign w:val="center"/>
          </w:tcPr>
          <w:p>
            <w:pPr>
              <w:adjustRightInd w:val="0"/>
              <w:snapToGrid w:val="0"/>
              <w:rPr>
                <w:color w:val="auto"/>
                <w:szCs w:val="21"/>
                <w:highlight w:val="none"/>
              </w:rPr>
            </w:pPr>
            <w:r>
              <w:rPr>
                <w:rFonts w:hint="eastAsia" w:ascii="宋体" w:hAnsi="宋体" w:cs="宋体"/>
                <w:color w:val="auto"/>
                <w:szCs w:val="21"/>
                <w:highlight w:val="none"/>
              </w:rPr>
              <w:t>生活污水经现有化粪池</w:t>
            </w:r>
            <w:r>
              <w:rPr>
                <w:rFonts w:hint="eastAsia"/>
                <w:color w:val="auto"/>
                <w:szCs w:val="21"/>
                <w:highlight w:val="none"/>
              </w:rPr>
              <w:t>（6.0m</w:t>
            </w:r>
            <w:r>
              <w:rPr>
                <w:rFonts w:hint="eastAsia"/>
                <w:color w:val="auto"/>
                <w:szCs w:val="21"/>
                <w:highlight w:val="none"/>
                <w:vertAlign w:val="superscript"/>
              </w:rPr>
              <w:t>3</w:t>
            </w:r>
            <w:r>
              <w:rPr>
                <w:rFonts w:hint="eastAsia"/>
                <w:color w:val="auto"/>
                <w:szCs w:val="21"/>
                <w:highlight w:val="none"/>
              </w:rPr>
              <w:t>）</w:t>
            </w:r>
            <w:r>
              <w:rPr>
                <w:rFonts w:hint="eastAsia" w:ascii="宋体" w:hAnsi="宋体" w:cs="宋体"/>
                <w:color w:val="auto"/>
                <w:szCs w:val="21"/>
                <w:highlight w:val="none"/>
              </w:rPr>
              <w:t>处理后用于周边农田施肥。</w:t>
            </w:r>
          </w:p>
        </w:tc>
        <w:tc>
          <w:tcPr>
            <w:tcW w:w="2055" w:type="dxa"/>
            <w:vAlign w:val="center"/>
          </w:tcPr>
          <w:p>
            <w:pPr>
              <w:adjustRightInd w:val="0"/>
              <w:snapToGrid w:val="0"/>
              <w:jc w:val="center"/>
              <w:rPr>
                <w:color w:val="auto"/>
                <w:szCs w:val="21"/>
                <w:highlight w:val="none"/>
              </w:rPr>
            </w:pPr>
            <w:r>
              <w:rPr>
                <w:rFonts w:hint="eastAsia"/>
                <w:color w:val="auto"/>
                <w:szCs w:val="21"/>
                <w:highlight w:val="none"/>
              </w:rPr>
              <w:t>综合利用</w:t>
            </w:r>
          </w:p>
          <w:p>
            <w:pPr>
              <w:adjustRightInd w:val="0"/>
              <w:snapToGrid w:val="0"/>
              <w:jc w:val="center"/>
              <w:rPr>
                <w:color w:val="auto"/>
                <w:szCs w:val="21"/>
                <w:highlight w:val="none"/>
              </w:rPr>
            </w:pPr>
            <w:r>
              <w:rPr>
                <w:rFonts w:hint="eastAsia"/>
                <w:color w:val="auto"/>
                <w:szCs w:val="21"/>
                <w:highlight w:val="none"/>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Align w:val="center"/>
          </w:tcPr>
          <w:p>
            <w:pPr>
              <w:adjustRightInd w:val="0"/>
              <w:snapToGrid w:val="0"/>
              <w:jc w:val="center"/>
              <w:rPr>
                <w:color w:val="auto"/>
                <w:szCs w:val="21"/>
                <w:highlight w:val="none"/>
              </w:rPr>
            </w:pPr>
            <w:r>
              <w:rPr>
                <w:rFonts w:hint="eastAsia"/>
                <w:color w:val="auto"/>
                <w:szCs w:val="21"/>
                <w:highlight w:val="none"/>
              </w:rPr>
              <w:t>声环境</w:t>
            </w:r>
          </w:p>
        </w:tc>
        <w:tc>
          <w:tcPr>
            <w:tcW w:w="1575" w:type="dxa"/>
            <w:vAlign w:val="center"/>
          </w:tcPr>
          <w:p>
            <w:pPr>
              <w:adjustRightInd w:val="0"/>
              <w:snapToGrid w:val="0"/>
              <w:jc w:val="center"/>
              <w:rPr>
                <w:color w:val="auto"/>
                <w:szCs w:val="21"/>
                <w:highlight w:val="none"/>
              </w:rPr>
            </w:pPr>
            <w:r>
              <w:rPr>
                <w:rFonts w:hint="eastAsia"/>
                <w:color w:val="auto"/>
                <w:szCs w:val="21"/>
                <w:highlight w:val="none"/>
              </w:rPr>
              <w:t>生产过程</w:t>
            </w:r>
          </w:p>
        </w:tc>
        <w:tc>
          <w:tcPr>
            <w:tcW w:w="1088" w:type="dxa"/>
            <w:vAlign w:val="center"/>
          </w:tcPr>
          <w:p>
            <w:pPr>
              <w:adjustRightInd w:val="0"/>
              <w:snapToGrid w:val="0"/>
              <w:jc w:val="center"/>
              <w:rPr>
                <w:color w:val="auto"/>
                <w:szCs w:val="21"/>
                <w:highlight w:val="none"/>
              </w:rPr>
            </w:pPr>
            <w:r>
              <w:rPr>
                <w:rFonts w:hint="eastAsia"/>
                <w:color w:val="auto"/>
                <w:szCs w:val="21"/>
                <w:highlight w:val="none"/>
              </w:rPr>
              <w:t>生产噪声</w:t>
            </w:r>
          </w:p>
        </w:tc>
        <w:tc>
          <w:tcPr>
            <w:tcW w:w="2895" w:type="dxa"/>
            <w:vAlign w:val="center"/>
          </w:tcPr>
          <w:p>
            <w:pPr>
              <w:adjustRightInd w:val="0"/>
              <w:snapToGrid w:val="0"/>
              <w:rPr>
                <w:color w:val="auto"/>
                <w:szCs w:val="21"/>
                <w:highlight w:val="none"/>
              </w:rPr>
            </w:pPr>
            <w:r>
              <w:rPr>
                <w:color w:val="auto"/>
                <w:szCs w:val="21"/>
                <w:highlight w:val="none"/>
              </w:rPr>
              <w:t>高噪设备安装减</w:t>
            </w:r>
            <w:r>
              <w:rPr>
                <w:rFonts w:hint="eastAsia"/>
                <w:color w:val="auto"/>
                <w:szCs w:val="21"/>
                <w:highlight w:val="none"/>
              </w:rPr>
              <w:t>振</w:t>
            </w:r>
            <w:r>
              <w:rPr>
                <w:color w:val="auto"/>
                <w:szCs w:val="21"/>
                <w:highlight w:val="none"/>
              </w:rPr>
              <w:t>垫，主要噪声设备置于</w:t>
            </w:r>
            <w:r>
              <w:rPr>
                <w:rFonts w:hint="eastAsia"/>
                <w:color w:val="auto"/>
                <w:szCs w:val="21"/>
                <w:highlight w:val="none"/>
              </w:rPr>
              <w:t>半</w:t>
            </w:r>
            <w:r>
              <w:rPr>
                <w:color w:val="auto"/>
                <w:szCs w:val="21"/>
                <w:highlight w:val="none"/>
              </w:rPr>
              <w:t>封闭厂房内，并加强对车辆的管理</w:t>
            </w:r>
            <w:r>
              <w:rPr>
                <w:rFonts w:hint="eastAsia"/>
                <w:color w:val="auto"/>
                <w:szCs w:val="21"/>
                <w:highlight w:val="none"/>
              </w:rPr>
              <w:t>。</w:t>
            </w:r>
          </w:p>
        </w:tc>
        <w:tc>
          <w:tcPr>
            <w:tcW w:w="2055" w:type="dxa"/>
            <w:vAlign w:val="center"/>
          </w:tcPr>
          <w:p>
            <w:pPr>
              <w:adjustRightInd w:val="0"/>
              <w:snapToGrid w:val="0"/>
              <w:jc w:val="center"/>
              <w:rPr>
                <w:color w:val="auto"/>
                <w:szCs w:val="21"/>
                <w:highlight w:val="none"/>
              </w:rPr>
            </w:pPr>
            <w:r>
              <w:rPr>
                <w:rFonts w:hint="eastAsia"/>
                <w:color w:val="auto"/>
                <w:szCs w:val="21"/>
                <w:highlight w:val="none"/>
              </w:rPr>
              <w:t>执行</w:t>
            </w:r>
            <w:r>
              <w:rPr>
                <w:color w:val="auto"/>
                <w:szCs w:val="21"/>
                <w:highlight w:val="none"/>
              </w:rPr>
              <w:t>《工业企业厂界环境噪声排放标准》(GB12348-2008)中</w:t>
            </w:r>
            <w:r>
              <w:rPr>
                <w:rFonts w:hint="eastAsia"/>
                <w:color w:val="auto"/>
                <w:szCs w:val="21"/>
                <w:highlight w:val="none"/>
              </w:rPr>
              <w:t>2</w:t>
            </w:r>
            <w:r>
              <w:rPr>
                <w:color w:val="auto"/>
                <w:szCs w:val="21"/>
                <w:highlight w:val="none"/>
              </w:rPr>
              <w:t>类标准排放限值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Align w:val="center"/>
          </w:tcPr>
          <w:p>
            <w:pPr>
              <w:adjustRightInd w:val="0"/>
              <w:snapToGrid w:val="0"/>
              <w:jc w:val="center"/>
              <w:rPr>
                <w:color w:val="auto"/>
                <w:szCs w:val="21"/>
                <w:highlight w:val="none"/>
              </w:rPr>
            </w:pPr>
            <w:r>
              <w:rPr>
                <w:rFonts w:hint="eastAsia"/>
                <w:color w:val="auto"/>
                <w:szCs w:val="21"/>
                <w:highlight w:val="none"/>
              </w:rPr>
              <w:t>固体废物</w:t>
            </w:r>
          </w:p>
        </w:tc>
        <w:tc>
          <w:tcPr>
            <w:tcW w:w="7613" w:type="dxa"/>
            <w:gridSpan w:val="4"/>
            <w:vAlign w:val="center"/>
          </w:tcPr>
          <w:p>
            <w:pPr>
              <w:widowControl/>
              <w:spacing w:beforeLines="30"/>
              <w:jc w:val="left"/>
              <w:rPr>
                <w:rFonts w:hAnsi="宋体"/>
                <w:color w:val="auto"/>
                <w:szCs w:val="21"/>
                <w:highlight w:val="none"/>
              </w:rPr>
            </w:pPr>
            <w:r>
              <w:rPr>
                <w:rFonts w:hint="eastAsia" w:ascii="宋体" w:hAnsi="宋体" w:cs="宋体"/>
                <w:color w:val="auto"/>
                <w:szCs w:val="21"/>
                <w:highlight w:val="none"/>
              </w:rPr>
              <w:t>①</w:t>
            </w:r>
            <w:r>
              <w:rPr>
                <w:rFonts w:hint="eastAsia"/>
                <w:bCs/>
                <w:color w:val="auto"/>
                <w:szCs w:val="21"/>
                <w:highlight w:val="none"/>
              </w:rPr>
              <w:t>员工生活垃圾经垃圾桶集中收集后，送至就近垃圾收集点，交由环卫部门处理。</w:t>
            </w:r>
          </w:p>
          <w:p>
            <w:pPr>
              <w:widowControl/>
              <w:jc w:val="left"/>
              <w:rPr>
                <w:bCs/>
                <w:color w:val="auto"/>
                <w:szCs w:val="21"/>
                <w:highlight w:val="none"/>
              </w:rPr>
            </w:pPr>
            <w:r>
              <w:rPr>
                <w:rFonts w:hint="eastAsia" w:ascii="宋体" w:hAnsi="宋体" w:cs="宋体"/>
                <w:color w:val="auto"/>
                <w:szCs w:val="21"/>
                <w:highlight w:val="none"/>
              </w:rPr>
              <w:t>②</w:t>
            </w:r>
            <w:r>
              <w:rPr>
                <w:rFonts w:hint="eastAsia" w:hAnsi="宋体"/>
                <w:color w:val="auto"/>
                <w:szCs w:val="21"/>
                <w:highlight w:val="none"/>
              </w:rPr>
              <w:t>沉淀池尾泥进入压滤机中压滤，压滤产生的</w:t>
            </w:r>
            <w:r>
              <w:rPr>
                <w:rFonts w:hint="eastAsia"/>
                <w:bCs/>
                <w:color w:val="auto"/>
                <w:szCs w:val="21"/>
                <w:highlight w:val="none"/>
              </w:rPr>
              <w:t>泥饼作为原料，回用于制砖工序；</w:t>
            </w:r>
          </w:p>
          <w:p>
            <w:pPr>
              <w:adjustRightInd w:val="0"/>
              <w:snapToGrid w:val="0"/>
              <w:jc w:val="left"/>
              <w:rPr>
                <w:color w:val="auto"/>
                <w:szCs w:val="21"/>
                <w:highlight w:val="none"/>
              </w:rPr>
            </w:pPr>
            <w:r>
              <w:rPr>
                <w:rFonts w:hint="eastAsia" w:ascii="宋体" w:hAnsi="宋体" w:cs="宋体"/>
                <w:bCs/>
                <w:color w:val="auto"/>
                <w:szCs w:val="21"/>
                <w:highlight w:val="none"/>
              </w:rPr>
              <w:t>④</w:t>
            </w:r>
            <w:r>
              <w:rPr>
                <w:bCs/>
                <w:color w:val="auto"/>
                <w:szCs w:val="21"/>
                <w:highlight w:val="none"/>
              </w:rPr>
              <w:t>机械设备保养维护过程产生的废</w:t>
            </w:r>
            <w:r>
              <w:rPr>
                <w:rFonts w:hint="eastAsia"/>
                <w:bCs/>
                <w:color w:val="auto"/>
                <w:szCs w:val="21"/>
                <w:highlight w:val="none"/>
              </w:rPr>
              <w:t>润滑油</w:t>
            </w:r>
            <w:r>
              <w:rPr>
                <w:bCs/>
                <w:color w:val="auto"/>
                <w:szCs w:val="21"/>
                <w:highlight w:val="none"/>
              </w:rPr>
              <w:t>、废油桶、含油手套</w:t>
            </w:r>
            <w:r>
              <w:rPr>
                <w:rFonts w:hint="eastAsia"/>
                <w:bCs/>
                <w:color w:val="auto"/>
                <w:szCs w:val="21"/>
                <w:highlight w:val="none"/>
              </w:rPr>
              <w:t>及</w:t>
            </w:r>
            <w:r>
              <w:rPr>
                <w:bCs/>
                <w:color w:val="auto"/>
                <w:szCs w:val="21"/>
                <w:highlight w:val="none"/>
              </w:rPr>
              <w:t>棉纱均属于危废，</w:t>
            </w:r>
            <w:r>
              <w:rPr>
                <w:rFonts w:hint="eastAsia"/>
                <w:bCs/>
                <w:color w:val="auto"/>
                <w:szCs w:val="21"/>
                <w:highlight w:val="none"/>
              </w:rPr>
              <w:t>在厂区现有</w:t>
            </w:r>
            <w:r>
              <w:rPr>
                <w:bCs/>
                <w:color w:val="auto"/>
                <w:szCs w:val="21"/>
                <w:highlight w:val="none"/>
              </w:rPr>
              <w:t>危废暂存间暂存后，定期交由</w:t>
            </w:r>
            <w:r>
              <w:rPr>
                <w:rFonts w:hint="eastAsia"/>
                <w:bCs/>
                <w:color w:val="auto"/>
                <w:szCs w:val="21"/>
                <w:highlight w:val="none"/>
              </w:rPr>
              <w:t>汉中石门固体废物处置有限公司</w:t>
            </w:r>
            <w:r>
              <w:rPr>
                <w:bCs/>
                <w:color w:val="auto"/>
                <w:szCs w:val="21"/>
                <w:highlight w:val="none"/>
              </w:rPr>
              <w:t>处置</w:t>
            </w:r>
            <w:r>
              <w:rPr>
                <w:rFonts w:hint="eastAsia"/>
                <w:bCs/>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Align w:val="center"/>
          </w:tcPr>
          <w:p>
            <w:pPr>
              <w:adjustRightInd w:val="0"/>
              <w:snapToGrid w:val="0"/>
              <w:jc w:val="center"/>
              <w:rPr>
                <w:color w:val="auto"/>
                <w:szCs w:val="21"/>
                <w:highlight w:val="none"/>
              </w:rPr>
            </w:pPr>
            <w:r>
              <w:rPr>
                <w:rFonts w:hint="eastAsia"/>
                <w:color w:val="auto"/>
                <w:szCs w:val="21"/>
                <w:highlight w:val="none"/>
              </w:rPr>
              <w:t>土壤及地下水</w:t>
            </w:r>
          </w:p>
          <w:p>
            <w:pPr>
              <w:adjustRightInd w:val="0"/>
              <w:snapToGrid w:val="0"/>
              <w:jc w:val="center"/>
              <w:rPr>
                <w:color w:val="auto"/>
                <w:szCs w:val="21"/>
                <w:highlight w:val="none"/>
              </w:rPr>
            </w:pPr>
            <w:r>
              <w:rPr>
                <w:rFonts w:hint="eastAsia"/>
                <w:color w:val="auto"/>
                <w:szCs w:val="21"/>
                <w:highlight w:val="none"/>
              </w:rPr>
              <w:t>污染防治措施</w:t>
            </w:r>
          </w:p>
        </w:tc>
        <w:tc>
          <w:tcPr>
            <w:tcW w:w="7613" w:type="dxa"/>
            <w:gridSpan w:val="4"/>
            <w:vAlign w:val="center"/>
          </w:tcPr>
          <w:p>
            <w:pPr>
              <w:adjustRightInd w:val="0"/>
              <w:snapToGrid w:val="0"/>
              <w:rPr>
                <w:color w:val="auto"/>
                <w:szCs w:val="21"/>
                <w:highlight w:val="none"/>
              </w:rPr>
            </w:pPr>
            <w:r>
              <w:rPr>
                <w:rFonts w:hint="eastAsia"/>
                <w:color w:val="auto"/>
                <w:szCs w:val="21"/>
                <w:highlight w:val="none"/>
              </w:rPr>
              <w:t>本次新增</w:t>
            </w:r>
            <w:r>
              <w:rPr>
                <w:rFonts w:hint="eastAsia"/>
                <w:color w:val="auto"/>
                <w:szCs w:val="21"/>
                <w:highlight w:val="none"/>
                <w:lang w:eastAsia="zh-CN"/>
              </w:rPr>
              <w:t>污水罐</w:t>
            </w:r>
            <w:r>
              <w:rPr>
                <w:rFonts w:hint="eastAsia"/>
                <w:color w:val="auto"/>
                <w:szCs w:val="21"/>
                <w:highlight w:val="none"/>
              </w:rPr>
              <w:t>、</w:t>
            </w:r>
            <w:r>
              <w:rPr>
                <w:rFonts w:hint="eastAsia"/>
                <w:color w:val="auto"/>
                <w:szCs w:val="21"/>
                <w:highlight w:val="none"/>
                <w:lang w:eastAsia="zh-CN"/>
              </w:rPr>
              <w:t>泥砂分离</w:t>
            </w:r>
            <w:r>
              <w:rPr>
                <w:rFonts w:hint="eastAsia"/>
                <w:color w:val="auto"/>
                <w:szCs w:val="21"/>
                <w:highlight w:val="none"/>
              </w:rPr>
              <w:t>车间等均采取一般防渗措施，危废暂存间运营期加强管理。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Align w:val="center"/>
          </w:tcPr>
          <w:p>
            <w:pPr>
              <w:adjustRightInd w:val="0"/>
              <w:snapToGrid w:val="0"/>
              <w:jc w:val="center"/>
              <w:rPr>
                <w:color w:val="auto"/>
                <w:szCs w:val="21"/>
                <w:highlight w:val="none"/>
              </w:rPr>
            </w:pPr>
            <w:r>
              <w:rPr>
                <w:rFonts w:hint="eastAsia"/>
                <w:color w:val="auto"/>
                <w:szCs w:val="21"/>
                <w:highlight w:val="none"/>
              </w:rPr>
              <w:t>生态保护措施</w:t>
            </w:r>
          </w:p>
        </w:tc>
        <w:tc>
          <w:tcPr>
            <w:tcW w:w="7613" w:type="dxa"/>
            <w:gridSpan w:val="4"/>
            <w:vAlign w:val="center"/>
          </w:tcPr>
          <w:p>
            <w:pPr>
              <w:pStyle w:val="44"/>
              <w:jc w:val="center"/>
              <w:rPr>
                <w:color w:val="auto"/>
                <w:highlight w:val="none"/>
              </w:rPr>
            </w:pPr>
            <w:r>
              <w:rPr>
                <w:rFonts w:ascii="Times New Roman" w:hAnsi="Times New Roman" w:cs="Times New Roman"/>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Align w:val="center"/>
          </w:tcPr>
          <w:p>
            <w:pPr>
              <w:adjustRightInd w:val="0"/>
              <w:snapToGrid w:val="0"/>
              <w:jc w:val="center"/>
              <w:rPr>
                <w:color w:val="auto"/>
                <w:szCs w:val="21"/>
                <w:highlight w:val="none"/>
              </w:rPr>
            </w:pPr>
            <w:r>
              <w:rPr>
                <w:rFonts w:hint="eastAsia"/>
                <w:color w:val="auto"/>
                <w:szCs w:val="21"/>
                <w:highlight w:val="none"/>
              </w:rPr>
              <w:t>环境风险</w:t>
            </w:r>
          </w:p>
          <w:p>
            <w:pPr>
              <w:adjustRightInd w:val="0"/>
              <w:snapToGrid w:val="0"/>
              <w:jc w:val="center"/>
              <w:rPr>
                <w:color w:val="auto"/>
                <w:szCs w:val="21"/>
                <w:highlight w:val="none"/>
              </w:rPr>
            </w:pPr>
            <w:r>
              <w:rPr>
                <w:rFonts w:hint="eastAsia"/>
                <w:color w:val="auto"/>
                <w:szCs w:val="21"/>
                <w:highlight w:val="none"/>
              </w:rPr>
              <w:t>防范措施</w:t>
            </w:r>
          </w:p>
        </w:tc>
        <w:tc>
          <w:tcPr>
            <w:tcW w:w="7613" w:type="dxa"/>
            <w:gridSpan w:val="4"/>
            <w:vAlign w:val="center"/>
          </w:tcPr>
          <w:p>
            <w:pPr>
              <w:adjustRightInd w:val="0"/>
              <w:snapToGrid w:val="0"/>
              <w:jc w:val="center"/>
              <w:rPr>
                <w:color w:val="auto"/>
                <w:szCs w:val="21"/>
                <w:highlight w:val="none"/>
              </w:rPr>
            </w:pPr>
            <w:r>
              <w:rPr>
                <w:color w:val="auto"/>
                <w:szCs w:val="21"/>
                <w:highlight w:val="none"/>
              </w:rPr>
              <w:t>加强风险物质</w:t>
            </w:r>
            <w:r>
              <w:rPr>
                <w:rFonts w:hint="eastAsia"/>
                <w:color w:val="auto"/>
                <w:szCs w:val="21"/>
                <w:highlight w:val="none"/>
              </w:rPr>
              <w:t>（润滑油和废润滑油）</w:t>
            </w:r>
            <w:r>
              <w:rPr>
                <w:color w:val="auto"/>
                <w:szCs w:val="21"/>
                <w:highlight w:val="none"/>
              </w:rPr>
              <w:t>管理，安全操作</w:t>
            </w:r>
            <w:r>
              <w:rPr>
                <w:rFonts w:hint="eastAsia"/>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vAlign w:val="center"/>
          </w:tcPr>
          <w:p>
            <w:pPr>
              <w:adjustRightInd w:val="0"/>
              <w:snapToGrid w:val="0"/>
              <w:jc w:val="center"/>
              <w:rPr>
                <w:color w:val="auto"/>
                <w:szCs w:val="21"/>
                <w:highlight w:val="none"/>
              </w:rPr>
            </w:pPr>
            <w:r>
              <w:rPr>
                <w:rFonts w:hint="eastAsia"/>
                <w:color w:val="auto"/>
                <w:szCs w:val="21"/>
                <w:highlight w:val="none"/>
              </w:rPr>
              <w:t>其他环境</w:t>
            </w:r>
          </w:p>
          <w:p>
            <w:pPr>
              <w:adjustRightInd w:val="0"/>
              <w:snapToGrid w:val="0"/>
              <w:jc w:val="center"/>
              <w:rPr>
                <w:color w:val="auto"/>
                <w:szCs w:val="21"/>
                <w:highlight w:val="none"/>
              </w:rPr>
            </w:pPr>
            <w:r>
              <w:rPr>
                <w:rFonts w:hint="eastAsia"/>
                <w:color w:val="auto"/>
                <w:szCs w:val="21"/>
                <w:highlight w:val="none"/>
              </w:rPr>
              <w:t>管理要求</w:t>
            </w:r>
          </w:p>
        </w:tc>
        <w:tc>
          <w:tcPr>
            <w:tcW w:w="7613" w:type="dxa"/>
            <w:gridSpan w:val="4"/>
            <w:vAlign w:val="center"/>
          </w:tcPr>
          <w:p>
            <w:pPr>
              <w:adjustRightInd w:val="0"/>
              <w:snapToGrid w:val="0"/>
              <w:rPr>
                <w:color w:val="auto"/>
                <w:szCs w:val="21"/>
                <w:highlight w:val="none"/>
              </w:rPr>
            </w:pPr>
            <w:r>
              <w:rPr>
                <w:rFonts w:hint="eastAsia"/>
                <w:color w:val="auto"/>
                <w:highlight w:val="none"/>
              </w:rPr>
              <w:t>项目建成后</w:t>
            </w:r>
            <w:r>
              <w:rPr>
                <w:rFonts w:hint="eastAsia"/>
                <w:color w:val="auto"/>
                <w:szCs w:val="21"/>
                <w:highlight w:val="none"/>
              </w:rPr>
              <w:t>要求开展环保竣工验收和排污许可手续，按照废气污染源监测要求和噪声排放监测要求，组织开展自行监测工作，监测工作可委托第三方具有检测认证资质的专业机构。</w:t>
            </w:r>
          </w:p>
        </w:tc>
      </w:tr>
    </w:tbl>
    <w:p>
      <w:pPr>
        <w:pStyle w:val="29"/>
        <w:jc w:val="center"/>
        <w:outlineLvl w:val="0"/>
        <w:rPr>
          <w:rFonts w:ascii="黑体" w:hAnsi="黑体" w:eastAsia="黑体"/>
          <w:snapToGrid w:val="0"/>
          <w:color w:val="auto"/>
          <w:sz w:val="30"/>
          <w:szCs w:val="30"/>
          <w:highlight w:val="none"/>
        </w:rPr>
      </w:pPr>
      <w:r>
        <w:rPr>
          <w:snapToGrid w:val="0"/>
          <w:color w:val="auto"/>
          <w:highlight w:val="none"/>
        </w:rPr>
        <w:br w:type="page"/>
      </w:r>
      <w:r>
        <w:rPr>
          <w:rFonts w:hint="eastAsia" w:ascii="黑体" w:hAnsi="黑体" w:eastAsia="黑体"/>
          <w:snapToGrid w:val="0"/>
          <w:color w:val="auto"/>
          <w:sz w:val="30"/>
          <w:szCs w:val="30"/>
          <w:highlight w:val="none"/>
        </w:rPr>
        <w:t>六、结论</w:t>
      </w:r>
    </w:p>
    <w:tbl>
      <w:tblPr>
        <w:tblStyle w:val="34"/>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37" w:hRule="atLeast"/>
          <w:jc w:val="center"/>
        </w:trPr>
        <w:tc>
          <w:tcPr>
            <w:tcW w:w="8865" w:type="dxa"/>
          </w:tcPr>
          <w:p>
            <w:pPr>
              <w:pStyle w:val="13"/>
              <w:spacing w:line="360" w:lineRule="auto"/>
              <w:ind w:firstLine="480" w:firstLineChars="200"/>
              <w:rPr>
                <w:rFonts w:ascii="宋体" w:hAnsi="宋体" w:cs="宋体"/>
                <w:color w:val="auto"/>
                <w:highlight w:val="none"/>
              </w:rPr>
            </w:pPr>
            <w:r>
              <w:rPr>
                <w:rFonts w:hint="eastAsia"/>
                <w:color w:val="auto"/>
                <w:highlight w:val="none"/>
              </w:rPr>
              <w:t>洋县瑞庆新型节能建材厂开展的洋县瑞庆新型节能建材厂泥</w:t>
            </w:r>
            <w:r>
              <w:rPr>
                <w:rFonts w:hint="eastAsia" w:hAnsi="宋体"/>
                <w:color w:val="auto"/>
                <w:sz w:val="24"/>
                <w:highlight w:val="none"/>
                <w:lang w:eastAsia="zh-CN"/>
              </w:rPr>
              <w:t>砂</w:t>
            </w:r>
            <w:r>
              <w:rPr>
                <w:rFonts w:hint="eastAsia"/>
                <w:color w:val="auto"/>
                <w:highlight w:val="none"/>
              </w:rPr>
              <w:t>分离项目</w:t>
            </w:r>
            <w:r>
              <w:rPr>
                <w:rFonts w:hint="eastAsia" w:ascii="宋体" w:hAnsi="宋体" w:cs="宋体"/>
                <w:color w:val="auto"/>
                <w:highlight w:val="none"/>
              </w:rPr>
              <w:t>符合相关的生态环境保护法律法规要求，各污染源采取的环保措施合理有效，技术可行。</w:t>
            </w:r>
            <w:r>
              <w:rPr>
                <w:rFonts w:hint="eastAsia"/>
                <w:color w:val="auto"/>
                <w:highlight w:val="none"/>
              </w:rPr>
              <w:t>建设方在落实本环评提出的各项污染防治措施后，</w:t>
            </w:r>
            <w:r>
              <w:rPr>
                <w:rFonts w:hint="eastAsia" w:ascii="宋体" w:hAnsi="宋体" w:cs="宋体"/>
                <w:color w:val="auto"/>
                <w:highlight w:val="none"/>
              </w:rPr>
              <w:t>废气能实现达标排放；生产废水经絮凝沉淀后回用；生活污水依托现有化粪池处理后，用于周边农田施肥；噪声可达标排放；固废均能实现资源化或无害化处置，对评价区域环境质量的影响较小。</w:t>
            </w:r>
          </w:p>
          <w:p>
            <w:pPr>
              <w:widowControl/>
              <w:spacing w:line="360" w:lineRule="auto"/>
              <w:ind w:firstLine="480" w:firstLineChars="200"/>
              <w:rPr>
                <w:color w:val="auto"/>
                <w:highlight w:val="none"/>
              </w:rPr>
            </w:pPr>
            <w:r>
              <w:rPr>
                <w:rFonts w:hint="eastAsia" w:ascii="宋体" w:hAnsi="宋体" w:cs="宋体"/>
                <w:color w:val="auto"/>
                <w:kern w:val="0"/>
                <w:sz w:val="24"/>
                <w:highlight w:val="none"/>
              </w:rPr>
              <w:t>综上，从环境保护角度分析，本次扩建可行。</w:t>
            </w:r>
          </w:p>
          <w:p>
            <w:pPr>
              <w:pStyle w:val="42"/>
              <w:spacing w:line="360" w:lineRule="auto"/>
              <w:ind w:firstLine="480"/>
              <w:rPr>
                <w:color w:val="auto"/>
                <w:highlight w:val="none"/>
              </w:rPr>
            </w:pPr>
          </w:p>
        </w:tc>
      </w:tr>
    </w:tbl>
    <w:p>
      <w:pPr>
        <w:rPr>
          <w:rFonts w:ascii="宋体"/>
          <w:color w:val="auto"/>
          <w:highlight w:val="none"/>
        </w:rPr>
        <w:sectPr>
          <w:pgSz w:w="11906" w:h="16838"/>
          <w:pgMar w:top="1701" w:right="1531" w:bottom="1701" w:left="1531" w:header="851" w:footer="851" w:gutter="0"/>
          <w:cols w:space="720" w:num="1"/>
          <w:docGrid w:linePitch="312" w:charSpace="0"/>
        </w:sectPr>
      </w:pPr>
    </w:p>
    <w:p>
      <w:pPr>
        <w:pStyle w:val="29"/>
        <w:adjustRightInd w:val="0"/>
        <w:snapToGrid w:val="0"/>
        <w:spacing w:before="0" w:beforeAutospacing="0" w:after="0" w:afterAutospacing="0" w:line="480" w:lineRule="auto"/>
        <w:outlineLvl w:val="0"/>
        <w:rPr>
          <w:rFonts w:ascii="黑体" w:hAnsi="黑体" w:eastAsia="黑体"/>
          <w:snapToGrid w:val="0"/>
          <w:color w:val="auto"/>
          <w:sz w:val="32"/>
          <w:szCs w:val="32"/>
          <w:highlight w:val="none"/>
        </w:rPr>
      </w:pPr>
      <w:r>
        <w:rPr>
          <w:rFonts w:hint="eastAsia" w:ascii="黑体" w:hAnsi="黑体" w:eastAsia="黑体"/>
          <w:snapToGrid w:val="0"/>
          <w:color w:val="auto"/>
          <w:sz w:val="32"/>
          <w:szCs w:val="32"/>
          <w:highlight w:val="none"/>
        </w:rPr>
        <w:t>附表</w:t>
      </w:r>
    </w:p>
    <w:p>
      <w:pPr>
        <w:pStyle w:val="29"/>
        <w:adjustRightInd w:val="0"/>
        <w:snapToGrid w:val="0"/>
        <w:spacing w:before="0" w:beforeAutospacing="0" w:after="0" w:afterAutospacing="0" w:line="276" w:lineRule="auto"/>
        <w:jc w:val="center"/>
        <w:rPr>
          <w:rFonts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3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418"/>
        <w:gridCol w:w="1701"/>
        <w:gridCol w:w="1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87"/>
              <w:spacing w:beforeLines="0" w:afterLines="0" w:line="240" w:lineRule="auto"/>
              <w:jc w:val="right"/>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项目</w:t>
            </w:r>
          </w:p>
          <w:p>
            <w:pPr>
              <w:pStyle w:val="87"/>
              <w:spacing w:beforeLines="0" w:afterLines="0" w:line="240" w:lineRule="auto"/>
              <w:jc w:val="left"/>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分类</w:t>
            </w:r>
          </w:p>
        </w:tc>
        <w:tc>
          <w:tcPr>
            <w:tcW w:w="1417" w:type="dxa"/>
            <w:tcMar>
              <w:left w:w="28" w:type="dxa"/>
              <w:right w:w="28" w:type="dxa"/>
            </w:tcMar>
            <w:vAlign w:val="center"/>
          </w:tcPr>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污染物名称</w:t>
            </w:r>
          </w:p>
        </w:tc>
        <w:tc>
          <w:tcPr>
            <w:tcW w:w="1701" w:type="dxa"/>
            <w:tcMar>
              <w:left w:w="28" w:type="dxa"/>
              <w:right w:w="28" w:type="dxa"/>
            </w:tcMar>
            <w:vAlign w:val="center"/>
          </w:tcPr>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现有工程</w:t>
            </w:r>
          </w:p>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排放量（固体废物产生量）</w:t>
            </w: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1 \* GB3 \* MERGEFORMAT </w:instrText>
            </w:r>
            <w:r>
              <w:rPr>
                <w:rFonts w:ascii="Times New Roman" w:eastAsia="黑体"/>
                <w:snapToGrid w:val="0"/>
                <w:color w:val="auto"/>
                <w:spacing w:val="-6"/>
                <w:kern w:val="21"/>
                <w:szCs w:val="21"/>
                <w:highlight w:val="none"/>
              </w:rPr>
              <w:fldChar w:fldCharType="separate"/>
            </w:r>
            <w:r>
              <w:rPr>
                <w:rFonts w:hint="eastAsia" w:hAnsi="宋体" w:cs="宋体"/>
                <w:color w:val="auto"/>
                <w:kern w:val="2"/>
                <w:szCs w:val="21"/>
                <w:highlight w:val="none"/>
              </w:rPr>
              <w:t>①</w:t>
            </w:r>
            <w:r>
              <w:rPr>
                <w:rFonts w:ascii="Times New Roman" w:eastAsia="黑体"/>
                <w:snapToGrid w:val="0"/>
                <w:color w:val="auto"/>
                <w:spacing w:val="-6"/>
                <w:kern w:val="21"/>
                <w:szCs w:val="21"/>
                <w:highlight w:val="none"/>
              </w:rPr>
              <w:fldChar w:fldCharType="end"/>
            </w:r>
          </w:p>
        </w:tc>
        <w:tc>
          <w:tcPr>
            <w:tcW w:w="1276" w:type="dxa"/>
            <w:tcMar>
              <w:left w:w="28" w:type="dxa"/>
              <w:right w:w="28" w:type="dxa"/>
            </w:tcMar>
            <w:vAlign w:val="center"/>
          </w:tcPr>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现有工程</w:t>
            </w:r>
          </w:p>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许可排放量</w:t>
            </w:r>
          </w:p>
          <w:p>
            <w:pPr>
              <w:pStyle w:val="87"/>
              <w:spacing w:beforeLines="0" w:afterLines="0"/>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2 \* GB3 \* MERGEFORMAT </w:instrText>
            </w:r>
            <w:r>
              <w:rPr>
                <w:rFonts w:ascii="Times New Roman" w:eastAsia="黑体"/>
                <w:snapToGrid w:val="0"/>
                <w:color w:val="auto"/>
                <w:spacing w:val="-6"/>
                <w:kern w:val="21"/>
                <w:szCs w:val="21"/>
                <w:highlight w:val="none"/>
              </w:rPr>
              <w:fldChar w:fldCharType="separate"/>
            </w:r>
            <w:r>
              <w:rPr>
                <w:rFonts w:hint="eastAsia" w:hAnsi="宋体" w:cs="宋体"/>
                <w:snapToGrid w:val="0"/>
                <w:color w:val="auto"/>
                <w:spacing w:val="-6"/>
                <w:kern w:val="21"/>
                <w:szCs w:val="21"/>
                <w:highlight w:val="none"/>
              </w:rPr>
              <w:t>②</w:t>
            </w:r>
            <w:r>
              <w:rPr>
                <w:rFonts w:ascii="Times New Roman" w:eastAsia="黑体"/>
                <w:snapToGrid w:val="0"/>
                <w:color w:val="auto"/>
                <w:spacing w:val="-6"/>
                <w:kern w:val="21"/>
                <w:szCs w:val="21"/>
                <w:highlight w:val="none"/>
              </w:rPr>
              <w:fldChar w:fldCharType="end"/>
            </w:r>
          </w:p>
        </w:tc>
        <w:tc>
          <w:tcPr>
            <w:tcW w:w="1701" w:type="dxa"/>
            <w:tcMar>
              <w:left w:w="28" w:type="dxa"/>
              <w:right w:w="28" w:type="dxa"/>
            </w:tcMar>
            <w:vAlign w:val="center"/>
          </w:tcPr>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在建工程</w:t>
            </w:r>
          </w:p>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排放量（固体废物产生量）</w:t>
            </w: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3 \* GB3 \* MERGEFORMAT </w:instrText>
            </w:r>
            <w:r>
              <w:rPr>
                <w:rFonts w:ascii="Times New Roman" w:eastAsia="黑体"/>
                <w:snapToGrid w:val="0"/>
                <w:color w:val="auto"/>
                <w:spacing w:val="-6"/>
                <w:kern w:val="21"/>
                <w:szCs w:val="21"/>
                <w:highlight w:val="none"/>
              </w:rPr>
              <w:fldChar w:fldCharType="separate"/>
            </w:r>
            <w:r>
              <w:rPr>
                <w:rFonts w:hint="eastAsia" w:hAnsi="宋体" w:cs="宋体"/>
                <w:color w:val="auto"/>
                <w:kern w:val="2"/>
                <w:szCs w:val="21"/>
                <w:highlight w:val="none"/>
              </w:rPr>
              <w:t>③</w:t>
            </w:r>
            <w:r>
              <w:rPr>
                <w:rFonts w:ascii="Times New Roman" w:eastAsia="黑体"/>
                <w:snapToGrid w:val="0"/>
                <w:color w:val="auto"/>
                <w:spacing w:val="-6"/>
                <w:kern w:val="21"/>
                <w:szCs w:val="21"/>
                <w:highlight w:val="none"/>
              </w:rPr>
              <w:fldChar w:fldCharType="end"/>
            </w:r>
          </w:p>
        </w:tc>
        <w:tc>
          <w:tcPr>
            <w:tcW w:w="1559" w:type="dxa"/>
            <w:tcMar>
              <w:left w:w="28" w:type="dxa"/>
              <w:right w:w="28" w:type="dxa"/>
            </w:tcMar>
            <w:vAlign w:val="center"/>
          </w:tcPr>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本项目</w:t>
            </w:r>
          </w:p>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排放量（固体废物产生量）</w:t>
            </w: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4 \* GB3 \* MERGEFORMAT </w:instrText>
            </w:r>
            <w:r>
              <w:rPr>
                <w:rFonts w:ascii="Times New Roman" w:eastAsia="黑体"/>
                <w:snapToGrid w:val="0"/>
                <w:color w:val="auto"/>
                <w:spacing w:val="-6"/>
                <w:kern w:val="21"/>
                <w:szCs w:val="21"/>
                <w:highlight w:val="none"/>
              </w:rPr>
              <w:fldChar w:fldCharType="separate"/>
            </w:r>
            <w:r>
              <w:rPr>
                <w:rFonts w:hint="eastAsia" w:hAnsi="宋体" w:cs="宋体"/>
                <w:color w:val="auto"/>
                <w:kern w:val="2"/>
                <w:szCs w:val="21"/>
                <w:highlight w:val="none"/>
              </w:rPr>
              <w:t>④</w:t>
            </w:r>
            <w:r>
              <w:rPr>
                <w:rFonts w:ascii="Times New Roman" w:eastAsia="黑体"/>
                <w:snapToGrid w:val="0"/>
                <w:color w:val="auto"/>
                <w:spacing w:val="-6"/>
                <w:kern w:val="21"/>
                <w:szCs w:val="21"/>
                <w:highlight w:val="none"/>
              </w:rPr>
              <w:fldChar w:fldCharType="end"/>
            </w:r>
          </w:p>
        </w:tc>
        <w:tc>
          <w:tcPr>
            <w:tcW w:w="1418" w:type="dxa"/>
            <w:tcMar>
              <w:left w:w="28" w:type="dxa"/>
              <w:right w:w="28" w:type="dxa"/>
            </w:tcMar>
            <w:vAlign w:val="center"/>
          </w:tcPr>
          <w:p>
            <w:pPr>
              <w:pStyle w:val="87"/>
              <w:spacing w:beforeLines="0" w:afterLines="0" w:line="240" w:lineRule="auto"/>
              <w:rPr>
                <w:rFonts w:ascii="Times New Roman" w:eastAsia="黑体"/>
                <w:snapToGrid w:val="0"/>
                <w:color w:val="auto"/>
                <w:spacing w:val="-16"/>
                <w:kern w:val="21"/>
                <w:szCs w:val="21"/>
                <w:highlight w:val="none"/>
              </w:rPr>
            </w:pPr>
            <w:r>
              <w:rPr>
                <w:rFonts w:ascii="Times New Roman" w:eastAsia="黑体"/>
                <w:snapToGrid w:val="0"/>
                <w:color w:val="auto"/>
                <w:spacing w:val="-16"/>
                <w:kern w:val="21"/>
                <w:szCs w:val="21"/>
                <w:highlight w:val="none"/>
              </w:rPr>
              <w:t>以新带老削减量</w:t>
            </w:r>
          </w:p>
          <w:p>
            <w:pPr>
              <w:pStyle w:val="87"/>
              <w:spacing w:beforeLines="0" w:afterLines="0" w:line="240" w:lineRule="auto"/>
              <w:rPr>
                <w:rFonts w:ascii="Times New Roman" w:eastAsia="黑体"/>
                <w:snapToGrid w:val="0"/>
                <w:color w:val="auto"/>
                <w:spacing w:val="-16"/>
                <w:kern w:val="21"/>
                <w:szCs w:val="21"/>
                <w:highlight w:val="none"/>
              </w:rPr>
            </w:pPr>
            <w:r>
              <w:rPr>
                <w:rFonts w:ascii="Times New Roman" w:eastAsia="黑体"/>
                <w:snapToGrid w:val="0"/>
                <w:color w:val="auto"/>
                <w:spacing w:val="-16"/>
                <w:kern w:val="21"/>
                <w:szCs w:val="21"/>
                <w:highlight w:val="none"/>
              </w:rPr>
              <w:t>（新建项目不填）</w:t>
            </w:r>
            <w:r>
              <w:rPr>
                <w:rFonts w:ascii="Times New Roman" w:eastAsia="黑体"/>
                <w:snapToGrid w:val="0"/>
                <w:color w:val="auto"/>
                <w:spacing w:val="-16"/>
                <w:kern w:val="21"/>
                <w:szCs w:val="21"/>
                <w:highlight w:val="none"/>
              </w:rPr>
              <w:fldChar w:fldCharType="begin"/>
            </w:r>
            <w:r>
              <w:rPr>
                <w:rFonts w:ascii="Times New Roman" w:eastAsia="黑体"/>
                <w:snapToGrid w:val="0"/>
                <w:color w:val="auto"/>
                <w:spacing w:val="-16"/>
                <w:kern w:val="21"/>
                <w:szCs w:val="21"/>
                <w:highlight w:val="none"/>
              </w:rPr>
              <w:instrText xml:space="preserve"> = 5 \* GB3 \* MERGEFORMAT </w:instrText>
            </w:r>
            <w:r>
              <w:rPr>
                <w:rFonts w:ascii="Times New Roman" w:eastAsia="黑体"/>
                <w:snapToGrid w:val="0"/>
                <w:color w:val="auto"/>
                <w:spacing w:val="-16"/>
                <w:kern w:val="21"/>
                <w:szCs w:val="21"/>
                <w:highlight w:val="none"/>
              </w:rPr>
              <w:fldChar w:fldCharType="separate"/>
            </w:r>
            <w:r>
              <w:rPr>
                <w:rFonts w:hint="eastAsia" w:hAnsi="宋体" w:cs="宋体"/>
                <w:color w:val="auto"/>
                <w:kern w:val="2"/>
                <w:szCs w:val="21"/>
                <w:highlight w:val="none"/>
              </w:rPr>
              <w:t>⑤</w:t>
            </w:r>
            <w:r>
              <w:rPr>
                <w:rFonts w:ascii="Times New Roman" w:eastAsia="黑体"/>
                <w:snapToGrid w:val="0"/>
                <w:color w:val="auto"/>
                <w:spacing w:val="-16"/>
                <w:kern w:val="21"/>
                <w:szCs w:val="21"/>
                <w:highlight w:val="none"/>
              </w:rPr>
              <w:fldChar w:fldCharType="end"/>
            </w:r>
          </w:p>
        </w:tc>
        <w:tc>
          <w:tcPr>
            <w:tcW w:w="1701" w:type="dxa"/>
            <w:tcMar>
              <w:left w:w="28" w:type="dxa"/>
              <w:right w:w="28" w:type="dxa"/>
            </w:tcMar>
            <w:vAlign w:val="center"/>
          </w:tcPr>
          <w:p>
            <w:pPr>
              <w:pStyle w:val="87"/>
              <w:spacing w:beforeLines="0" w:afterLines="0" w:line="240" w:lineRule="auto"/>
              <w:rPr>
                <w:rFonts w:ascii="Times New Roman" w:eastAsia="黑体"/>
                <w:snapToGrid w:val="0"/>
                <w:color w:val="auto"/>
                <w:spacing w:val="-16"/>
                <w:kern w:val="21"/>
                <w:szCs w:val="21"/>
                <w:highlight w:val="none"/>
              </w:rPr>
            </w:pPr>
            <w:r>
              <w:rPr>
                <w:rFonts w:ascii="Times New Roman" w:eastAsia="黑体"/>
                <w:snapToGrid w:val="0"/>
                <w:color w:val="auto"/>
                <w:spacing w:val="-16"/>
                <w:kern w:val="21"/>
                <w:szCs w:val="21"/>
                <w:highlight w:val="none"/>
              </w:rPr>
              <w:t>本项目建成后</w:t>
            </w:r>
          </w:p>
          <w:p>
            <w:pPr>
              <w:pStyle w:val="87"/>
              <w:spacing w:beforeLines="0" w:afterLines="0" w:line="240" w:lineRule="auto"/>
              <w:rPr>
                <w:rFonts w:ascii="Times New Roman" w:eastAsia="黑体"/>
                <w:snapToGrid w:val="0"/>
                <w:color w:val="auto"/>
                <w:spacing w:val="-16"/>
                <w:kern w:val="21"/>
                <w:szCs w:val="21"/>
                <w:highlight w:val="none"/>
              </w:rPr>
            </w:pPr>
            <w:r>
              <w:rPr>
                <w:rFonts w:ascii="Times New Roman" w:eastAsia="黑体"/>
                <w:snapToGrid w:val="0"/>
                <w:color w:val="auto"/>
                <w:spacing w:val="-16"/>
                <w:kern w:val="21"/>
                <w:szCs w:val="21"/>
                <w:highlight w:val="none"/>
              </w:rPr>
              <w:t>全厂排放量（固体废物产生量）</w:t>
            </w:r>
            <w:r>
              <w:rPr>
                <w:rFonts w:ascii="Times New Roman" w:eastAsia="黑体"/>
                <w:snapToGrid w:val="0"/>
                <w:color w:val="auto"/>
                <w:spacing w:val="-16"/>
                <w:kern w:val="21"/>
                <w:szCs w:val="21"/>
                <w:highlight w:val="none"/>
              </w:rPr>
              <w:fldChar w:fldCharType="begin"/>
            </w:r>
            <w:r>
              <w:rPr>
                <w:rFonts w:ascii="Times New Roman" w:eastAsia="黑体"/>
                <w:snapToGrid w:val="0"/>
                <w:color w:val="auto"/>
                <w:spacing w:val="-16"/>
                <w:kern w:val="21"/>
                <w:szCs w:val="21"/>
                <w:highlight w:val="none"/>
              </w:rPr>
              <w:instrText xml:space="preserve"> = 6 \* GB3 \* MERGEFORMAT </w:instrText>
            </w:r>
            <w:r>
              <w:rPr>
                <w:rFonts w:ascii="Times New Roman" w:eastAsia="黑体"/>
                <w:snapToGrid w:val="0"/>
                <w:color w:val="auto"/>
                <w:spacing w:val="-16"/>
                <w:kern w:val="21"/>
                <w:szCs w:val="21"/>
                <w:highlight w:val="none"/>
              </w:rPr>
              <w:fldChar w:fldCharType="separate"/>
            </w:r>
            <w:r>
              <w:rPr>
                <w:rFonts w:hint="eastAsia" w:hAnsi="宋体" w:cs="宋体"/>
                <w:color w:val="auto"/>
                <w:kern w:val="2"/>
                <w:szCs w:val="21"/>
                <w:highlight w:val="none"/>
              </w:rPr>
              <w:t>⑥</w:t>
            </w:r>
            <w:r>
              <w:rPr>
                <w:rFonts w:ascii="Times New Roman" w:eastAsia="黑体"/>
                <w:snapToGrid w:val="0"/>
                <w:color w:val="auto"/>
                <w:spacing w:val="-16"/>
                <w:kern w:val="21"/>
                <w:szCs w:val="21"/>
                <w:highlight w:val="none"/>
              </w:rPr>
              <w:fldChar w:fldCharType="end"/>
            </w:r>
          </w:p>
        </w:tc>
        <w:tc>
          <w:tcPr>
            <w:tcW w:w="1427" w:type="dxa"/>
            <w:tcMar>
              <w:left w:w="28" w:type="dxa"/>
              <w:right w:w="28" w:type="dxa"/>
            </w:tcMar>
            <w:vAlign w:val="center"/>
          </w:tcPr>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变化量</w:t>
            </w:r>
          </w:p>
          <w:p>
            <w:pPr>
              <w:pStyle w:val="87"/>
              <w:spacing w:beforeLines="0" w:afterLines="0" w:line="240" w:lineRule="auto"/>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7 \* GB3 \* MERGEFORMAT </w:instrText>
            </w:r>
            <w:r>
              <w:rPr>
                <w:rFonts w:ascii="Times New Roman" w:eastAsia="黑体"/>
                <w:snapToGrid w:val="0"/>
                <w:color w:val="auto"/>
                <w:spacing w:val="-6"/>
                <w:kern w:val="21"/>
                <w:szCs w:val="21"/>
                <w:highlight w:val="none"/>
              </w:rPr>
              <w:fldChar w:fldCharType="separate"/>
            </w:r>
            <w:r>
              <w:rPr>
                <w:rFonts w:hint="eastAsia" w:hAnsi="宋体" w:cs="宋体"/>
                <w:color w:val="auto"/>
                <w:kern w:val="2"/>
                <w:szCs w:val="21"/>
                <w:highlight w:val="none"/>
              </w:rPr>
              <w:t>⑦</w:t>
            </w:r>
            <w:r>
              <w:rPr>
                <w:rFonts w:ascii="Times New Roman" w:eastAsia="黑体"/>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废气</w:t>
            </w:r>
          </w:p>
        </w:tc>
        <w:tc>
          <w:tcPr>
            <w:tcW w:w="1417" w:type="dxa"/>
            <w:vAlign w:val="center"/>
          </w:tcPr>
          <w:p>
            <w:pPr>
              <w:pStyle w:val="42"/>
              <w:autoSpaceDE/>
              <w:autoSpaceDN/>
              <w:jc w:val="center"/>
              <w:rPr>
                <w:rFonts w:ascii="Times New Roman"/>
                <w:snapToGrid w:val="0"/>
                <w:color w:val="auto"/>
                <w:kern w:val="21"/>
                <w:szCs w:val="21"/>
                <w:highlight w:val="none"/>
              </w:rPr>
            </w:pPr>
            <w:r>
              <w:rPr>
                <w:rFonts w:hint="eastAsia" w:ascii="Times New Roman" w:cs="Times New Roman"/>
                <w:color w:val="auto"/>
                <w:sz w:val="21"/>
                <w:szCs w:val="21"/>
                <w:highlight w:val="none"/>
              </w:rPr>
              <w:t>颗粒物</w:t>
            </w:r>
          </w:p>
        </w:tc>
        <w:tc>
          <w:tcPr>
            <w:tcW w:w="1701" w:type="dxa"/>
            <w:vAlign w:val="center"/>
          </w:tcPr>
          <w:p>
            <w:pPr>
              <w:pStyle w:val="87"/>
              <w:spacing w:beforeLines="0" w:afterLines="0" w:line="240" w:lineRule="auto"/>
              <w:rPr>
                <w:snapToGrid w:val="0"/>
                <w:color w:val="auto"/>
                <w:kern w:val="21"/>
                <w:szCs w:val="21"/>
                <w:highlight w:val="none"/>
              </w:rPr>
            </w:pPr>
            <w:r>
              <w:rPr>
                <w:rFonts w:hint="eastAsia" w:ascii="Times New Roman" w:eastAsia="等线"/>
                <w:bCs/>
                <w:color w:val="auto"/>
                <w:szCs w:val="21"/>
                <w:highlight w:val="none"/>
              </w:rPr>
              <w:t>1.07t</w:t>
            </w:r>
            <w:r>
              <w:rPr>
                <w:rFonts w:ascii="Times New Roman" w:eastAsia="等线"/>
                <w:bCs/>
                <w:color w:val="auto"/>
                <w:szCs w:val="21"/>
                <w:highlight w:val="none"/>
              </w:rPr>
              <w:t>/a</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eastAsia="等线"/>
                <w:bCs/>
                <w:color w:val="auto"/>
                <w:szCs w:val="21"/>
                <w:highlight w:val="none"/>
              </w:rPr>
              <w:t>1.68</w:t>
            </w:r>
            <w:r>
              <w:rPr>
                <w:rFonts w:ascii="Times New Roman" w:eastAsia="等线"/>
                <w:bCs/>
                <w:color w:val="auto"/>
                <w:szCs w:val="21"/>
                <w:highlight w:val="none"/>
              </w:rPr>
              <w:t>t/a</w:t>
            </w:r>
          </w:p>
        </w:tc>
        <w:tc>
          <w:tcPr>
            <w:tcW w:w="1418" w:type="dxa"/>
            <w:vAlign w:val="center"/>
          </w:tcPr>
          <w:p>
            <w:pPr>
              <w:jc w:val="center"/>
              <w:rPr>
                <w:snapToGrid w:val="0"/>
                <w:color w:val="auto"/>
                <w:kern w:val="21"/>
                <w:szCs w:val="21"/>
                <w:highlight w:val="none"/>
              </w:rPr>
            </w:pPr>
            <w:r>
              <w:rPr>
                <w:rFonts w:hint="eastAsia"/>
                <w:snapToGrid w:val="0"/>
                <w:color w:val="auto"/>
                <w:kern w:val="21"/>
                <w:szCs w:val="21"/>
                <w:highlight w:val="none"/>
              </w:rPr>
              <w:t>0</w:t>
            </w:r>
          </w:p>
        </w:tc>
        <w:tc>
          <w:tcPr>
            <w:tcW w:w="1701" w:type="dxa"/>
            <w:vAlign w:val="center"/>
          </w:tcPr>
          <w:p>
            <w:pPr>
              <w:jc w:val="center"/>
              <w:rPr>
                <w:snapToGrid w:val="0"/>
                <w:color w:val="auto"/>
                <w:kern w:val="21"/>
                <w:szCs w:val="21"/>
                <w:highlight w:val="none"/>
              </w:rPr>
            </w:pPr>
            <w:r>
              <w:rPr>
                <w:rFonts w:hint="eastAsia" w:eastAsia="等线"/>
                <w:bCs/>
                <w:color w:val="auto"/>
                <w:szCs w:val="21"/>
                <w:highlight w:val="none"/>
              </w:rPr>
              <w:t>2.75t</w:t>
            </w:r>
            <w:r>
              <w:rPr>
                <w:rFonts w:eastAsia="等线"/>
                <w:bCs/>
                <w:color w:val="auto"/>
                <w:szCs w:val="21"/>
                <w:highlight w:val="none"/>
              </w:rPr>
              <w:t>/a</w:t>
            </w:r>
          </w:p>
        </w:tc>
        <w:tc>
          <w:tcPr>
            <w:tcW w:w="1427"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+1.68t/a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pPr>
              <w:pStyle w:val="87"/>
              <w:spacing w:beforeLines="0" w:afterLines="0" w:line="240" w:lineRule="auto"/>
              <w:rPr>
                <w:rFonts w:ascii="Times New Roman"/>
                <w:snapToGrid w:val="0"/>
                <w:color w:val="auto"/>
                <w:kern w:val="21"/>
                <w:szCs w:val="21"/>
                <w:highlight w:val="none"/>
              </w:rPr>
            </w:pPr>
          </w:p>
        </w:tc>
        <w:tc>
          <w:tcPr>
            <w:tcW w:w="1417" w:type="dxa"/>
            <w:vAlign w:val="center"/>
          </w:tcPr>
          <w:p>
            <w:pPr>
              <w:pStyle w:val="42"/>
              <w:autoSpaceDE/>
              <w:autoSpaceDN/>
              <w:jc w:val="center"/>
              <w:rPr>
                <w:rFonts w:ascii="Times New Roman"/>
                <w:snapToGrid w:val="0"/>
                <w:color w:val="auto"/>
                <w:kern w:val="21"/>
                <w:szCs w:val="21"/>
                <w:highlight w:val="none"/>
              </w:rPr>
            </w:pPr>
            <w:r>
              <w:rPr>
                <w:rFonts w:hint="eastAsia" w:ascii="Times New Roman" w:cs="Times New Roman"/>
                <w:color w:val="auto"/>
                <w:sz w:val="21"/>
                <w:szCs w:val="21"/>
                <w:highlight w:val="none"/>
              </w:rPr>
              <w:t>二氧化硫</w:t>
            </w:r>
          </w:p>
        </w:tc>
        <w:tc>
          <w:tcPr>
            <w:tcW w:w="1701" w:type="dxa"/>
            <w:vAlign w:val="center"/>
          </w:tcPr>
          <w:p>
            <w:pPr>
              <w:pStyle w:val="87"/>
              <w:spacing w:beforeLines="0" w:afterLines="0" w:line="240" w:lineRule="auto"/>
              <w:rPr>
                <w:snapToGrid w:val="0"/>
                <w:color w:val="auto"/>
                <w:kern w:val="21"/>
                <w:szCs w:val="21"/>
                <w:highlight w:val="none"/>
              </w:rPr>
            </w:pPr>
            <w:r>
              <w:rPr>
                <w:rFonts w:ascii="Times New Roman" w:eastAsia="等线"/>
                <w:bCs/>
                <w:color w:val="auto"/>
                <w:szCs w:val="21"/>
                <w:highlight w:val="none"/>
              </w:rPr>
              <w:t>29.21t/a</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eastAsia="等线"/>
                <w:bCs/>
                <w:color w:val="auto"/>
                <w:szCs w:val="21"/>
                <w:highlight w:val="none"/>
              </w:rPr>
            </w:pPr>
            <w:r>
              <w:rPr>
                <w:rFonts w:hint="eastAsia" w:ascii="Times New Roman" w:eastAsia="等线"/>
                <w:bCs/>
                <w:color w:val="auto"/>
                <w:szCs w:val="21"/>
                <w:highlight w:val="none"/>
              </w:rPr>
              <w:t>0</w:t>
            </w:r>
          </w:p>
        </w:tc>
        <w:tc>
          <w:tcPr>
            <w:tcW w:w="1418" w:type="dxa"/>
            <w:vAlign w:val="center"/>
          </w:tcPr>
          <w:p>
            <w:pPr>
              <w:jc w:val="center"/>
              <w:rPr>
                <w:snapToGrid w:val="0"/>
                <w:color w:val="auto"/>
                <w:kern w:val="21"/>
                <w:szCs w:val="21"/>
                <w:highlight w:val="none"/>
              </w:rPr>
            </w:pPr>
            <w:r>
              <w:rPr>
                <w:rFonts w:hint="eastAsia"/>
                <w:snapToGrid w:val="0"/>
                <w:color w:val="auto"/>
                <w:kern w:val="21"/>
                <w:szCs w:val="21"/>
                <w:highlight w:val="none"/>
              </w:rPr>
              <w:t>0</w:t>
            </w:r>
          </w:p>
        </w:tc>
        <w:tc>
          <w:tcPr>
            <w:tcW w:w="1701" w:type="dxa"/>
            <w:vAlign w:val="center"/>
          </w:tcPr>
          <w:p>
            <w:pPr>
              <w:pStyle w:val="87"/>
              <w:spacing w:beforeLines="0" w:afterLines="0" w:line="240" w:lineRule="auto"/>
              <w:rPr>
                <w:rFonts w:eastAsia="等线"/>
                <w:bCs/>
                <w:color w:val="auto"/>
                <w:szCs w:val="21"/>
                <w:highlight w:val="none"/>
              </w:rPr>
            </w:pPr>
            <w:r>
              <w:rPr>
                <w:rFonts w:ascii="Times New Roman" w:eastAsia="等线"/>
                <w:bCs/>
                <w:color w:val="auto"/>
                <w:szCs w:val="21"/>
                <w:highlight w:val="none"/>
              </w:rPr>
              <w:t>29.21t/a</w:t>
            </w:r>
          </w:p>
        </w:tc>
        <w:tc>
          <w:tcPr>
            <w:tcW w:w="1427" w:type="dxa"/>
            <w:vAlign w:val="center"/>
          </w:tcPr>
          <w:p>
            <w:pPr>
              <w:pStyle w:val="87"/>
              <w:spacing w:beforeLines="0" w:afterLines="0" w:line="240" w:lineRule="auto"/>
              <w:rPr>
                <w:rFonts w:ascii="Times New Roman" w:eastAsia="等线"/>
                <w:bCs/>
                <w:color w:val="auto"/>
                <w:szCs w:val="21"/>
                <w:highlight w:val="none"/>
              </w:rPr>
            </w:pPr>
            <w:r>
              <w:rPr>
                <w:rFonts w:hint="eastAsia" w:ascii="Times New Roman" w:eastAsia="等线"/>
                <w:bCs/>
                <w:color w:val="auto"/>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pPr>
              <w:pStyle w:val="87"/>
              <w:spacing w:beforeLines="0" w:afterLines="0" w:line="240" w:lineRule="auto"/>
              <w:rPr>
                <w:rFonts w:ascii="Times New Roman"/>
                <w:snapToGrid w:val="0"/>
                <w:color w:val="auto"/>
                <w:kern w:val="21"/>
                <w:szCs w:val="21"/>
                <w:highlight w:val="none"/>
              </w:rPr>
            </w:pPr>
          </w:p>
        </w:tc>
        <w:tc>
          <w:tcPr>
            <w:tcW w:w="1417" w:type="dxa"/>
            <w:vAlign w:val="center"/>
          </w:tcPr>
          <w:p>
            <w:pPr>
              <w:pStyle w:val="42"/>
              <w:autoSpaceDE/>
              <w:autoSpaceDN/>
              <w:jc w:val="center"/>
              <w:rPr>
                <w:rFonts w:ascii="Times New Roman"/>
                <w:snapToGrid w:val="0"/>
                <w:color w:val="auto"/>
                <w:kern w:val="21"/>
                <w:szCs w:val="21"/>
                <w:highlight w:val="none"/>
              </w:rPr>
            </w:pPr>
            <w:r>
              <w:rPr>
                <w:rFonts w:hint="eastAsia" w:ascii="Times New Roman" w:cs="Times New Roman"/>
                <w:color w:val="auto"/>
                <w:sz w:val="21"/>
                <w:szCs w:val="21"/>
                <w:highlight w:val="none"/>
              </w:rPr>
              <w:t>氮氧化物</w:t>
            </w:r>
          </w:p>
        </w:tc>
        <w:tc>
          <w:tcPr>
            <w:tcW w:w="1701" w:type="dxa"/>
            <w:vAlign w:val="center"/>
          </w:tcPr>
          <w:p>
            <w:pPr>
              <w:pStyle w:val="87"/>
              <w:spacing w:beforeLines="0" w:afterLines="0" w:line="240" w:lineRule="auto"/>
              <w:rPr>
                <w:snapToGrid w:val="0"/>
                <w:color w:val="auto"/>
                <w:kern w:val="21"/>
                <w:szCs w:val="21"/>
                <w:highlight w:val="none"/>
              </w:rPr>
            </w:pPr>
            <w:r>
              <w:rPr>
                <w:rFonts w:ascii="Times New Roman" w:eastAsia="等线"/>
                <w:color w:val="auto"/>
                <w:szCs w:val="21"/>
                <w:highlight w:val="none"/>
              </w:rPr>
              <w:t>16.57t/a</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eastAsia="等线"/>
                <w:bCs/>
                <w:color w:val="auto"/>
                <w:szCs w:val="21"/>
                <w:highlight w:val="none"/>
              </w:rPr>
            </w:pPr>
            <w:r>
              <w:rPr>
                <w:rFonts w:hint="eastAsia" w:ascii="Times New Roman" w:eastAsia="等线"/>
                <w:bCs/>
                <w:color w:val="auto"/>
                <w:szCs w:val="21"/>
                <w:highlight w:val="none"/>
              </w:rPr>
              <w:t>0</w:t>
            </w:r>
          </w:p>
        </w:tc>
        <w:tc>
          <w:tcPr>
            <w:tcW w:w="1418" w:type="dxa"/>
            <w:vAlign w:val="center"/>
          </w:tcPr>
          <w:p>
            <w:pPr>
              <w:jc w:val="center"/>
              <w:rPr>
                <w:snapToGrid w:val="0"/>
                <w:color w:val="auto"/>
                <w:kern w:val="21"/>
                <w:szCs w:val="21"/>
                <w:highlight w:val="none"/>
              </w:rPr>
            </w:pPr>
            <w:r>
              <w:rPr>
                <w:rFonts w:hint="eastAsia"/>
                <w:snapToGrid w:val="0"/>
                <w:color w:val="auto"/>
                <w:kern w:val="21"/>
                <w:szCs w:val="21"/>
                <w:highlight w:val="none"/>
              </w:rPr>
              <w:t>0</w:t>
            </w:r>
          </w:p>
        </w:tc>
        <w:tc>
          <w:tcPr>
            <w:tcW w:w="1701" w:type="dxa"/>
            <w:vAlign w:val="center"/>
          </w:tcPr>
          <w:p>
            <w:pPr>
              <w:pStyle w:val="87"/>
              <w:spacing w:beforeLines="0" w:afterLines="0" w:line="240" w:lineRule="auto"/>
              <w:rPr>
                <w:rFonts w:eastAsia="等线"/>
                <w:bCs/>
                <w:color w:val="auto"/>
                <w:szCs w:val="21"/>
                <w:highlight w:val="none"/>
              </w:rPr>
            </w:pPr>
            <w:r>
              <w:rPr>
                <w:rFonts w:ascii="Times New Roman" w:eastAsia="等线"/>
                <w:color w:val="auto"/>
                <w:szCs w:val="21"/>
                <w:highlight w:val="none"/>
              </w:rPr>
              <w:t>16.57t/a</w:t>
            </w:r>
          </w:p>
        </w:tc>
        <w:tc>
          <w:tcPr>
            <w:tcW w:w="1427" w:type="dxa"/>
            <w:vAlign w:val="center"/>
          </w:tcPr>
          <w:p>
            <w:pPr>
              <w:pStyle w:val="87"/>
              <w:spacing w:beforeLines="0" w:afterLines="0" w:line="240" w:lineRule="auto"/>
              <w:rPr>
                <w:rFonts w:ascii="Times New Roman" w:eastAsia="等线"/>
                <w:bCs/>
                <w:color w:val="auto"/>
                <w:szCs w:val="21"/>
                <w:highlight w:val="none"/>
              </w:rPr>
            </w:pPr>
            <w:r>
              <w:rPr>
                <w:rFonts w:hint="eastAsia" w:ascii="Times New Roman" w:eastAsia="等线"/>
                <w:bCs/>
                <w:color w:val="auto"/>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pPr>
              <w:pStyle w:val="87"/>
              <w:spacing w:beforeLines="0" w:afterLines="0" w:line="240" w:lineRule="auto"/>
              <w:rPr>
                <w:rFonts w:ascii="Times New Roman"/>
                <w:snapToGrid w:val="0"/>
                <w:color w:val="auto"/>
                <w:kern w:val="21"/>
                <w:szCs w:val="21"/>
                <w:highlight w:val="none"/>
              </w:rPr>
            </w:pPr>
          </w:p>
        </w:tc>
        <w:tc>
          <w:tcPr>
            <w:tcW w:w="1417" w:type="dxa"/>
            <w:vAlign w:val="center"/>
          </w:tcPr>
          <w:p>
            <w:pPr>
              <w:pStyle w:val="42"/>
              <w:autoSpaceDE/>
              <w:autoSpaceDN/>
              <w:jc w:val="center"/>
              <w:rPr>
                <w:rFonts w:ascii="Times New Roman"/>
                <w:snapToGrid w:val="0"/>
                <w:color w:val="auto"/>
                <w:kern w:val="21"/>
                <w:szCs w:val="21"/>
                <w:highlight w:val="none"/>
              </w:rPr>
            </w:pPr>
            <w:r>
              <w:rPr>
                <w:rFonts w:hint="eastAsia" w:ascii="Times New Roman" w:cs="Times New Roman"/>
                <w:color w:val="auto"/>
                <w:sz w:val="21"/>
                <w:szCs w:val="21"/>
                <w:highlight w:val="none"/>
              </w:rPr>
              <w:t>氟化物</w:t>
            </w:r>
          </w:p>
        </w:tc>
        <w:tc>
          <w:tcPr>
            <w:tcW w:w="1701" w:type="dxa"/>
            <w:vAlign w:val="center"/>
          </w:tcPr>
          <w:p>
            <w:pPr>
              <w:pStyle w:val="87"/>
              <w:spacing w:beforeLines="0" w:afterLines="0" w:line="240" w:lineRule="auto"/>
              <w:rPr>
                <w:snapToGrid w:val="0"/>
                <w:color w:val="auto"/>
                <w:kern w:val="21"/>
                <w:szCs w:val="21"/>
                <w:highlight w:val="none"/>
              </w:rPr>
            </w:pPr>
            <w:r>
              <w:rPr>
                <w:rFonts w:ascii="Times New Roman" w:eastAsia="等线"/>
                <w:color w:val="auto"/>
                <w:szCs w:val="21"/>
                <w:highlight w:val="none"/>
              </w:rPr>
              <w:t>0.73t/a</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eastAsia="等线"/>
                <w:bCs/>
                <w:color w:val="auto"/>
                <w:szCs w:val="21"/>
                <w:highlight w:val="none"/>
              </w:rPr>
            </w:pPr>
            <w:r>
              <w:rPr>
                <w:rFonts w:hint="eastAsia" w:ascii="Times New Roman" w:eastAsia="等线"/>
                <w:bCs/>
                <w:color w:val="auto"/>
                <w:szCs w:val="21"/>
                <w:highlight w:val="none"/>
              </w:rPr>
              <w:t>0</w:t>
            </w:r>
          </w:p>
        </w:tc>
        <w:tc>
          <w:tcPr>
            <w:tcW w:w="1418" w:type="dxa"/>
            <w:vAlign w:val="center"/>
          </w:tcPr>
          <w:p>
            <w:pPr>
              <w:jc w:val="center"/>
              <w:rPr>
                <w:snapToGrid w:val="0"/>
                <w:color w:val="auto"/>
                <w:kern w:val="21"/>
                <w:szCs w:val="21"/>
                <w:highlight w:val="none"/>
              </w:rPr>
            </w:pPr>
            <w:r>
              <w:rPr>
                <w:rFonts w:hint="eastAsia"/>
                <w:snapToGrid w:val="0"/>
                <w:color w:val="auto"/>
                <w:kern w:val="21"/>
                <w:szCs w:val="21"/>
                <w:highlight w:val="none"/>
              </w:rPr>
              <w:t>0</w:t>
            </w:r>
          </w:p>
        </w:tc>
        <w:tc>
          <w:tcPr>
            <w:tcW w:w="1701" w:type="dxa"/>
            <w:vAlign w:val="center"/>
          </w:tcPr>
          <w:p>
            <w:pPr>
              <w:pStyle w:val="87"/>
              <w:spacing w:beforeLines="0" w:afterLines="0" w:line="240" w:lineRule="auto"/>
              <w:rPr>
                <w:rFonts w:eastAsia="等线"/>
                <w:bCs/>
                <w:color w:val="auto"/>
                <w:szCs w:val="21"/>
                <w:highlight w:val="none"/>
              </w:rPr>
            </w:pPr>
            <w:r>
              <w:rPr>
                <w:rFonts w:ascii="Times New Roman" w:eastAsia="等线"/>
                <w:color w:val="auto"/>
                <w:szCs w:val="21"/>
                <w:highlight w:val="none"/>
              </w:rPr>
              <w:t>0.73t/a</w:t>
            </w:r>
          </w:p>
        </w:tc>
        <w:tc>
          <w:tcPr>
            <w:tcW w:w="1427" w:type="dxa"/>
            <w:vAlign w:val="center"/>
          </w:tcPr>
          <w:p>
            <w:pPr>
              <w:pStyle w:val="87"/>
              <w:spacing w:beforeLines="0" w:afterLines="0" w:line="240" w:lineRule="auto"/>
              <w:rPr>
                <w:rFonts w:ascii="Times New Roman" w:eastAsia="等线"/>
                <w:bCs/>
                <w:color w:val="auto"/>
                <w:szCs w:val="21"/>
                <w:highlight w:val="none"/>
              </w:rPr>
            </w:pPr>
            <w:r>
              <w:rPr>
                <w:rFonts w:hint="eastAsia" w:ascii="Times New Roman" w:eastAsia="等线"/>
                <w:bCs/>
                <w:color w:val="auto"/>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废水</w:t>
            </w:r>
          </w:p>
        </w:tc>
        <w:tc>
          <w:tcPr>
            <w:tcW w:w="1417"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生产废水</w:t>
            </w:r>
          </w:p>
        </w:tc>
        <w:tc>
          <w:tcPr>
            <w:tcW w:w="1701"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0</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0</w:t>
            </w:r>
          </w:p>
        </w:tc>
        <w:tc>
          <w:tcPr>
            <w:tcW w:w="1418"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0</w:t>
            </w:r>
          </w:p>
        </w:tc>
        <w:tc>
          <w:tcPr>
            <w:tcW w:w="1701" w:type="dxa"/>
            <w:vAlign w:val="center"/>
          </w:tcPr>
          <w:p>
            <w:pPr>
              <w:jc w:val="center"/>
              <w:rPr>
                <w:snapToGrid w:val="0"/>
                <w:color w:val="auto"/>
                <w:kern w:val="21"/>
                <w:szCs w:val="21"/>
                <w:highlight w:val="none"/>
              </w:rPr>
            </w:pPr>
            <w:r>
              <w:rPr>
                <w:rFonts w:hint="eastAsia" w:eastAsia="等线"/>
                <w:bCs/>
                <w:color w:val="auto"/>
                <w:szCs w:val="21"/>
                <w:highlight w:val="none"/>
              </w:rPr>
              <w:t>0</w:t>
            </w:r>
          </w:p>
        </w:tc>
        <w:tc>
          <w:tcPr>
            <w:tcW w:w="1427"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vAlign w:val="center"/>
          </w:tcPr>
          <w:p>
            <w:pPr>
              <w:pStyle w:val="87"/>
              <w:spacing w:beforeLines="0" w:afterLines="0" w:line="240" w:lineRule="auto"/>
              <w:rPr>
                <w:rFonts w:ascii="Times New Roman"/>
                <w:snapToGrid w:val="0"/>
                <w:color w:val="auto"/>
                <w:kern w:val="21"/>
                <w:szCs w:val="21"/>
                <w:highlight w:val="none"/>
              </w:rPr>
            </w:pPr>
          </w:p>
        </w:tc>
        <w:tc>
          <w:tcPr>
            <w:tcW w:w="1417"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生活废水</w:t>
            </w:r>
          </w:p>
        </w:tc>
        <w:tc>
          <w:tcPr>
            <w:tcW w:w="1701"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0</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0</w:t>
            </w:r>
          </w:p>
        </w:tc>
        <w:tc>
          <w:tcPr>
            <w:tcW w:w="1418"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0</w:t>
            </w:r>
          </w:p>
        </w:tc>
        <w:tc>
          <w:tcPr>
            <w:tcW w:w="1701" w:type="dxa"/>
            <w:vAlign w:val="center"/>
          </w:tcPr>
          <w:p>
            <w:pPr>
              <w:jc w:val="center"/>
              <w:rPr>
                <w:snapToGrid w:val="0"/>
                <w:color w:val="auto"/>
                <w:kern w:val="21"/>
                <w:szCs w:val="21"/>
                <w:highlight w:val="none"/>
              </w:rPr>
            </w:pPr>
            <w:r>
              <w:rPr>
                <w:rFonts w:hint="eastAsia" w:eastAsia="等线"/>
                <w:bCs/>
                <w:color w:val="auto"/>
                <w:szCs w:val="21"/>
                <w:highlight w:val="none"/>
              </w:rPr>
              <w:t>0</w:t>
            </w:r>
          </w:p>
        </w:tc>
        <w:tc>
          <w:tcPr>
            <w:tcW w:w="1427"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员工生活</w:t>
            </w:r>
          </w:p>
        </w:tc>
        <w:tc>
          <w:tcPr>
            <w:tcW w:w="1417"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生活垃圾</w:t>
            </w:r>
          </w:p>
        </w:tc>
        <w:tc>
          <w:tcPr>
            <w:tcW w:w="1701"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3.42</w:t>
            </w:r>
            <w:r>
              <w:rPr>
                <w:rFonts w:ascii="Times New Roman"/>
                <w:snapToGrid w:val="0"/>
                <w:color w:val="auto"/>
                <w:kern w:val="21"/>
                <w:szCs w:val="21"/>
                <w:highlight w:val="none"/>
              </w:rPr>
              <w:t>t/a</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color w:val="auto"/>
                <w:szCs w:val="21"/>
                <w:highlight w:val="none"/>
              </w:rPr>
              <w:t>0.648</w:t>
            </w:r>
            <w:r>
              <w:rPr>
                <w:rFonts w:ascii="Times New Roman"/>
                <w:color w:val="auto"/>
                <w:szCs w:val="21"/>
                <w:highlight w:val="none"/>
              </w:rPr>
              <w:t>t/a</w:t>
            </w:r>
          </w:p>
        </w:tc>
        <w:tc>
          <w:tcPr>
            <w:tcW w:w="1418"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bCs/>
                <w:color w:val="auto"/>
                <w:szCs w:val="21"/>
                <w:highlight w:val="none"/>
              </w:rPr>
              <w:t>0</w:t>
            </w:r>
          </w:p>
        </w:tc>
        <w:tc>
          <w:tcPr>
            <w:tcW w:w="1701" w:type="dxa"/>
            <w:vAlign w:val="center"/>
          </w:tcPr>
          <w:p>
            <w:pPr>
              <w:jc w:val="center"/>
              <w:rPr>
                <w:snapToGrid w:val="0"/>
                <w:color w:val="auto"/>
                <w:kern w:val="21"/>
                <w:szCs w:val="21"/>
                <w:highlight w:val="none"/>
              </w:rPr>
            </w:pPr>
            <w:r>
              <w:rPr>
                <w:rFonts w:hint="eastAsia"/>
                <w:snapToGrid w:val="0"/>
                <w:color w:val="auto"/>
                <w:kern w:val="21"/>
                <w:szCs w:val="21"/>
                <w:highlight w:val="none"/>
              </w:rPr>
              <w:t>4.068</w:t>
            </w:r>
            <w:r>
              <w:rPr>
                <w:rFonts w:eastAsia="等线"/>
                <w:color w:val="auto"/>
                <w:szCs w:val="21"/>
                <w:highlight w:val="none"/>
              </w:rPr>
              <w:t>t/a</w:t>
            </w:r>
          </w:p>
        </w:tc>
        <w:tc>
          <w:tcPr>
            <w:tcW w:w="1427" w:type="dxa"/>
            <w:vAlign w:val="center"/>
          </w:tcPr>
          <w:p>
            <w:pPr>
              <w:jc w:val="center"/>
              <w:rPr>
                <w:snapToGrid w:val="0"/>
                <w:color w:val="auto"/>
                <w:kern w:val="21"/>
                <w:szCs w:val="21"/>
                <w:highlight w:val="none"/>
              </w:rPr>
            </w:pPr>
            <w:r>
              <w:rPr>
                <w:rFonts w:hint="eastAsia"/>
                <w:snapToGrid w:val="0"/>
                <w:color w:val="auto"/>
                <w:kern w:val="21"/>
                <w:szCs w:val="21"/>
                <w:highlight w:val="none"/>
              </w:rPr>
              <w:t>+0.648</w:t>
            </w:r>
            <w:r>
              <w:rPr>
                <w:color w:val="auto"/>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88" w:type="dxa"/>
            <w:vMerge w:val="restart"/>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一般工业</w:t>
            </w:r>
          </w:p>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固体废物</w:t>
            </w:r>
          </w:p>
        </w:tc>
        <w:tc>
          <w:tcPr>
            <w:tcW w:w="1417"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snapToGrid w:val="0"/>
                <w:color w:val="auto"/>
                <w:kern w:val="21"/>
                <w:szCs w:val="21"/>
                <w:highlight w:val="none"/>
              </w:rPr>
              <w:t>泥饼</w:t>
            </w:r>
          </w:p>
        </w:tc>
        <w:tc>
          <w:tcPr>
            <w:tcW w:w="1701"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bCs/>
                <w:color w:val="auto"/>
                <w:szCs w:val="21"/>
                <w:highlight w:val="none"/>
              </w:rPr>
              <w:t>0</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color w:val="auto"/>
                <w:kern w:val="2"/>
                <w:szCs w:val="21"/>
                <w:highlight w:val="none"/>
              </w:rPr>
              <w:t>21500t/a</w:t>
            </w:r>
          </w:p>
        </w:tc>
        <w:tc>
          <w:tcPr>
            <w:tcW w:w="1418"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bCs/>
                <w:color w:val="auto"/>
                <w:szCs w:val="21"/>
                <w:highlight w:val="none"/>
              </w:rPr>
              <w:t>0</w:t>
            </w:r>
          </w:p>
        </w:tc>
        <w:tc>
          <w:tcPr>
            <w:tcW w:w="1701" w:type="dxa"/>
            <w:vAlign w:val="center"/>
          </w:tcPr>
          <w:p>
            <w:pPr>
              <w:jc w:val="center"/>
              <w:rPr>
                <w:snapToGrid w:val="0"/>
                <w:color w:val="auto"/>
                <w:kern w:val="21"/>
                <w:szCs w:val="21"/>
                <w:highlight w:val="none"/>
              </w:rPr>
            </w:pPr>
            <w:r>
              <w:rPr>
                <w:rFonts w:hint="eastAsia"/>
                <w:color w:val="auto"/>
                <w:szCs w:val="21"/>
                <w:highlight w:val="none"/>
              </w:rPr>
              <w:t>21500t/a</w:t>
            </w:r>
          </w:p>
        </w:tc>
        <w:tc>
          <w:tcPr>
            <w:tcW w:w="1427" w:type="dxa"/>
            <w:vAlign w:val="center"/>
          </w:tcPr>
          <w:p>
            <w:pPr>
              <w:jc w:val="center"/>
              <w:rPr>
                <w:snapToGrid w:val="0"/>
                <w:color w:val="auto"/>
                <w:kern w:val="21"/>
                <w:szCs w:val="21"/>
                <w:highlight w:val="none"/>
              </w:rPr>
            </w:pPr>
            <w:r>
              <w:rPr>
                <w:rFonts w:hint="eastAsia"/>
                <w:color w:val="auto"/>
                <w:szCs w:val="21"/>
                <w:highlight w:val="none"/>
              </w:rPr>
              <w:t>+21500t/a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88" w:type="dxa"/>
            <w:vMerge w:val="continue"/>
            <w:vAlign w:val="center"/>
          </w:tcPr>
          <w:p>
            <w:pPr>
              <w:pStyle w:val="87"/>
              <w:spacing w:beforeLines="0" w:afterLines="0" w:line="240" w:lineRule="auto"/>
              <w:rPr>
                <w:rFonts w:ascii="Times New Roman"/>
                <w:snapToGrid w:val="0"/>
                <w:color w:val="auto"/>
                <w:kern w:val="21"/>
                <w:szCs w:val="21"/>
                <w:highlight w:val="none"/>
              </w:rPr>
            </w:pPr>
          </w:p>
        </w:tc>
        <w:tc>
          <w:tcPr>
            <w:tcW w:w="1417"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bCs/>
                <w:color w:val="auto"/>
                <w:szCs w:val="21"/>
                <w:highlight w:val="none"/>
              </w:rPr>
              <w:t>废坯、废砖</w:t>
            </w:r>
            <w:r>
              <w:rPr>
                <w:rFonts w:hint="eastAsia" w:ascii="Times New Roman"/>
                <w:bCs/>
                <w:color w:val="auto"/>
                <w:szCs w:val="21"/>
                <w:highlight w:val="none"/>
              </w:rPr>
              <w:t>及脱硫石膏</w:t>
            </w:r>
          </w:p>
        </w:tc>
        <w:tc>
          <w:tcPr>
            <w:tcW w:w="1701" w:type="dxa"/>
            <w:vAlign w:val="center"/>
          </w:tcPr>
          <w:p>
            <w:pPr>
              <w:pStyle w:val="87"/>
              <w:spacing w:beforeLines="0" w:afterLines="0" w:line="240" w:lineRule="auto"/>
              <w:rPr>
                <w:rFonts w:ascii="Times New Roman"/>
                <w:bCs/>
                <w:color w:val="auto"/>
                <w:szCs w:val="21"/>
                <w:highlight w:val="none"/>
              </w:rPr>
            </w:pPr>
            <w:r>
              <w:rPr>
                <w:rFonts w:hint="eastAsia" w:ascii="Times New Roman"/>
                <w:bCs/>
                <w:color w:val="auto"/>
                <w:szCs w:val="21"/>
                <w:highlight w:val="none"/>
              </w:rPr>
              <w:t>450</w:t>
            </w:r>
            <w:r>
              <w:rPr>
                <w:rFonts w:ascii="Times New Roman"/>
                <w:snapToGrid w:val="0"/>
                <w:color w:val="auto"/>
                <w:kern w:val="21"/>
                <w:szCs w:val="21"/>
                <w:highlight w:val="none"/>
              </w:rPr>
              <w:t>t/a</w:t>
            </w:r>
          </w:p>
        </w:tc>
        <w:tc>
          <w:tcPr>
            <w:tcW w:w="1276" w:type="dxa"/>
            <w:vAlign w:val="center"/>
          </w:tcPr>
          <w:p>
            <w:pPr>
              <w:pStyle w:val="87"/>
              <w:spacing w:beforeLines="0" w:afterLines="0" w:line="240" w:lineRule="auto"/>
              <w:rPr>
                <w:rFonts w:ascii="Times New Roman"/>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eastAsia="等线"/>
                <w:bCs/>
                <w:color w:val="auto"/>
                <w:szCs w:val="21"/>
                <w:highlight w:val="none"/>
              </w:rPr>
            </w:pPr>
            <w:r>
              <w:rPr>
                <w:rFonts w:hint="eastAsia" w:ascii="Times New Roman" w:eastAsia="等线"/>
                <w:bCs/>
                <w:color w:val="auto"/>
                <w:szCs w:val="21"/>
                <w:highlight w:val="none"/>
              </w:rPr>
              <w:t>0</w:t>
            </w:r>
          </w:p>
        </w:tc>
        <w:tc>
          <w:tcPr>
            <w:tcW w:w="1418" w:type="dxa"/>
            <w:vAlign w:val="center"/>
          </w:tcPr>
          <w:p>
            <w:pPr>
              <w:pStyle w:val="87"/>
              <w:spacing w:beforeLines="0" w:afterLines="0" w:line="240" w:lineRule="auto"/>
              <w:rPr>
                <w:rFonts w:ascii="Times New Roman"/>
                <w:bCs/>
                <w:color w:val="auto"/>
                <w:szCs w:val="21"/>
                <w:highlight w:val="none"/>
              </w:rPr>
            </w:pPr>
            <w:r>
              <w:rPr>
                <w:rFonts w:hint="eastAsia" w:ascii="Times New Roman"/>
                <w:bCs/>
                <w:color w:val="auto"/>
                <w:szCs w:val="21"/>
                <w:highlight w:val="none"/>
              </w:rPr>
              <w:t>0</w:t>
            </w:r>
          </w:p>
        </w:tc>
        <w:tc>
          <w:tcPr>
            <w:tcW w:w="1701" w:type="dxa"/>
            <w:vAlign w:val="center"/>
          </w:tcPr>
          <w:p>
            <w:pPr>
              <w:jc w:val="center"/>
              <w:rPr>
                <w:rFonts w:eastAsia="等线"/>
                <w:bCs/>
                <w:color w:val="auto"/>
                <w:szCs w:val="21"/>
                <w:highlight w:val="none"/>
              </w:rPr>
            </w:pPr>
            <w:r>
              <w:rPr>
                <w:rFonts w:hint="eastAsia"/>
                <w:bCs/>
                <w:color w:val="auto"/>
                <w:szCs w:val="21"/>
                <w:highlight w:val="none"/>
              </w:rPr>
              <w:t>450</w:t>
            </w:r>
            <w:r>
              <w:rPr>
                <w:snapToGrid w:val="0"/>
                <w:color w:val="auto"/>
                <w:kern w:val="21"/>
                <w:szCs w:val="21"/>
                <w:highlight w:val="none"/>
              </w:rPr>
              <w:t>t/a</w:t>
            </w:r>
          </w:p>
        </w:tc>
        <w:tc>
          <w:tcPr>
            <w:tcW w:w="1427" w:type="dxa"/>
            <w:vAlign w:val="center"/>
          </w:tcPr>
          <w:p>
            <w:pPr>
              <w:jc w:val="center"/>
              <w:rPr>
                <w:snapToGrid w:val="0"/>
                <w:color w:val="auto"/>
                <w:kern w:val="21"/>
                <w:szCs w:val="21"/>
                <w:highlight w:val="none"/>
              </w:rPr>
            </w:pPr>
            <w:r>
              <w:rPr>
                <w:rFonts w:hint="eastAsia"/>
                <w:snapToGrid w:val="0"/>
                <w:color w:val="auto"/>
                <w:kern w:val="21"/>
                <w:szCs w:val="21"/>
                <w:highlight w:val="non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危险废物</w:t>
            </w:r>
          </w:p>
        </w:tc>
        <w:tc>
          <w:tcPr>
            <w:tcW w:w="1417" w:type="dxa"/>
            <w:vAlign w:val="center"/>
          </w:tcPr>
          <w:p>
            <w:pPr>
              <w:pStyle w:val="87"/>
              <w:spacing w:beforeLines="0" w:afterLines="0" w:line="240" w:lineRule="auto"/>
              <w:rPr>
                <w:rFonts w:ascii="Times New Roman"/>
                <w:color w:val="auto"/>
                <w:szCs w:val="28"/>
                <w:highlight w:val="none"/>
              </w:rPr>
            </w:pPr>
            <w:r>
              <w:rPr>
                <w:rFonts w:ascii="Times New Roman"/>
                <w:color w:val="auto"/>
                <w:szCs w:val="28"/>
                <w:highlight w:val="none"/>
              </w:rPr>
              <w:t>废</w:t>
            </w:r>
            <w:r>
              <w:rPr>
                <w:rFonts w:hint="eastAsia" w:ascii="Times New Roman"/>
                <w:color w:val="auto"/>
                <w:szCs w:val="28"/>
                <w:highlight w:val="none"/>
              </w:rPr>
              <w:t>润滑</w:t>
            </w:r>
            <w:r>
              <w:rPr>
                <w:rFonts w:ascii="Times New Roman"/>
                <w:color w:val="auto"/>
                <w:szCs w:val="28"/>
                <w:highlight w:val="none"/>
              </w:rPr>
              <w:t>油</w:t>
            </w:r>
          </w:p>
          <w:p>
            <w:pPr>
              <w:pStyle w:val="87"/>
              <w:spacing w:beforeLines="0" w:afterLines="0" w:line="240" w:lineRule="auto"/>
              <w:rPr>
                <w:rFonts w:ascii="Times New Roman"/>
                <w:color w:val="auto"/>
                <w:szCs w:val="28"/>
                <w:highlight w:val="none"/>
              </w:rPr>
            </w:pPr>
            <w:r>
              <w:rPr>
                <w:rFonts w:hint="eastAsia" w:ascii="Times New Roman"/>
                <w:color w:val="auto"/>
                <w:szCs w:val="28"/>
                <w:highlight w:val="none"/>
              </w:rPr>
              <w:t>、</w:t>
            </w:r>
            <w:r>
              <w:rPr>
                <w:rFonts w:ascii="Times New Roman"/>
                <w:color w:val="auto"/>
                <w:szCs w:val="28"/>
                <w:highlight w:val="none"/>
              </w:rPr>
              <w:t>含油手套</w:t>
            </w:r>
          </w:p>
          <w:p>
            <w:pPr>
              <w:pStyle w:val="87"/>
              <w:spacing w:beforeLines="0" w:afterLines="0" w:line="240" w:lineRule="auto"/>
              <w:rPr>
                <w:rFonts w:ascii="Times New Roman"/>
                <w:snapToGrid w:val="0"/>
                <w:color w:val="auto"/>
                <w:kern w:val="21"/>
                <w:szCs w:val="21"/>
                <w:highlight w:val="none"/>
              </w:rPr>
            </w:pPr>
            <w:r>
              <w:rPr>
                <w:rFonts w:hint="eastAsia" w:ascii="Times New Roman"/>
                <w:color w:val="auto"/>
                <w:szCs w:val="28"/>
                <w:highlight w:val="none"/>
              </w:rPr>
              <w:t>及</w:t>
            </w:r>
            <w:r>
              <w:rPr>
                <w:rFonts w:ascii="Times New Roman"/>
                <w:color w:val="auto"/>
                <w:szCs w:val="28"/>
                <w:highlight w:val="none"/>
              </w:rPr>
              <w:t>棉纱</w:t>
            </w:r>
            <w:r>
              <w:rPr>
                <w:rFonts w:hint="eastAsia" w:ascii="Times New Roman"/>
                <w:color w:val="auto"/>
                <w:szCs w:val="28"/>
                <w:highlight w:val="none"/>
              </w:rPr>
              <w:t>、</w:t>
            </w:r>
            <w:r>
              <w:rPr>
                <w:rFonts w:ascii="Times New Roman"/>
                <w:color w:val="auto"/>
                <w:szCs w:val="28"/>
                <w:highlight w:val="none"/>
              </w:rPr>
              <w:t>废油桶</w:t>
            </w:r>
          </w:p>
        </w:tc>
        <w:tc>
          <w:tcPr>
            <w:tcW w:w="1701" w:type="dxa"/>
            <w:vAlign w:val="center"/>
          </w:tcPr>
          <w:p>
            <w:pPr>
              <w:jc w:val="center"/>
              <w:rPr>
                <w:snapToGrid w:val="0"/>
                <w:color w:val="auto"/>
                <w:kern w:val="21"/>
                <w:szCs w:val="21"/>
                <w:highlight w:val="none"/>
              </w:rPr>
            </w:pPr>
            <w:r>
              <w:rPr>
                <w:rFonts w:hint="eastAsia" w:eastAsia="等线"/>
                <w:snapToGrid w:val="0"/>
                <w:color w:val="auto"/>
                <w:kern w:val="21"/>
                <w:szCs w:val="21"/>
                <w:highlight w:val="none"/>
              </w:rPr>
              <w:t>0.5</w:t>
            </w:r>
            <w:r>
              <w:rPr>
                <w:rFonts w:eastAsia="等线"/>
                <w:color w:val="auto"/>
                <w:szCs w:val="21"/>
                <w:highlight w:val="none"/>
              </w:rPr>
              <w:t>t</w:t>
            </w:r>
            <w:r>
              <w:rPr>
                <w:rFonts w:eastAsia="等线"/>
                <w:bCs/>
                <w:color w:val="auto"/>
                <w:szCs w:val="21"/>
                <w:highlight w:val="none"/>
              </w:rPr>
              <w:t>/a</w:t>
            </w:r>
          </w:p>
        </w:tc>
        <w:tc>
          <w:tcPr>
            <w:tcW w:w="1276" w:type="dxa"/>
            <w:vAlign w:val="center"/>
          </w:tcPr>
          <w:p>
            <w:pPr>
              <w:jc w:val="center"/>
              <w:rPr>
                <w:snapToGrid w:val="0"/>
                <w:color w:val="auto"/>
                <w:kern w:val="21"/>
                <w:szCs w:val="21"/>
                <w:highlight w:val="none"/>
              </w:rPr>
            </w:pPr>
          </w:p>
        </w:tc>
        <w:tc>
          <w:tcPr>
            <w:tcW w:w="1701" w:type="dxa"/>
            <w:vAlign w:val="center"/>
          </w:tcPr>
          <w:p>
            <w:pPr>
              <w:pStyle w:val="87"/>
              <w:spacing w:beforeLines="0" w:afterLines="0" w:line="240" w:lineRule="auto"/>
              <w:rPr>
                <w:rFonts w:ascii="Times New Roman"/>
                <w:snapToGrid w:val="0"/>
                <w:color w:val="auto"/>
                <w:kern w:val="21"/>
                <w:szCs w:val="21"/>
                <w:highlight w:val="none"/>
              </w:rPr>
            </w:pPr>
          </w:p>
        </w:tc>
        <w:tc>
          <w:tcPr>
            <w:tcW w:w="1559" w:type="dxa"/>
            <w:vAlign w:val="center"/>
          </w:tcPr>
          <w:p>
            <w:pPr>
              <w:pStyle w:val="87"/>
              <w:spacing w:beforeLines="0" w:afterLines="0" w:line="240" w:lineRule="auto"/>
              <w:rPr>
                <w:rFonts w:ascii="Times New Roman"/>
                <w:snapToGrid w:val="0"/>
                <w:color w:val="auto"/>
                <w:kern w:val="21"/>
                <w:szCs w:val="21"/>
                <w:highlight w:val="none"/>
              </w:rPr>
            </w:pPr>
            <w:r>
              <w:rPr>
                <w:rFonts w:hint="eastAsia" w:ascii="Times New Roman"/>
                <w:color w:val="auto"/>
                <w:szCs w:val="21"/>
                <w:highlight w:val="none"/>
              </w:rPr>
              <w:t>0.04</w:t>
            </w:r>
            <w:r>
              <w:rPr>
                <w:rFonts w:ascii="Times New Roman"/>
                <w:color w:val="auto"/>
                <w:szCs w:val="21"/>
                <w:highlight w:val="none"/>
              </w:rPr>
              <w:t>t/a</w:t>
            </w:r>
          </w:p>
        </w:tc>
        <w:tc>
          <w:tcPr>
            <w:tcW w:w="1418" w:type="dxa"/>
            <w:vAlign w:val="center"/>
          </w:tcPr>
          <w:p>
            <w:pPr>
              <w:pStyle w:val="87"/>
              <w:spacing w:beforeLines="0" w:afterLines="0" w:line="240" w:lineRule="auto"/>
              <w:rPr>
                <w:rFonts w:ascii="Times New Roman"/>
                <w:snapToGrid w:val="0"/>
                <w:color w:val="auto"/>
                <w:kern w:val="21"/>
                <w:szCs w:val="21"/>
                <w:highlight w:val="none"/>
              </w:rPr>
            </w:pPr>
            <w:r>
              <w:rPr>
                <w:rFonts w:ascii="Times New Roman"/>
                <w:bCs/>
                <w:color w:val="auto"/>
                <w:sz w:val="22"/>
                <w:szCs w:val="22"/>
                <w:highlight w:val="none"/>
              </w:rPr>
              <w:t>0</w:t>
            </w:r>
          </w:p>
        </w:tc>
        <w:tc>
          <w:tcPr>
            <w:tcW w:w="1701" w:type="dxa"/>
            <w:vAlign w:val="center"/>
          </w:tcPr>
          <w:p>
            <w:pPr>
              <w:jc w:val="center"/>
              <w:rPr>
                <w:snapToGrid w:val="0"/>
                <w:color w:val="auto"/>
                <w:kern w:val="21"/>
                <w:szCs w:val="21"/>
                <w:highlight w:val="none"/>
              </w:rPr>
            </w:pPr>
            <w:r>
              <w:rPr>
                <w:rFonts w:hint="eastAsia" w:eastAsia="等线"/>
                <w:bCs/>
                <w:color w:val="auto"/>
                <w:szCs w:val="21"/>
                <w:highlight w:val="none"/>
              </w:rPr>
              <w:t>0.54</w:t>
            </w:r>
            <w:r>
              <w:rPr>
                <w:snapToGrid w:val="0"/>
                <w:color w:val="auto"/>
                <w:kern w:val="21"/>
                <w:szCs w:val="21"/>
                <w:highlight w:val="none"/>
              </w:rPr>
              <w:t>t/a</w:t>
            </w:r>
          </w:p>
        </w:tc>
        <w:tc>
          <w:tcPr>
            <w:tcW w:w="1427" w:type="dxa"/>
            <w:vAlign w:val="center"/>
          </w:tcPr>
          <w:p>
            <w:pPr>
              <w:jc w:val="center"/>
              <w:rPr>
                <w:snapToGrid w:val="0"/>
                <w:color w:val="auto"/>
                <w:kern w:val="21"/>
                <w:szCs w:val="21"/>
                <w:highlight w:val="none"/>
              </w:rPr>
            </w:pPr>
            <w:r>
              <w:rPr>
                <w:rFonts w:hint="eastAsia"/>
                <w:snapToGrid w:val="0"/>
                <w:color w:val="auto"/>
                <w:kern w:val="21"/>
                <w:szCs w:val="21"/>
                <w:highlight w:val="none"/>
              </w:rPr>
              <w:t>+0.04</w:t>
            </w:r>
            <w:r>
              <w:rPr>
                <w:color w:val="auto"/>
                <w:szCs w:val="21"/>
                <w:highlight w:val="none"/>
              </w:rPr>
              <w:t>t/a</w:t>
            </w:r>
          </w:p>
        </w:tc>
      </w:tr>
    </w:tbl>
    <w:p>
      <w:pPr>
        <w:pStyle w:val="87"/>
        <w:spacing w:beforeLines="80" w:after="24"/>
        <w:jc w:val="left"/>
        <w:rPr>
          <w:color w:val="auto"/>
          <w:highlight w:val="none"/>
        </w:rPr>
        <w:sectPr>
          <w:footerReference r:id="rId6" w:type="default"/>
          <w:pgSz w:w="16838" w:h="11906" w:orient="landscape"/>
          <w:pgMar w:top="1701" w:right="1531" w:bottom="1701" w:left="1531" w:header="851" w:footer="851" w:gutter="0"/>
          <w:cols w:space="720" w:num="1"/>
          <w:docGrid w:linePitch="312" w:charSpace="0"/>
        </w:sectPr>
      </w:pPr>
      <w:r>
        <w:rPr>
          <w:rFonts w:hAnsi="宋体"/>
          <w:snapToGrid w:val="0"/>
          <w:color w:val="auto"/>
          <w:kern w:val="21"/>
          <w:szCs w:val="21"/>
          <w:highlight w:val="none"/>
        </w:rPr>
        <w:t>注：</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6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⑥</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1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①</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3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③</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4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④</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5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⑤</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7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⑦</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6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⑥</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1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①</w:t>
      </w:r>
      <w:r>
        <w:rPr>
          <w:rFonts w:hAnsi="宋体"/>
          <w:snapToGrid w:val="0"/>
          <w:color w:val="auto"/>
          <w:spacing w:val="-6"/>
          <w:kern w:val="21"/>
          <w:szCs w:val="21"/>
          <w:highlight w:val="none"/>
        </w:rPr>
        <w:fldChar w:fldCharType="end"/>
      </w:r>
    </w:p>
    <w:p>
      <w:pPr>
        <w:jc w:val="left"/>
        <w:rPr>
          <w:color w:val="auto"/>
          <w:highlight w:val="none"/>
        </w:rPr>
      </w:pPr>
    </w:p>
    <w:p>
      <w:pPr>
        <w:rPr>
          <w:color w:val="auto"/>
          <w:highlight w:val="none"/>
        </w:rPr>
      </w:pPr>
    </w:p>
    <w:p>
      <w:pPr>
        <w:rPr>
          <w:color w:val="auto"/>
          <w:highlight w:val="none"/>
        </w:rPr>
      </w:pPr>
    </w:p>
    <w:sectPr>
      <w:footerReference r:id="rId7" w:type="default"/>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Gloucester MT Extra Condensed">
    <w:altName w:val="MT Extra"/>
    <w:panose1 w:val="02030808020601010101"/>
    <w:charset w:val="00"/>
    <w:family w:val="roman"/>
    <w:pitch w:val="default"/>
    <w:sig w:usb0="00000000" w:usb1="00000000" w:usb2="00000000" w:usb3="00000000" w:csb0="20000001" w:csb1="00000000"/>
  </w:font>
  <w:font w:name="等线">
    <w:altName w:val="Arial Unicode MS"/>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T Extra">
    <w:panose1 w:val="05050102010205020202"/>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rPr>
        <w:lang w:val="zh-CN"/>
      </w:rPr>
      <w:t>21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rPr>
        <w:lang w:val="zh-CN"/>
      </w:rPr>
      <w:t>37</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rPr>
        <w:lang w:val="zh-CN"/>
      </w:rPr>
      <w:t>38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3E30A"/>
    <w:multiLevelType w:val="singleLevel"/>
    <w:tmpl w:val="BB93E30A"/>
    <w:lvl w:ilvl="0" w:tentative="0">
      <w:start w:val="2"/>
      <w:numFmt w:val="decimal"/>
      <w:suff w:val="nothing"/>
      <w:lvlText w:val="%1、"/>
      <w:lvlJc w:val="left"/>
    </w:lvl>
  </w:abstractNum>
  <w:abstractNum w:abstractNumId="1">
    <w:nsid w:val="FAE8E14A"/>
    <w:multiLevelType w:val="singleLevel"/>
    <w:tmpl w:val="FAE8E14A"/>
    <w:lvl w:ilvl="0" w:tentative="0">
      <w:start w:val="1"/>
      <w:numFmt w:val="decimal"/>
      <w:suff w:val="nothing"/>
      <w:lvlText w:val="%1、"/>
      <w:lvlJc w:val="left"/>
    </w:lvl>
  </w:abstractNum>
  <w:abstractNum w:abstractNumId="2">
    <w:nsid w:val="4245316C"/>
    <w:multiLevelType w:val="singleLevel"/>
    <w:tmpl w:val="4245316C"/>
    <w:lvl w:ilvl="0" w:tentative="0">
      <w:start w:val="6"/>
      <w:numFmt w:val="chineseCounting"/>
      <w:suff w:val="nothing"/>
      <w:lvlText w:val="（%1）"/>
      <w:lvlJc w:val="left"/>
      <w:rPr>
        <w:rFonts w:hint="eastAsia"/>
      </w:rPr>
    </w:lvl>
  </w:abstractNum>
  <w:abstractNum w:abstractNumId="3">
    <w:nsid w:val="4F77BDF6"/>
    <w:multiLevelType w:val="singleLevel"/>
    <w:tmpl w:val="4F77BDF6"/>
    <w:lvl w:ilvl="0" w:tentative="0">
      <w:start w:val="1"/>
      <w:numFmt w:val="decimal"/>
      <w:suff w:val="nothing"/>
      <w:lvlText w:val="%1、"/>
      <w:lvlJc w:val="left"/>
    </w:lvl>
  </w:abstractNum>
  <w:abstractNum w:abstractNumId="4">
    <w:nsid w:val="7AAFF36A"/>
    <w:multiLevelType w:val="singleLevel"/>
    <w:tmpl w:val="7AAFF36A"/>
    <w:lvl w:ilvl="0" w:tentative="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YzEwOWI2Yjc4NDVkNjk2YzU5M2Q5NzRhZTcxNWEifQ=="/>
  </w:docVars>
  <w:rsids>
    <w:rsidRoot w:val="00341DD4"/>
    <w:rsid w:val="000A1431"/>
    <w:rsid w:val="001A2968"/>
    <w:rsid w:val="001B2D45"/>
    <w:rsid w:val="001C4A74"/>
    <w:rsid w:val="00220A90"/>
    <w:rsid w:val="00341DD4"/>
    <w:rsid w:val="00462C41"/>
    <w:rsid w:val="0058541D"/>
    <w:rsid w:val="005C6E8C"/>
    <w:rsid w:val="006E3B9C"/>
    <w:rsid w:val="00902DE5"/>
    <w:rsid w:val="00B27D00"/>
    <w:rsid w:val="00BB03CF"/>
    <w:rsid w:val="00C71418"/>
    <w:rsid w:val="036E68CF"/>
    <w:rsid w:val="039F0BB6"/>
    <w:rsid w:val="03A67A1B"/>
    <w:rsid w:val="03C2759E"/>
    <w:rsid w:val="04166B3C"/>
    <w:rsid w:val="041C3581"/>
    <w:rsid w:val="04C35304"/>
    <w:rsid w:val="06112117"/>
    <w:rsid w:val="084A7B62"/>
    <w:rsid w:val="094B56AF"/>
    <w:rsid w:val="096156B5"/>
    <w:rsid w:val="09FB5160"/>
    <w:rsid w:val="0A336560"/>
    <w:rsid w:val="0A4A209B"/>
    <w:rsid w:val="0A742C74"/>
    <w:rsid w:val="0A93381B"/>
    <w:rsid w:val="0A974405"/>
    <w:rsid w:val="0AF97AFD"/>
    <w:rsid w:val="0BD50FC3"/>
    <w:rsid w:val="0C450D6C"/>
    <w:rsid w:val="0C6B3626"/>
    <w:rsid w:val="0C7D1487"/>
    <w:rsid w:val="0E0152B0"/>
    <w:rsid w:val="0E3E79DA"/>
    <w:rsid w:val="0EAE1581"/>
    <w:rsid w:val="0F184297"/>
    <w:rsid w:val="0F2509E1"/>
    <w:rsid w:val="0F671CCB"/>
    <w:rsid w:val="0F930041"/>
    <w:rsid w:val="10256AF3"/>
    <w:rsid w:val="11651569"/>
    <w:rsid w:val="11CE7580"/>
    <w:rsid w:val="12601E40"/>
    <w:rsid w:val="12B46931"/>
    <w:rsid w:val="130D399B"/>
    <w:rsid w:val="14C64A14"/>
    <w:rsid w:val="15B025D8"/>
    <w:rsid w:val="17A646CF"/>
    <w:rsid w:val="17F65611"/>
    <w:rsid w:val="1A613215"/>
    <w:rsid w:val="1AAB623F"/>
    <w:rsid w:val="1B12650D"/>
    <w:rsid w:val="1B636B19"/>
    <w:rsid w:val="1BBD091F"/>
    <w:rsid w:val="1BF12377"/>
    <w:rsid w:val="1CB33715"/>
    <w:rsid w:val="1CFB407F"/>
    <w:rsid w:val="1D61177E"/>
    <w:rsid w:val="1E2A5821"/>
    <w:rsid w:val="1EE95C68"/>
    <w:rsid w:val="1F0F0D80"/>
    <w:rsid w:val="21723F5A"/>
    <w:rsid w:val="217C601D"/>
    <w:rsid w:val="23045086"/>
    <w:rsid w:val="24896F9C"/>
    <w:rsid w:val="24C543A1"/>
    <w:rsid w:val="25095901"/>
    <w:rsid w:val="25861774"/>
    <w:rsid w:val="258C1362"/>
    <w:rsid w:val="25A0196B"/>
    <w:rsid w:val="25B82157"/>
    <w:rsid w:val="26116CE7"/>
    <w:rsid w:val="26193812"/>
    <w:rsid w:val="26672348"/>
    <w:rsid w:val="26840989"/>
    <w:rsid w:val="27DD40F7"/>
    <w:rsid w:val="2886653D"/>
    <w:rsid w:val="29121B7F"/>
    <w:rsid w:val="298A4F2C"/>
    <w:rsid w:val="29BB1E01"/>
    <w:rsid w:val="29DE3ED0"/>
    <w:rsid w:val="2A3049B2"/>
    <w:rsid w:val="2A355B25"/>
    <w:rsid w:val="2B33475A"/>
    <w:rsid w:val="2B865616"/>
    <w:rsid w:val="2B924CE2"/>
    <w:rsid w:val="2B9E7CCD"/>
    <w:rsid w:val="2BC17995"/>
    <w:rsid w:val="2C376872"/>
    <w:rsid w:val="2D764C9B"/>
    <w:rsid w:val="2E074505"/>
    <w:rsid w:val="2E35102B"/>
    <w:rsid w:val="2E7E2B5A"/>
    <w:rsid w:val="2F0568D7"/>
    <w:rsid w:val="30C85183"/>
    <w:rsid w:val="30F74D2A"/>
    <w:rsid w:val="33A4500D"/>
    <w:rsid w:val="33DF6B01"/>
    <w:rsid w:val="33FC22EA"/>
    <w:rsid w:val="345E722D"/>
    <w:rsid w:val="351D0231"/>
    <w:rsid w:val="353A5FA1"/>
    <w:rsid w:val="355359F9"/>
    <w:rsid w:val="35831E3A"/>
    <w:rsid w:val="36721EAF"/>
    <w:rsid w:val="36BD5820"/>
    <w:rsid w:val="37F65BD2"/>
    <w:rsid w:val="382E3A24"/>
    <w:rsid w:val="383513E6"/>
    <w:rsid w:val="38F7748A"/>
    <w:rsid w:val="390F482E"/>
    <w:rsid w:val="39557F91"/>
    <w:rsid w:val="39C944DB"/>
    <w:rsid w:val="3A30455A"/>
    <w:rsid w:val="3A3057C7"/>
    <w:rsid w:val="3B866FF0"/>
    <w:rsid w:val="3C3C08E3"/>
    <w:rsid w:val="3C5B2F97"/>
    <w:rsid w:val="3CD155B4"/>
    <w:rsid w:val="3D5E764C"/>
    <w:rsid w:val="3DA167F8"/>
    <w:rsid w:val="3E6B3412"/>
    <w:rsid w:val="3E6E73FF"/>
    <w:rsid w:val="3E890375"/>
    <w:rsid w:val="40640ABA"/>
    <w:rsid w:val="40AF3B40"/>
    <w:rsid w:val="40FD796C"/>
    <w:rsid w:val="42976F25"/>
    <w:rsid w:val="44803601"/>
    <w:rsid w:val="4912417D"/>
    <w:rsid w:val="49CB3958"/>
    <w:rsid w:val="4A6F21D0"/>
    <w:rsid w:val="4C5365B2"/>
    <w:rsid w:val="4EA41F28"/>
    <w:rsid w:val="4EF82D51"/>
    <w:rsid w:val="562B4DF0"/>
    <w:rsid w:val="599C0E6D"/>
    <w:rsid w:val="59CA3C2C"/>
    <w:rsid w:val="59CB7611"/>
    <w:rsid w:val="59ED3759"/>
    <w:rsid w:val="5A3B68D8"/>
    <w:rsid w:val="5A59170E"/>
    <w:rsid w:val="5AF57C21"/>
    <w:rsid w:val="5BB04C2C"/>
    <w:rsid w:val="5BB75BFE"/>
    <w:rsid w:val="5C4750C0"/>
    <w:rsid w:val="5E8878D3"/>
    <w:rsid w:val="5ED343FC"/>
    <w:rsid w:val="600A6B30"/>
    <w:rsid w:val="60844B35"/>
    <w:rsid w:val="60FD3BA3"/>
    <w:rsid w:val="6179345E"/>
    <w:rsid w:val="61FA02C2"/>
    <w:rsid w:val="624A37B7"/>
    <w:rsid w:val="62B9483E"/>
    <w:rsid w:val="632919C3"/>
    <w:rsid w:val="639B20E8"/>
    <w:rsid w:val="6502122D"/>
    <w:rsid w:val="654666FA"/>
    <w:rsid w:val="6759126B"/>
    <w:rsid w:val="67634DBC"/>
    <w:rsid w:val="6817628E"/>
    <w:rsid w:val="68A22F22"/>
    <w:rsid w:val="69A2465A"/>
    <w:rsid w:val="69AA1A66"/>
    <w:rsid w:val="6A0868C0"/>
    <w:rsid w:val="6B397730"/>
    <w:rsid w:val="6BC90CE4"/>
    <w:rsid w:val="6D364707"/>
    <w:rsid w:val="6DFB0400"/>
    <w:rsid w:val="6ECD6F03"/>
    <w:rsid w:val="6F564E7D"/>
    <w:rsid w:val="6F8C57B4"/>
    <w:rsid w:val="71B52674"/>
    <w:rsid w:val="72933FAE"/>
    <w:rsid w:val="72F2223B"/>
    <w:rsid w:val="73BE02D8"/>
    <w:rsid w:val="74C66D2B"/>
    <w:rsid w:val="76297AAD"/>
    <w:rsid w:val="76391AC6"/>
    <w:rsid w:val="77CC4F9A"/>
    <w:rsid w:val="77DF0702"/>
    <w:rsid w:val="7A0737BF"/>
    <w:rsid w:val="7A8E473B"/>
    <w:rsid w:val="7B072192"/>
    <w:rsid w:val="7B3D3B4B"/>
    <w:rsid w:val="7BB73BB8"/>
    <w:rsid w:val="7C741AA9"/>
    <w:rsid w:val="7C822DDA"/>
    <w:rsid w:val="7D1961AD"/>
    <w:rsid w:val="7D9359A6"/>
    <w:rsid w:val="7DB12889"/>
    <w:rsid w:val="7E1F7ED0"/>
    <w:rsid w:val="7E4B6E7F"/>
    <w:rsid w:val="7EFE4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iPriority="99"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iPriority="99"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99"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99"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iPriority="99" w:semiHidden="0" w:name="Body Text Indent 2" w:locked="1"/>
    <w:lsdException w:qFormat="1" w:uiPriority="0" w:semiHidden="0" w:name="Body Text Indent 3" w:locked="1"/>
    <w:lsdException w:qFormat="1" w:unhideWhenUsed="0" w:uiPriority="0" w:semiHidden="0" w:name="Block Text" w:locked="1"/>
    <w:lsdException w:qFormat="1" w:unhideWhenUsed="0" w:uiPriority="99" w:semiHidden="0" w:name="Hyperlink" w:locked="1"/>
    <w:lsdException w:qFormat="1" w:uiPriority="99" w:semiHidden="0" w:name="FollowedHyperlink" w:locked="1"/>
    <w:lsdException w:qFormat="1" w:unhideWhenUsed="0" w:uiPriority="0" w:semiHidden="0" w:name="Strong" w:locked="1"/>
    <w:lsdException w:qFormat="1" w:unhideWhenUsed="0" w:uiPriority="0" w:semiHidden="0" w:name="Emphasis" w:locked="1"/>
    <w:lsdException w:qFormat="1"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autoRedefine/>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link w:val="49"/>
    <w:qFormat/>
    <w:locked/>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7"/>
    <w:qFormat/>
    <w:locked/>
    <w:uiPriority w:val="0"/>
    <w:pPr>
      <w:keepNext/>
      <w:keepLines/>
      <w:spacing w:before="260" w:after="260" w:line="416" w:lineRule="auto"/>
      <w:outlineLvl w:val="2"/>
    </w:pPr>
    <w:rPr>
      <w:b/>
      <w:bCs/>
      <w:sz w:val="32"/>
      <w:szCs w:val="32"/>
    </w:rPr>
  </w:style>
  <w:style w:type="paragraph" w:styleId="7">
    <w:name w:val="heading 4"/>
    <w:basedOn w:val="1"/>
    <w:next w:val="1"/>
    <w:link w:val="50"/>
    <w:autoRedefine/>
    <w:qFormat/>
    <w:locked/>
    <w:uiPriority w:val="0"/>
    <w:pPr>
      <w:jc w:val="left"/>
      <w:outlineLvl w:val="3"/>
    </w:pPr>
    <w:rPr>
      <w:rFonts w:hint="eastAsia" w:ascii="宋体" w:hAnsi="宋体"/>
      <w:kern w:val="0"/>
      <w:sz w:val="18"/>
      <w:szCs w:val="1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69"/>
    <w:autoRedefine/>
    <w:unhideWhenUsed/>
    <w:qFormat/>
    <w:locked/>
    <w:uiPriority w:val="0"/>
    <w:pPr>
      <w:ind w:firstLine="420"/>
    </w:pPr>
    <w:rPr>
      <w:rFonts w:eastAsia="仿宋_GB2312"/>
      <w:sz w:val="28"/>
    </w:rPr>
  </w:style>
  <w:style w:type="paragraph" w:styleId="3">
    <w:name w:val="Body Text Indent"/>
    <w:basedOn w:val="1"/>
    <w:link w:val="55"/>
    <w:autoRedefine/>
    <w:qFormat/>
    <w:uiPriority w:val="0"/>
    <w:pPr>
      <w:spacing w:after="120"/>
      <w:ind w:left="420" w:leftChars="200"/>
    </w:pPr>
    <w:rPr>
      <w:kern w:val="0"/>
      <w:sz w:val="24"/>
      <w:szCs w:val="20"/>
    </w:rPr>
  </w:style>
  <w:style w:type="paragraph" w:styleId="8">
    <w:name w:val="List 3"/>
    <w:basedOn w:val="1"/>
    <w:autoRedefine/>
    <w:qFormat/>
    <w:locked/>
    <w:uiPriority w:val="0"/>
    <w:pPr>
      <w:ind w:left="100" w:leftChars="400" w:hanging="200" w:hangingChars="200"/>
    </w:pPr>
  </w:style>
  <w:style w:type="paragraph" w:styleId="9">
    <w:name w:val="table of authorities"/>
    <w:basedOn w:val="1"/>
    <w:next w:val="1"/>
    <w:autoRedefine/>
    <w:qFormat/>
    <w:locked/>
    <w:uiPriority w:val="99"/>
    <w:pPr>
      <w:ind w:left="420" w:leftChars="200"/>
    </w:pPr>
    <w:rPr>
      <w:rFonts w:ascii="Calibri" w:hAnsi="Calibri"/>
    </w:rPr>
  </w:style>
  <w:style w:type="paragraph" w:styleId="10">
    <w:name w:val="Normal Indent"/>
    <w:basedOn w:val="1"/>
    <w:link w:val="51"/>
    <w:autoRedefine/>
    <w:qFormat/>
    <w:locked/>
    <w:uiPriority w:val="0"/>
    <w:pPr>
      <w:adjustRightInd w:val="0"/>
      <w:ind w:firstLine="420"/>
      <w:jc w:val="left"/>
    </w:pPr>
    <w:rPr>
      <w:bCs/>
      <w:sz w:val="24"/>
      <w:szCs w:val="20"/>
    </w:rPr>
  </w:style>
  <w:style w:type="paragraph" w:styleId="11">
    <w:name w:val="caption"/>
    <w:basedOn w:val="1"/>
    <w:next w:val="1"/>
    <w:autoRedefine/>
    <w:qFormat/>
    <w:locked/>
    <w:uiPriority w:val="35"/>
    <w:rPr>
      <w:rFonts w:ascii="等线 Light" w:hAnsi="等线 Light" w:eastAsia="黑体"/>
      <w:sz w:val="20"/>
      <w:szCs w:val="20"/>
    </w:rPr>
  </w:style>
  <w:style w:type="paragraph" w:styleId="12">
    <w:name w:val="Document Map"/>
    <w:basedOn w:val="1"/>
    <w:link w:val="52"/>
    <w:autoRedefine/>
    <w:unhideWhenUsed/>
    <w:qFormat/>
    <w:locked/>
    <w:uiPriority w:val="0"/>
    <w:rPr>
      <w:rFonts w:ascii="宋体"/>
      <w:sz w:val="18"/>
      <w:szCs w:val="18"/>
    </w:rPr>
  </w:style>
  <w:style w:type="paragraph" w:styleId="13">
    <w:name w:val="annotation text"/>
    <w:basedOn w:val="1"/>
    <w:link w:val="53"/>
    <w:autoRedefine/>
    <w:semiHidden/>
    <w:qFormat/>
    <w:uiPriority w:val="0"/>
    <w:pPr>
      <w:jc w:val="left"/>
    </w:pPr>
    <w:rPr>
      <w:kern w:val="0"/>
      <w:sz w:val="24"/>
      <w:szCs w:val="20"/>
    </w:rPr>
  </w:style>
  <w:style w:type="paragraph" w:styleId="14">
    <w:name w:val="Body Text"/>
    <w:basedOn w:val="1"/>
    <w:next w:val="15"/>
    <w:link w:val="54"/>
    <w:autoRedefine/>
    <w:qFormat/>
    <w:uiPriority w:val="99"/>
    <w:pPr>
      <w:widowControl/>
      <w:snapToGrid w:val="0"/>
      <w:spacing w:before="60" w:after="160" w:line="259" w:lineRule="auto"/>
      <w:ind w:right="113"/>
    </w:pPr>
    <w:rPr>
      <w:kern w:val="0"/>
      <w:sz w:val="18"/>
      <w:szCs w:val="20"/>
    </w:rPr>
  </w:style>
  <w:style w:type="paragraph" w:customStyle="1" w:styleId="15">
    <w:name w:val="Normal (Web)1"/>
    <w:basedOn w:val="1"/>
    <w:next w:val="16"/>
    <w:autoRedefine/>
    <w:qFormat/>
    <w:uiPriority w:val="0"/>
    <w:pPr>
      <w:widowControl/>
    </w:pPr>
    <w:rPr>
      <w:rFonts w:ascii="宋体"/>
      <w:sz w:val="24"/>
      <w:szCs w:val="21"/>
    </w:rPr>
  </w:style>
  <w:style w:type="paragraph" w:customStyle="1" w:styleId="16">
    <w:name w:val="Date1"/>
    <w:basedOn w:val="1"/>
    <w:next w:val="1"/>
    <w:autoRedefine/>
    <w:qFormat/>
    <w:uiPriority w:val="0"/>
    <w:pPr>
      <w:ind w:left="2500" w:leftChars="2500"/>
    </w:pPr>
  </w:style>
  <w:style w:type="paragraph" w:styleId="17">
    <w:name w:val="Block Text"/>
    <w:basedOn w:val="1"/>
    <w:autoRedefine/>
    <w:qFormat/>
    <w:locked/>
    <w:uiPriority w:val="0"/>
    <w:pPr>
      <w:spacing w:line="240" w:lineRule="exact"/>
      <w:ind w:left="46" w:leftChars="22" w:right="113"/>
    </w:pPr>
    <w:rPr>
      <w:rFonts w:ascii="宋体"/>
      <w:bCs/>
      <w:spacing w:val="-10"/>
      <w:sz w:val="18"/>
      <w:szCs w:val="18"/>
    </w:rPr>
  </w:style>
  <w:style w:type="paragraph" w:styleId="18">
    <w:name w:val="Plain Text"/>
    <w:basedOn w:val="1"/>
    <w:link w:val="56"/>
    <w:autoRedefine/>
    <w:qFormat/>
    <w:locked/>
    <w:uiPriority w:val="0"/>
    <w:rPr>
      <w:rFonts w:ascii="宋体" w:hAnsi="Courier New"/>
      <w:szCs w:val="20"/>
    </w:rPr>
  </w:style>
  <w:style w:type="paragraph" w:styleId="19">
    <w:name w:val="Date"/>
    <w:basedOn w:val="1"/>
    <w:next w:val="1"/>
    <w:link w:val="57"/>
    <w:autoRedefine/>
    <w:qFormat/>
    <w:uiPriority w:val="0"/>
    <w:pPr>
      <w:ind w:left="100" w:leftChars="2500"/>
    </w:pPr>
    <w:rPr>
      <w:kern w:val="0"/>
      <w:sz w:val="24"/>
      <w:szCs w:val="20"/>
    </w:rPr>
  </w:style>
  <w:style w:type="paragraph" w:styleId="20">
    <w:name w:val="Body Text Indent 2"/>
    <w:basedOn w:val="1"/>
    <w:link w:val="58"/>
    <w:autoRedefine/>
    <w:unhideWhenUsed/>
    <w:qFormat/>
    <w:locked/>
    <w:uiPriority w:val="99"/>
    <w:pPr>
      <w:spacing w:after="120" w:line="480" w:lineRule="auto"/>
      <w:ind w:left="420" w:leftChars="200"/>
    </w:pPr>
  </w:style>
  <w:style w:type="paragraph" w:styleId="21">
    <w:name w:val="Balloon Text"/>
    <w:basedOn w:val="1"/>
    <w:link w:val="59"/>
    <w:autoRedefine/>
    <w:qFormat/>
    <w:uiPriority w:val="0"/>
    <w:rPr>
      <w:kern w:val="0"/>
      <w:sz w:val="18"/>
      <w:szCs w:val="20"/>
    </w:rPr>
  </w:style>
  <w:style w:type="paragraph" w:styleId="22">
    <w:name w:val="footer"/>
    <w:basedOn w:val="1"/>
    <w:link w:val="60"/>
    <w:autoRedefine/>
    <w:qFormat/>
    <w:uiPriority w:val="99"/>
    <w:pPr>
      <w:tabs>
        <w:tab w:val="center" w:pos="4153"/>
        <w:tab w:val="right" w:pos="8306"/>
      </w:tabs>
      <w:snapToGrid w:val="0"/>
      <w:jc w:val="left"/>
    </w:pPr>
    <w:rPr>
      <w:kern w:val="0"/>
      <w:sz w:val="18"/>
      <w:szCs w:val="20"/>
    </w:rPr>
  </w:style>
  <w:style w:type="paragraph" w:styleId="23">
    <w:name w:val="header"/>
    <w:basedOn w:val="1"/>
    <w:link w:val="61"/>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4">
    <w:name w:val="toc 1"/>
    <w:basedOn w:val="1"/>
    <w:next w:val="1"/>
    <w:qFormat/>
    <w:locked/>
    <w:uiPriority w:val="39"/>
  </w:style>
  <w:style w:type="paragraph" w:styleId="25">
    <w:name w:val="footnote text"/>
    <w:basedOn w:val="1"/>
    <w:link w:val="62"/>
    <w:autoRedefine/>
    <w:unhideWhenUsed/>
    <w:qFormat/>
    <w:locked/>
    <w:uiPriority w:val="99"/>
    <w:pPr>
      <w:snapToGrid w:val="0"/>
      <w:jc w:val="left"/>
    </w:pPr>
    <w:rPr>
      <w:sz w:val="18"/>
      <w:szCs w:val="18"/>
    </w:rPr>
  </w:style>
  <w:style w:type="paragraph" w:styleId="26">
    <w:name w:val="Body Text Indent 3"/>
    <w:basedOn w:val="1"/>
    <w:link w:val="63"/>
    <w:autoRedefine/>
    <w:unhideWhenUsed/>
    <w:qFormat/>
    <w:locked/>
    <w:uiPriority w:val="0"/>
    <w:pPr>
      <w:spacing w:after="120"/>
      <w:ind w:left="420" w:leftChars="200"/>
    </w:pPr>
    <w:rPr>
      <w:sz w:val="16"/>
      <w:szCs w:val="16"/>
    </w:rPr>
  </w:style>
  <w:style w:type="paragraph" w:styleId="27">
    <w:name w:val="toc 2"/>
    <w:basedOn w:val="1"/>
    <w:next w:val="1"/>
    <w:autoRedefine/>
    <w:unhideWhenUsed/>
    <w:qFormat/>
    <w:locked/>
    <w:uiPriority w:val="39"/>
    <w:pPr>
      <w:ind w:left="420" w:leftChars="200"/>
    </w:pPr>
  </w:style>
  <w:style w:type="paragraph" w:styleId="28">
    <w:name w:val="Body Text 2"/>
    <w:basedOn w:val="1"/>
    <w:link w:val="64"/>
    <w:autoRedefine/>
    <w:qFormat/>
    <w:locked/>
    <w:uiPriority w:val="0"/>
    <w:pPr>
      <w:spacing w:after="120" w:line="480" w:lineRule="auto"/>
    </w:pPr>
  </w:style>
  <w:style w:type="paragraph" w:styleId="29">
    <w:name w:val="Normal (Web)"/>
    <w:basedOn w:val="1"/>
    <w:link w:val="65"/>
    <w:autoRedefine/>
    <w:qFormat/>
    <w:uiPriority w:val="0"/>
    <w:pPr>
      <w:widowControl/>
      <w:spacing w:before="100" w:beforeAutospacing="1" w:after="100" w:afterAutospacing="1"/>
      <w:jc w:val="left"/>
    </w:pPr>
    <w:rPr>
      <w:rFonts w:ascii="宋体" w:hAnsi="宋体"/>
      <w:kern w:val="0"/>
      <w:sz w:val="24"/>
      <w:szCs w:val="20"/>
    </w:rPr>
  </w:style>
  <w:style w:type="paragraph" w:styleId="30">
    <w:name w:val="index 1"/>
    <w:basedOn w:val="1"/>
    <w:next w:val="1"/>
    <w:autoRedefine/>
    <w:qFormat/>
    <w:locked/>
    <w:uiPriority w:val="0"/>
    <w:pPr>
      <w:spacing w:line="280" w:lineRule="exact"/>
    </w:pPr>
    <w:rPr>
      <w:rFonts w:ascii="仿宋_GB2312" w:hAnsi="宋体" w:eastAsia="仿宋_GB2312"/>
      <w:szCs w:val="21"/>
    </w:rPr>
  </w:style>
  <w:style w:type="paragraph" w:styleId="31">
    <w:name w:val="Title"/>
    <w:basedOn w:val="1"/>
    <w:next w:val="1"/>
    <w:link w:val="66"/>
    <w:autoRedefine/>
    <w:qFormat/>
    <w:locked/>
    <w:uiPriority w:val="99"/>
    <w:pPr>
      <w:spacing w:before="240" w:after="60"/>
      <w:jc w:val="center"/>
      <w:outlineLvl w:val="0"/>
    </w:pPr>
    <w:rPr>
      <w:rFonts w:ascii="Cambria" w:hAnsi="Cambria"/>
      <w:b/>
      <w:bCs/>
      <w:sz w:val="32"/>
      <w:szCs w:val="32"/>
    </w:rPr>
  </w:style>
  <w:style w:type="paragraph" w:styleId="32">
    <w:name w:val="annotation subject"/>
    <w:basedOn w:val="13"/>
    <w:next w:val="13"/>
    <w:link w:val="67"/>
    <w:autoRedefine/>
    <w:semiHidden/>
    <w:qFormat/>
    <w:uiPriority w:val="0"/>
    <w:rPr>
      <w:b/>
    </w:rPr>
  </w:style>
  <w:style w:type="paragraph" w:styleId="33">
    <w:name w:val="Body Text First Indent"/>
    <w:basedOn w:val="14"/>
    <w:link w:val="68"/>
    <w:autoRedefine/>
    <w:qFormat/>
    <w:locked/>
    <w:uiPriority w:val="0"/>
    <w:pPr>
      <w:widowControl w:val="0"/>
      <w:snapToGrid/>
      <w:spacing w:before="0" w:after="120" w:line="240" w:lineRule="auto"/>
      <w:ind w:right="0" w:firstLine="420" w:firstLineChars="100"/>
    </w:pPr>
    <w:rPr>
      <w:kern w:val="2"/>
      <w:sz w:val="21"/>
      <w:szCs w:val="24"/>
    </w:rPr>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autoRedefine/>
    <w:qFormat/>
    <w:locked/>
    <w:uiPriority w:val="0"/>
  </w:style>
  <w:style w:type="character" w:styleId="38">
    <w:name w:val="FollowedHyperlink"/>
    <w:autoRedefine/>
    <w:unhideWhenUsed/>
    <w:qFormat/>
    <w:locked/>
    <w:uiPriority w:val="99"/>
    <w:rPr>
      <w:color w:val="000000"/>
      <w:u w:val="none"/>
    </w:rPr>
  </w:style>
  <w:style w:type="character" w:styleId="39">
    <w:name w:val="Hyperlink"/>
    <w:autoRedefine/>
    <w:qFormat/>
    <w:locked/>
    <w:uiPriority w:val="99"/>
    <w:rPr>
      <w:rFonts w:cs="Times New Roman"/>
      <w:color w:val="0000FF"/>
      <w:u w:val="single"/>
    </w:rPr>
  </w:style>
  <w:style w:type="character" w:styleId="40">
    <w:name w:val="annotation reference"/>
    <w:autoRedefine/>
    <w:qFormat/>
    <w:uiPriority w:val="0"/>
    <w:rPr>
      <w:sz w:val="21"/>
    </w:rPr>
  </w:style>
  <w:style w:type="character" w:styleId="41">
    <w:name w:val="footnote reference"/>
    <w:autoRedefine/>
    <w:unhideWhenUsed/>
    <w:qFormat/>
    <w:locked/>
    <w:uiPriority w:val="99"/>
    <w:rPr>
      <w:vertAlign w:val="superscript"/>
    </w:rPr>
  </w:style>
  <w:style w:type="paragraph" w:customStyle="1" w:styleId="42">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0正文"/>
    <w:basedOn w:val="1"/>
    <w:autoRedefine/>
    <w:qFormat/>
    <w:uiPriority w:val="0"/>
    <w:pPr>
      <w:spacing w:line="360" w:lineRule="auto"/>
      <w:ind w:firstLine="480" w:firstLineChars="200"/>
    </w:pPr>
    <w:rPr>
      <w:rFonts w:ascii="Calibri" w:hAnsi="Calibri"/>
      <w:sz w:val="24"/>
      <w:szCs w:val="22"/>
    </w:rPr>
  </w:style>
  <w:style w:type="paragraph" w:customStyle="1" w:styleId="44">
    <w:name w:val="Default"/>
    <w:basedOn w:val="45"/>
    <w:next w:val="46"/>
    <w:autoRedefine/>
    <w:qFormat/>
    <w:uiPriority w:val="0"/>
    <w:pPr>
      <w:autoSpaceDE w:val="0"/>
      <w:autoSpaceDN w:val="0"/>
    </w:pPr>
    <w:rPr>
      <w:rFonts w:ascii="Calibri" w:hAnsi="Calibri" w:cs="Calibri"/>
      <w:color w:val="000000"/>
      <w:sz w:val="24"/>
      <w:szCs w:val="24"/>
    </w:rPr>
  </w:style>
  <w:style w:type="paragraph" w:customStyle="1" w:styleId="45">
    <w:name w:val="纯文本1"/>
    <w:basedOn w:val="1"/>
    <w:autoRedefine/>
    <w:qFormat/>
    <w:uiPriority w:val="0"/>
    <w:pPr>
      <w:adjustRightInd w:val="0"/>
    </w:pPr>
    <w:rPr>
      <w:rFonts w:ascii="宋体" w:hAnsi="Courier New"/>
      <w:szCs w:val="20"/>
    </w:rPr>
  </w:style>
  <w:style w:type="paragraph" w:customStyle="1" w:styleId="46">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47">
    <w:name w:val="标题 3 Char"/>
    <w:link w:val="6"/>
    <w:autoRedefine/>
    <w:qFormat/>
    <w:uiPriority w:val="0"/>
    <w:rPr>
      <w:b/>
      <w:bCs/>
      <w:kern w:val="2"/>
      <w:sz w:val="32"/>
      <w:szCs w:val="32"/>
    </w:rPr>
  </w:style>
  <w:style w:type="character" w:customStyle="1" w:styleId="48">
    <w:name w:val="标题 1 Char"/>
    <w:link w:val="4"/>
    <w:autoRedefine/>
    <w:qFormat/>
    <w:uiPriority w:val="0"/>
    <w:rPr>
      <w:rFonts w:eastAsia="黑体"/>
      <w:b/>
      <w:bCs/>
      <w:color w:val="000000"/>
      <w:kern w:val="44"/>
      <w:sz w:val="30"/>
      <w:szCs w:val="30"/>
    </w:rPr>
  </w:style>
  <w:style w:type="character" w:customStyle="1" w:styleId="49">
    <w:name w:val="标题 2 Char"/>
    <w:link w:val="5"/>
    <w:autoRedefine/>
    <w:qFormat/>
    <w:uiPriority w:val="0"/>
    <w:rPr>
      <w:rFonts w:ascii="Arial" w:hAnsi="Arial" w:eastAsia="黑体"/>
      <w:b/>
      <w:bCs/>
      <w:kern w:val="2"/>
      <w:sz w:val="32"/>
      <w:szCs w:val="32"/>
    </w:rPr>
  </w:style>
  <w:style w:type="character" w:customStyle="1" w:styleId="50">
    <w:name w:val="标题 4 Char"/>
    <w:link w:val="7"/>
    <w:autoRedefine/>
    <w:semiHidden/>
    <w:qFormat/>
    <w:uiPriority w:val="0"/>
    <w:rPr>
      <w:rFonts w:ascii="宋体" w:hAnsi="宋体"/>
      <w:sz w:val="18"/>
      <w:szCs w:val="18"/>
    </w:rPr>
  </w:style>
  <w:style w:type="character" w:customStyle="1" w:styleId="51">
    <w:name w:val="正文缩进 Char"/>
    <w:link w:val="10"/>
    <w:autoRedefine/>
    <w:qFormat/>
    <w:uiPriority w:val="0"/>
    <w:rPr>
      <w:bCs/>
      <w:kern w:val="2"/>
      <w:sz w:val="24"/>
    </w:rPr>
  </w:style>
  <w:style w:type="character" w:customStyle="1" w:styleId="52">
    <w:name w:val="文档结构图 Char"/>
    <w:link w:val="12"/>
    <w:autoRedefine/>
    <w:qFormat/>
    <w:uiPriority w:val="0"/>
    <w:rPr>
      <w:rFonts w:ascii="宋体"/>
      <w:kern w:val="2"/>
      <w:sz w:val="18"/>
      <w:szCs w:val="18"/>
    </w:rPr>
  </w:style>
  <w:style w:type="character" w:customStyle="1" w:styleId="53">
    <w:name w:val="批注文字 Char"/>
    <w:link w:val="13"/>
    <w:autoRedefine/>
    <w:qFormat/>
    <w:locked/>
    <w:uiPriority w:val="0"/>
    <w:rPr>
      <w:rFonts w:ascii="Times New Roman" w:hAnsi="Times New Roman" w:eastAsia="宋体"/>
      <w:sz w:val="24"/>
    </w:rPr>
  </w:style>
  <w:style w:type="character" w:customStyle="1" w:styleId="54">
    <w:name w:val="正文文本 Char"/>
    <w:link w:val="14"/>
    <w:autoRedefine/>
    <w:qFormat/>
    <w:locked/>
    <w:uiPriority w:val="99"/>
    <w:rPr>
      <w:sz w:val="18"/>
    </w:rPr>
  </w:style>
  <w:style w:type="character" w:customStyle="1" w:styleId="55">
    <w:name w:val="正文文本缩进 Char"/>
    <w:link w:val="3"/>
    <w:autoRedefine/>
    <w:qFormat/>
    <w:locked/>
    <w:uiPriority w:val="0"/>
    <w:rPr>
      <w:rFonts w:ascii="Times New Roman" w:hAnsi="Times New Roman" w:eastAsia="宋体"/>
      <w:sz w:val="24"/>
    </w:rPr>
  </w:style>
  <w:style w:type="character" w:customStyle="1" w:styleId="56">
    <w:name w:val="纯文本 Char"/>
    <w:link w:val="18"/>
    <w:autoRedefine/>
    <w:qFormat/>
    <w:uiPriority w:val="0"/>
    <w:rPr>
      <w:rFonts w:ascii="宋体" w:hAnsi="Courier New"/>
      <w:kern w:val="2"/>
      <w:sz w:val="21"/>
    </w:rPr>
  </w:style>
  <w:style w:type="character" w:customStyle="1" w:styleId="57">
    <w:name w:val="日期 Char"/>
    <w:link w:val="19"/>
    <w:autoRedefine/>
    <w:qFormat/>
    <w:locked/>
    <w:uiPriority w:val="0"/>
    <w:rPr>
      <w:rFonts w:ascii="Times New Roman" w:hAnsi="Times New Roman" w:eastAsia="宋体"/>
      <w:sz w:val="24"/>
    </w:rPr>
  </w:style>
  <w:style w:type="character" w:customStyle="1" w:styleId="58">
    <w:name w:val="正文文本缩进 2 Char"/>
    <w:link w:val="20"/>
    <w:autoRedefine/>
    <w:qFormat/>
    <w:uiPriority w:val="99"/>
    <w:rPr>
      <w:kern w:val="2"/>
      <w:sz w:val="21"/>
      <w:szCs w:val="24"/>
    </w:rPr>
  </w:style>
  <w:style w:type="character" w:customStyle="1" w:styleId="59">
    <w:name w:val="批注框文本 Char"/>
    <w:link w:val="21"/>
    <w:autoRedefine/>
    <w:qFormat/>
    <w:locked/>
    <w:uiPriority w:val="0"/>
    <w:rPr>
      <w:rFonts w:ascii="Times New Roman" w:hAnsi="Times New Roman" w:eastAsia="宋体"/>
      <w:sz w:val="18"/>
    </w:rPr>
  </w:style>
  <w:style w:type="character" w:customStyle="1" w:styleId="60">
    <w:name w:val="页脚 Char"/>
    <w:link w:val="22"/>
    <w:autoRedefine/>
    <w:qFormat/>
    <w:locked/>
    <w:uiPriority w:val="99"/>
    <w:rPr>
      <w:sz w:val="18"/>
    </w:rPr>
  </w:style>
  <w:style w:type="character" w:customStyle="1" w:styleId="61">
    <w:name w:val="页眉 Char"/>
    <w:link w:val="23"/>
    <w:autoRedefine/>
    <w:qFormat/>
    <w:locked/>
    <w:uiPriority w:val="0"/>
    <w:rPr>
      <w:sz w:val="18"/>
    </w:rPr>
  </w:style>
  <w:style w:type="character" w:customStyle="1" w:styleId="62">
    <w:name w:val="脚注文本 Char"/>
    <w:link w:val="25"/>
    <w:autoRedefine/>
    <w:qFormat/>
    <w:uiPriority w:val="99"/>
    <w:rPr>
      <w:kern w:val="2"/>
      <w:sz w:val="18"/>
      <w:szCs w:val="18"/>
    </w:rPr>
  </w:style>
  <w:style w:type="character" w:customStyle="1" w:styleId="63">
    <w:name w:val="正文文本缩进 3 Char"/>
    <w:link w:val="26"/>
    <w:autoRedefine/>
    <w:qFormat/>
    <w:uiPriority w:val="0"/>
    <w:rPr>
      <w:kern w:val="2"/>
      <w:sz w:val="16"/>
      <w:szCs w:val="16"/>
    </w:rPr>
  </w:style>
  <w:style w:type="character" w:customStyle="1" w:styleId="64">
    <w:name w:val="正文文本 2 Char"/>
    <w:link w:val="28"/>
    <w:autoRedefine/>
    <w:qFormat/>
    <w:uiPriority w:val="0"/>
    <w:rPr>
      <w:kern w:val="2"/>
      <w:sz w:val="21"/>
      <w:szCs w:val="24"/>
    </w:rPr>
  </w:style>
  <w:style w:type="character" w:customStyle="1" w:styleId="65">
    <w:name w:val="普通(网站) Char"/>
    <w:link w:val="29"/>
    <w:autoRedefine/>
    <w:qFormat/>
    <w:locked/>
    <w:uiPriority w:val="0"/>
    <w:rPr>
      <w:rFonts w:ascii="宋体" w:hAnsi="宋体" w:eastAsia="宋体"/>
      <w:sz w:val="24"/>
    </w:rPr>
  </w:style>
  <w:style w:type="character" w:customStyle="1" w:styleId="66">
    <w:name w:val="标题 Char"/>
    <w:link w:val="31"/>
    <w:autoRedefine/>
    <w:qFormat/>
    <w:uiPriority w:val="99"/>
    <w:rPr>
      <w:rFonts w:ascii="Cambria" w:hAnsi="Cambria"/>
      <w:b/>
      <w:bCs/>
      <w:kern w:val="2"/>
      <w:sz w:val="32"/>
      <w:szCs w:val="32"/>
    </w:rPr>
  </w:style>
  <w:style w:type="character" w:customStyle="1" w:styleId="67">
    <w:name w:val="批注主题 Char"/>
    <w:link w:val="32"/>
    <w:autoRedefine/>
    <w:semiHidden/>
    <w:qFormat/>
    <w:locked/>
    <w:uiPriority w:val="0"/>
    <w:rPr>
      <w:rFonts w:ascii="Times New Roman" w:hAnsi="Times New Roman" w:eastAsia="宋体"/>
      <w:b/>
      <w:kern w:val="2"/>
      <w:sz w:val="24"/>
    </w:rPr>
  </w:style>
  <w:style w:type="character" w:customStyle="1" w:styleId="68">
    <w:name w:val="正文首行缩进 Char1"/>
    <w:link w:val="33"/>
    <w:autoRedefine/>
    <w:qFormat/>
    <w:uiPriority w:val="0"/>
    <w:rPr>
      <w:kern w:val="2"/>
      <w:sz w:val="21"/>
      <w:szCs w:val="24"/>
    </w:rPr>
  </w:style>
  <w:style w:type="character" w:customStyle="1" w:styleId="69">
    <w:name w:val="正文首行缩进 2 Char"/>
    <w:link w:val="2"/>
    <w:autoRedefine/>
    <w:qFormat/>
    <w:uiPriority w:val="0"/>
    <w:rPr>
      <w:rFonts w:ascii="Times New Roman" w:hAnsi="Times New Roman" w:eastAsia="仿宋_GB2312"/>
      <w:kern w:val="2"/>
      <w:sz w:val="28"/>
      <w:szCs w:val="24"/>
    </w:rPr>
  </w:style>
  <w:style w:type="character" w:customStyle="1" w:styleId="70">
    <w:name w:val="c-gray"/>
    <w:basedOn w:val="36"/>
    <w:autoRedefine/>
    <w:qFormat/>
    <w:uiPriority w:val="0"/>
  </w:style>
  <w:style w:type="character" w:customStyle="1" w:styleId="71">
    <w:name w:val="页脚 字符"/>
    <w:basedOn w:val="36"/>
    <w:autoRedefine/>
    <w:qFormat/>
    <w:uiPriority w:val="99"/>
  </w:style>
  <w:style w:type="character" w:customStyle="1" w:styleId="72">
    <w:name w:val="font21"/>
    <w:autoRedefine/>
    <w:qFormat/>
    <w:uiPriority w:val="99"/>
    <w:rPr>
      <w:rFonts w:ascii="宋体" w:hAnsi="宋体" w:eastAsia="宋体" w:cs="宋体"/>
      <w:color w:val="000000"/>
      <w:sz w:val="18"/>
      <w:szCs w:val="18"/>
      <w:u w:val="none"/>
    </w:rPr>
  </w:style>
  <w:style w:type="character" w:customStyle="1" w:styleId="73">
    <w:name w:val="批注文字 字符1"/>
    <w:autoRedefine/>
    <w:semiHidden/>
    <w:qFormat/>
    <w:uiPriority w:val="0"/>
    <w:rPr>
      <w:rFonts w:ascii="Times New Roman" w:hAnsi="Times New Roman" w:eastAsia="宋体"/>
      <w:sz w:val="24"/>
    </w:rPr>
  </w:style>
  <w:style w:type="character" w:customStyle="1" w:styleId="74">
    <w:name w:val="font01"/>
    <w:autoRedefine/>
    <w:qFormat/>
    <w:uiPriority w:val="99"/>
    <w:rPr>
      <w:rFonts w:ascii="宋体" w:hAnsi="宋体" w:eastAsia="宋体" w:cs="宋体"/>
      <w:color w:val="000000"/>
      <w:sz w:val="18"/>
      <w:szCs w:val="18"/>
      <w:u w:val="none"/>
    </w:rPr>
  </w:style>
  <w:style w:type="character" w:customStyle="1" w:styleId="75">
    <w:name w:val="日期 字符"/>
    <w:autoRedefine/>
    <w:semiHidden/>
    <w:qFormat/>
    <w:uiPriority w:val="0"/>
    <w:rPr>
      <w:rFonts w:ascii="Times New Roman" w:hAnsi="Times New Roman" w:eastAsia="宋体"/>
      <w:sz w:val="24"/>
    </w:rPr>
  </w:style>
  <w:style w:type="character" w:customStyle="1" w:styleId="76">
    <w:name w:val="article1"/>
    <w:autoRedefine/>
    <w:qFormat/>
    <w:uiPriority w:val="0"/>
    <w:rPr>
      <w:b/>
      <w:bCs/>
      <w:smallCaps/>
      <w:color w:val="FF0000"/>
      <w:sz w:val="48"/>
      <w:szCs w:val="48"/>
    </w:rPr>
  </w:style>
  <w:style w:type="character" w:customStyle="1" w:styleId="77">
    <w:name w:val="钢--正文 Char"/>
    <w:link w:val="78"/>
    <w:autoRedefine/>
    <w:qFormat/>
    <w:locked/>
    <w:uiPriority w:val="0"/>
    <w:rPr>
      <w:rFonts w:ascii="宋体" w:hAnsi="宋体"/>
      <w:kern w:val="2"/>
      <w:sz w:val="24"/>
      <w:szCs w:val="24"/>
    </w:rPr>
  </w:style>
  <w:style w:type="paragraph" w:customStyle="1" w:styleId="78">
    <w:name w:val="钢--正文"/>
    <w:basedOn w:val="1"/>
    <w:link w:val="77"/>
    <w:autoRedefine/>
    <w:qFormat/>
    <w:uiPriority w:val="0"/>
    <w:pPr>
      <w:spacing w:line="520" w:lineRule="exact"/>
      <w:ind w:firstLine="480" w:firstLineChars="200"/>
    </w:pPr>
    <w:rPr>
      <w:rFonts w:ascii="宋体" w:hAnsi="宋体"/>
      <w:sz w:val="24"/>
    </w:rPr>
  </w:style>
  <w:style w:type="character" w:customStyle="1" w:styleId="79">
    <w:name w:val="表表表 Char"/>
    <w:link w:val="80"/>
    <w:autoRedefine/>
    <w:qFormat/>
    <w:uiPriority w:val="0"/>
    <w:rPr>
      <w:szCs w:val="21"/>
    </w:rPr>
  </w:style>
  <w:style w:type="paragraph" w:customStyle="1" w:styleId="80">
    <w:name w:val="表表表"/>
    <w:basedOn w:val="1"/>
    <w:link w:val="79"/>
    <w:autoRedefine/>
    <w:qFormat/>
    <w:uiPriority w:val="0"/>
    <w:pPr>
      <w:tabs>
        <w:tab w:val="left" w:pos="3000"/>
      </w:tabs>
      <w:spacing w:line="360" w:lineRule="auto"/>
      <w:jc w:val="center"/>
    </w:pPr>
    <w:rPr>
      <w:kern w:val="0"/>
      <w:sz w:val="20"/>
      <w:szCs w:val="21"/>
    </w:rPr>
  </w:style>
  <w:style w:type="character" w:customStyle="1" w:styleId="81">
    <w:name w:val="ca-1"/>
    <w:basedOn w:val="36"/>
    <w:autoRedefine/>
    <w:qFormat/>
    <w:uiPriority w:val="0"/>
  </w:style>
  <w:style w:type="character" w:customStyle="1" w:styleId="82">
    <w:name w:val="占位符文本1"/>
    <w:autoRedefine/>
    <w:semiHidden/>
    <w:qFormat/>
    <w:uiPriority w:val="99"/>
    <w:rPr>
      <w:color w:val="808080"/>
    </w:rPr>
  </w:style>
  <w:style w:type="character" w:customStyle="1" w:styleId="83">
    <w:name w:val="中文报告书样式 Char1"/>
    <w:link w:val="84"/>
    <w:autoRedefine/>
    <w:qFormat/>
    <w:uiPriority w:val="0"/>
    <w:rPr>
      <w:kern w:val="24"/>
      <w:sz w:val="24"/>
      <w:szCs w:val="24"/>
    </w:rPr>
  </w:style>
  <w:style w:type="paragraph" w:customStyle="1" w:styleId="84">
    <w:name w:val="中文报告书样式"/>
    <w:basedOn w:val="1"/>
    <w:link w:val="83"/>
    <w:autoRedefine/>
    <w:qFormat/>
    <w:uiPriority w:val="0"/>
    <w:pPr>
      <w:adjustRightInd w:val="0"/>
      <w:spacing w:line="480" w:lineRule="atLeast"/>
      <w:ind w:firstLine="482"/>
      <w:textAlignment w:val="baseline"/>
    </w:pPr>
    <w:rPr>
      <w:kern w:val="24"/>
      <w:sz w:val="24"/>
    </w:rPr>
  </w:style>
  <w:style w:type="character" w:customStyle="1" w:styleId="85">
    <w:name w:val="样式 宋体"/>
    <w:autoRedefine/>
    <w:qFormat/>
    <w:uiPriority w:val="0"/>
    <w:rPr>
      <w:rFonts w:ascii="Times New Roman" w:hAnsi="Times New Roman" w:eastAsia="宋体"/>
      <w:sz w:val="24"/>
      <w:vertAlign w:val="baseline"/>
    </w:rPr>
  </w:style>
  <w:style w:type="character" w:customStyle="1" w:styleId="86">
    <w:name w:val="表格 Char"/>
    <w:link w:val="87"/>
    <w:autoRedefine/>
    <w:qFormat/>
    <w:locked/>
    <w:uiPriority w:val="0"/>
    <w:rPr>
      <w:rFonts w:ascii="宋体"/>
      <w:sz w:val="21"/>
    </w:rPr>
  </w:style>
  <w:style w:type="paragraph" w:customStyle="1" w:styleId="87">
    <w:name w:val="表格"/>
    <w:basedOn w:val="1"/>
    <w:next w:val="1"/>
    <w:link w:val="86"/>
    <w:autoRedefine/>
    <w:qFormat/>
    <w:uiPriority w:val="0"/>
    <w:pPr>
      <w:adjustRightInd w:val="0"/>
      <w:snapToGrid w:val="0"/>
      <w:spacing w:beforeLines="10" w:afterLines="10" w:line="259" w:lineRule="auto"/>
      <w:jc w:val="center"/>
    </w:pPr>
    <w:rPr>
      <w:rFonts w:ascii="宋体"/>
      <w:kern w:val="0"/>
      <w:szCs w:val="20"/>
    </w:rPr>
  </w:style>
  <w:style w:type="character" w:customStyle="1" w:styleId="88">
    <w:name w:val="未处理的提及"/>
    <w:autoRedefine/>
    <w:unhideWhenUsed/>
    <w:qFormat/>
    <w:uiPriority w:val="99"/>
    <w:rPr>
      <w:color w:val="605E5C"/>
      <w:shd w:val="clear" w:color="auto" w:fill="E1DFDD"/>
    </w:rPr>
  </w:style>
  <w:style w:type="character" w:customStyle="1" w:styleId="89">
    <w:name w:val="正文文本 (2)_"/>
    <w:link w:val="90"/>
    <w:autoRedefine/>
    <w:qFormat/>
    <w:uiPriority w:val="0"/>
    <w:rPr>
      <w:rFonts w:ascii="MingLiU" w:hAnsi="MingLiU" w:eastAsia="MingLiU" w:cs="MingLiU"/>
      <w:sz w:val="26"/>
      <w:szCs w:val="26"/>
      <w:shd w:val="clear" w:color="auto" w:fill="FFFFFF"/>
    </w:rPr>
  </w:style>
  <w:style w:type="paragraph" w:customStyle="1" w:styleId="90">
    <w:name w:val="正文文本 (2)5"/>
    <w:basedOn w:val="1"/>
    <w:link w:val="89"/>
    <w:autoRedefine/>
    <w:qFormat/>
    <w:uiPriority w:val="0"/>
    <w:pPr>
      <w:shd w:val="clear" w:color="auto" w:fill="FFFFFF"/>
      <w:spacing w:line="542" w:lineRule="exact"/>
    </w:pPr>
    <w:rPr>
      <w:rFonts w:ascii="MingLiU" w:hAnsi="MingLiU" w:eastAsia="MingLiU" w:cs="MingLiU"/>
      <w:kern w:val="0"/>
      <w:sz w:val="26"/>
      <w:szCs w:val="26"/>
    </w:rPr>
  </w:style>
  <w:style w:type="character" w:customStyle="1" w:styleId="91">
    <w:name w:val="正文文本 字符1"/>
    <w:autoRedefine/>
    <w:semiHidden/>
    <w:qFormat/>
    <w:uiPriority w:val="0"/>
    <w:rPr>
      <w:rFonts w:ascii="Times New Roman" w:hAnsi="Times New Roman" w:eastAsia="宋体"/>
      <w:sz w:val="24"/>
    </w:rPr>
  </w:style>
  <w:style w:type="character" w:customStyle="1" w:styleId="92">
    <w:name w:val="正文首行缩进 Char"/>
    <w:autoRedefine/>
    <w:semiHidden/>
    <w:qFormat/>
    <w:uiPriority w:val="99"/>
    <w:rPr>
      <w:rFonts w:ascii="Times New Roman" w:hAnsi="Times New Roman" w:eastAsia="宋体" w:cs="Times New Roman"/>
      <w:kern w:val="2"/>
      <w:sz w:val="21"/>
      <w:szCs w:val="24"/>
    </w:rPr>
  </w:style>
  <w:style w:type="character" w:customStyle="1" w:styleId="93">
    <w:name w:val="font61"/>
    <w:autoRedefine/>
    <w:qFormat/>
    <w:uiPriority w:val="99"/>
    <w:rPr>
      <w:rFonts w:ascii="宋体" w:hAnsi="宋体" w:eastAsia="宋体" w:cs="宋体"/>
      <w:color w:val="000000"/>
      <w:sz w:val="18"/>
      <w:szCs w:val="18"/>
      <w:u w:val="none"/>
    </w:rPr>
  </w:style>
  <w:style w:type="character" w:customStyle="1" w:styleId="94">
    <w:name w:val="font51"/>
    <w:autoRedefine/>
    <w:qFormat/>
    <w:uiPriority w:val="99"/>
    <w:rPr>
      <w:rFonts w:ascii="Times New Roman" w:hAnsi="Times New Roman" w:cs="Times New Roman"/>
      <w:color w:val="000000"/>
      <w:sz w:val="18"/>
      <w:szCs w:val="18"/>
      <w:u w:val="none"/>
      <w:vertAlign w:val="superscript"/>
    </w:rPr>
  </w:style>
  <w:style w:type="character" w:customStyle="1" w:styleId="95">
    <w:name w:val="样式 题注 + (中文) 宋体 Char"/>
    <w:link w:val="96"/>
    <w:autoRedefine/>
    <w:qFormat/>
    <w:uiPriority w:val="0"/>
    <w:rPr>
      <w:b/>
      <w:kern w:val="2"/>
      <w:sz w:val="21"/>
    </w:rPr>
  </w:style>
  <w:style w:type="paragraph" w:customStyle="1" w:styleId="96">
    <w:name w:val="样式 题注 + (中文) 宋体"/>
    <w:basedOn w:val="11"/>
    <w:link w:val="95"/>
    <w:autoRedefine/>
    <w:qFormat/>
    <w:uiPriority w:val="0"/>
    <w:pPr>
      <w:keepNext/>
      <w:adjustRightInd w:val="0"/>
      <w:snapToGrid w:val="0"/>
      <w:jc w:val="center"/>
    </w:pPr>
    <w:rPr>
      <w:rFonts w:ascii="Times New Roman" w:hAnsi="Times New Roman" w:eastAsia="宋体"/>
      <w:b/>
      <w:sz w:val="21"/>
    </w:rPr>
  </w:style>
  <w:style w:type="character" w:customStyle="1" w:styleId="97">
    <w:name w:val="正文缩进 字符"/>
    <w:autoRedefine/>
    <w:qFormat/>
    <w:uiPriority w:val="0"/>
    <w:rPr>
      <w:kern w:val="2"/>
      <w:sz w:val="28"/>
    </w:rPr>
  </w:style>
  <w:style w:type="character" w:customStyle="1" w:styleId="98">
    <w:name w:val="表头 Char"/>
    <w:link w:val="99"/>
    <w:autoRedefine/>
    <w:qFormat/>
    <w:uiPriority w:val="0"/>
    <w:rPr>
      <w:rFonts w:ascii="宋体" w:hAnsi="宋体"/>
      <w:b/>
      <w:kern w:val="2"/>
      <w:sz w:val="21"/>
      <w:szCs w:val="21"/>
      <w:lang w:val="de-DE"/>
    </w:rPr>
  </w:style>
  <w:style w:type="paragraph" w:customStyle="1" w:styleId="99">
    <w:name w:val="表头"/>
    <w:basedOn w:val="1"/>
    <w:link w:val="98"/>
    <w:autoRedefine/>
    <w:qFormat/>
    <w:uiPriority w:val="0"/>
    <w:rPr>
      <w:rFonts w:ascii="宋体" w:hAnsi="宋体"/>
      <w:b/>
      <w:szCs w:val="21"/>
      <w:lang w:val="de-DE"/>
    </w:rPr>
  </w:style>
  <w:style w:type="paragraph" w:customStyle="1" w:styleId="100">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101">
    <w:name w:val="样式环评"/>
    <w:basedOn w:val="1"/>
    <w:autoRedefine/>
    <w:qFormat/>
    <w:uiPriority w:val="0"/>
    <w:pPr>
      <w:spacing w:line="500" w:lineRule="exact"/>
      <w:ind w:firstLine="612"/>
    </w:pPr>
    <w:rPr>
      <w:rFonts w:ascii="仿宋_GB2312" w:hAnsi="宋体" w:eastAsia="仿宋_GB2312"/>
      <w:sz w:val="28"/>
    </w:rPr>
  </w:style>
  <w:style w:type="paragraph" w:customStyle="1" w:styleId="102">
    <w:name w:val="列出段落1"/>
    <w:basedOn w:val="1"/>
    <w:autoRedefine/>
    <w:qFormat/>
    <w:uiPriority w:val="99"/>
    <w:pPr>
      <w:ind w:firstLine="420" w:firstLineChars="200"/>
    </w:pPr>
    <w:rPr>
      <w:rFonts w:ascii="Calibri" w:hAnsi="Calibri"/>
    </w:rPr>
  </w:style>
  <w:style w:type="paragraph" w:customStyle="1" w:styleId="103">
    <w:name w:val="样式 表中文字 + 小四"/>
    <w:basedOn w:val="1"/>
    <w:link w:val="133"/>
    <w:autoRedefine/>
    <w:qFormat/>
    <w:uiPriority w:val="0"/>
    <w:pPr>
      <w:widowControl/>
      <w:jc w:val="center"/>
    </w:pPr>
    <w:rPr>
      <w:rFonts w:hint="eastAsia" w:ascii="宋体" w:hAnsi="宋体"/>
      <w:kern w:val="0"/>
      <w:sz w:val="20"/>
      <w:szCs w:val="21"/>
    </w:rPr>
  </w:style>
  <w:style w:type="paragraph" w:customStyle="1" w:styleId="104">
    <w:name w:val="【正文】"/>
    <w:basedOn w:val="1"/>
    <w:autoRedefine/>
    <w:qFormat/>
    <w:uiPriority w:val="0"/>
    <w:pPr>
      <w:spacing w:beforeLines="50" w:afterLines="50" w:line="440" w:lineRule="exact"/>
      <w:ind w:firstLine="200" w:firstLineChars="200"/>
    </w:pPr>
    <w:rPr>
      <w:rFonts w:eastAsia="新宋体" w:cs="宋体"/>
      <w:sz w:val="24"/>
      <w:szCs w:val="20"/>
    </w:rPr>
  </w:style>
  <w:style w:type="paragraph" w:customStyle="1" w:styleId="105">
    <w:name w:val="表标题"/>
    <w:basedOn w:val="1"/>
    <w:autoRedefine/>
    <w:qFormat/>
    <w:uiPriority w:val="0"/>
    <w:pPr>
      <w:widowControl/>
      <w:snapToGrid w:val="0"/>
      <w:spacing w:before="120" w:afterLines="50"/>
      <w:ind w:firstLine="482"/>
      <w:jc w:val="center"/>
    </w:pPr>
    <w:rPr>
      <w:rFonts w:ascii="黑体" w:hAnsi="Gloucester MT Extra Condensed" w:eastAsia="黑体"/>
      <w:bCs/>
      <w:szCs w:val="21"/>
    </w:rPr>
  </w:style>
  <w:style w:type="paragraph" w:customStyle="1" w:styleId="106">
    <w:name w:val="环科院插图标题"/>
    <w:basedOn w:val="1"/>
    <w:autoRedefine/>
    <w:qFormat/>
    <w:uiPriority w:val="99"/>
    <w:pPr>
      <w:adjustRightInd w:val="0"/>
      <w:snapToGrid w:val="0"/>
      <w:spacing w:beforeLines="50"/>
      <w:jc w:val="center"/>
    </w:pPr>
    <w:rPr>
      <w:rFonts w:ascii="黑体" w:eastAsia="黑体"/>
      <w:color w:val="FF0000"/>
      <w:szCs w:val="21"/>
    </w:rPr>
  </w:style>
  <w:style w:type="paragraph" w:customStyle="1" w:styleId="107">
    <w:name w:val="样式11"/>
    <w:basedOn w:val="1"/>
    <w:autoRedefine/>
    <w:qFormat/>
    <w:uiPriority w:val="0"/>
    <w:pPr>
      <w:spacing w:line="300" w:lineRule="auto"/>
      <w:jc w:val="center"/>
    </w:pPr>
    <w:rPr>
      <w:rFonts w:ascii="宋体"/>
    </w:rPr>
  </w:style>
  <w:style w:type="paragraph" w:customStyle="1" w:styleId="108">
    <w:name w:val="首行缩进正文"/>
    <w:basedOn w:val="1"/>
    <w:autoRedefine/>
    <w:qFormat/>
    <w:uiPriority w:val="0"/>
    <w:pPr>
      <w:spacing w:line="360" w:lineRule="auto"/>
      <w:ind w:firstLine="1440" w:firstLineChars="200"/>
    </w:pPr>
  </w:style>
  <w:style w:type="paragraph" w:customStyle="1" w:styleId="109">
    <w:name w:val="p0"/>
    <w:basedOn w:val="1"/>
    <w:autoRedefine/>
    <w:qFormat/>
    <w:uiPriority w:val="0"/>
    <w:pPr>
      <w:widowControl/>
    </w:pPr>
    <w:rPr>
      <w:kern w:val="0"/>
      <w:szCs w:val="21"/>
    </w:rPr>
  </w:style>
  <w:style w:type="paragraph" w:customStyle="1" w:styleId="110">
    <w:name w:val="Table Paragraph"/>
    <w:basedOn w:val="1"/>
    <w:autoRedefine/>
    <w:qFormat/>
    <w:uiPriority w:val="1"/>
    <w:rPr>
      <w:rFonts w:ascii="Calibri" w:hAnsi="Calibri"/>
      <w:kern w:val="0"/>
      <w:sz w:val="28"/>
      <w:szCs w:val="20"/>
    </w:rPr>
  </w:style>
  <w:style w:type="paragraph" w:customStyle="1" w:styleId="111">
    <w:name w:val="报告正文"/>
    <w:basedOn w:val="1"/>
    <w:autoRedefine/>
    <w:qFormat/>
    <w:uiPriority w:val="0"/>
    <w:pPr>
      <w:spacing w:line="360" w:lineRule="auto"/>
      <w:ind w:firstLine="480" w:firstLineChars="200"/>
    </w:pPr>
    <w:rPr>
      <w:rFonts w:ascii="Arial" w:hAnsi="Arial" w:eastAsia="等线" w:cs="Arial"/>
      <w:kern w:val="0"/>
      <w:sz w:val="24"/>
      <w:szCs w:val="20"/>
    </w:rPr>
  </w:style>
  <w:style w:type="paragraph" w:customStyle="1" w:styleId="112">
    <w:name w:val="表格文字."/>
    <w:basedOn w:val="1"/>
    <w:autoRedefine/>
    <w:qFormat/>
    <w:uiPriority w:val="0"/>
    <w:pPr>
      <w:adjustRightInd w:val="0"/>
      <w:snapToGrid w:val="0"/>
      <w:jc w:val="center"/>
    </w:pPr>
    <w:rPr>
      <w:snapToGrid w:val="0"/>
      <w:color w:val="000000"/>
      <w:kern w:val="0"/>
      <w:szCs w:val="20"/>
    </w:rPr>
  </w:style>
  <w:style w:type="paragraph" w:customStyle="1" w:styleId="113">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15">
    <w:name w:val="环表格"/>
    <w:basedOn w:val="87"/>
    <w:autoRedefine/>
    <w:qFormat/>
    <w:uiPriority w:val="0"/>
    <w:pPr>
      <w:spacing w:beforeLines="20" w:afterLines="20" w:line="240" w:lineRule="auto"/>
    </w:pPr>
    <w:rPr>
      <w:rFonts w:ascii="Times New Roman"/>
      <w:bCs/>
      <w:kern w:val="2"/>
    </w:rPr>
  </w:style>
  <w:style w:type="paragraph" w:customStyle="1" w:styleId="116">
    <w:name w:val="表格文字"/>
    <w:autoRedefine/>
    <w:qFormat/>
    <w:uiPriority w:val="0"/>
    <w:pPr>
      <w:spacing w:beforeLines="10" w:line="0" w:lineRule="atLeast"/>
      <w:jc w:val="center"/>
    </w:pPr>
    <w:rPr>
      <w:rFonts w:ascii="Times New Roman" w:hAnsi="Times New Roman" w:eastAsia="宋体" w:cs="Times New Roman"/>
      <w:kern w:val="2"/>
      <w:sz w:val="18"/>
      <w:szCs w:val="21"/>
      <w:lang w:val="en-US" w:eastAsia="zh-CN" w:bidi="ar-SA"/>
    </w:rPr>
  </w:style>
  <w:style w:type="paragraph" w:customStyle="1" w:styleId="117">
    <w:name w:val="Char5"/>
    <w:basedOn w:val="1"/>
    <w:autoRedefine/>
    <w:qFormat/>
    <w:uiPriority w:val="0"/>
    <w:pPr>
      <w:adjustRightInd w:val="0"/>
      <w:snapToGrid w:val="0"/>
      <w:spacing w:line="360" w:lineRule="auto"/>
      <w:ind w:firstLine="200" w:firstLineChars="200"/>
    </w:pPr>
    <w:rPr>
      <w:sz w:val="24"/>
    </w:rPr>
  </w:style>
  <w:style w:type="paragraph" w:customStyle="1" w:styleId="118">
    <w:name w:val="正文 首行缩进:  2 字符"/>
    <w:basedOn w:val="1"/>
    <w:autoRedefine/>
    <w:qFormat/>
    <w:uiPriority w:val="0"/>
    <w:pPr>
      <w:adjustRightInd w:val="0"/>
      <w:snapToGrid w:val="0"/>
      <w:spacing w:line="360" w:lineRule="auto"/>
      <w:ind w:firstLine="480" w:firstLineChars="200"/>
    </w:pPr>
    <w:rPr>
      <w:bCs/>
      <w:color w:val="000000"/>
      <w:kern w:val="0"/>
      <w:sz w:val="24"/>
    </w:rPr>
  </w:style>
  <w:style w:type="paragraph" w:customStyle="1" w:styleId="119">
    <w:name w:val="xl22"/>
    <w:basedOn w:val="1"/>
    <w:autoRedefine/>
    <w:qFormat/>
    <w:uiPriority w:val="99"/>
    <w:pPr>
      <w:widowControl/>
      <w:spacing w:before="100" w:after="100"/>
      <w:jc w:val="center"/>
    </w:pPr>
    <w:rPr>
      <w:kern w:val="0"/>
      <w:sz w:val="24"/>
    </w:rPr>
  </w:style>
  <w:style w:type="paragraph" w:customStyle="1" w:styleId="120">
    <w:name w:val="TOC 标题1"/>
    <w:basedOn w:val="4"/>
    <w:next w:val="1"/>
    <w:autoRedefine/>
    <w:unhideWhenUsed/>
    <w:qFormat/>
    <w:uiPriority w:val="39"/>
    <w:pPr>
      <w:keepLines/>
      <w:widowControl/>
      <w:overflowPunct/>
      <w:snapToGrid/>
      <w:spacing w:before="480" w:after="0" w:line="276" w:lineRule="auto"/>
      <w:ind w:left="0" w:firstLine="0"/>
      <w:jc w:val="left"/>
      <w:outlineLvl w:val="9"/>
    </w:pPr>
    <w:rPr>
      <w:rFonts w:ascii="Cambria" w:hAnsi="Cambria" w:eastAsia="宋体"/>
      <w:color w:val="365F91"/>
      <w:kern w:val="0"/>
      <w:sz w:val="28"/>
      <w:szCs w:val="28"/>
    </w:rPr>
  </w:style>
  <w:style w:type="paragraph" w:customStyle="1" w:styleId="12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样式 题注 + 首行缩进:  2 字符"/>
    <w:basedOn w:val="11"/>
    <w:autoRedefine/>
    <w:qFormat/>
    <w:uiPriority w:val="0"/>
    <w:pPr>
      <w:snapToGrid w:val="0"/>
      <w:spacing w:line="360" w:lineRule="auto"/>
      <w:ind w:firstLine="502" w:firstLineChars="100"/>
      <w:jc w:val="center"/>
    </w:pPr>
    <w:rPr>
      <w:rFonts w:ascii="黑体" w:hAnsi="Times New Roman"/>
      <w:b/>
      <w:sz w:val="24"/>
    </w:rPr>
  </w:style>
  <w:style w:type="paragraph" w:customStyle="1" w:styleId="123">
    <w:name w:val="四级标题1.1.1.1"/>
    <w:basedOn w:val="1"/>
    <w:next w:val="1"/>
    <w:autoRedefine/>
    <w:qFormat/>
    <w:uiPriority w:val="0"/>
    <w:pPr>
      <w:keepNext/>
      <w:keepLines/>
      <w:widowControl/>
      <w:adjustRightInd w:val="0"/>
      <w:spacing w:before="40" w:after="40" w:line="360" w:lineRule="auto"/>
      <w:ind w:firstLine="200" w:firstLineChars="200"/>
      <w:textAlignment w:val="baseline"/>
      <w:outlineLvl w:val="3"/>
    </w:pPr>
    <w:rPr>
      <w:rFonts w:eastAsia="仿宋_GB2312" w:cs="宋体"/>
      <w:b/>
      <w:kern w:val="0"/>
      <w:sz w:val="24"/>
      <w:szCs w:val="28"/>
    </w:rPr>
  </w:style>
  <w:style w:type="paragraph" w:customStyle="1" w:styleId="124">
    <w:name w:val="绘图"/>
    <w:basedOn w:val="1"/>
    <w:autoRedefine/>
    <w:qFormat/>
    <w:uiPriority w:val="0"/>
    <w:pPr>
      <w:jc w:val="center"/>
    </w:pPr>
    <w:rPr>
      <w:rFonts w:ascii="Calibri" w:hAnsi="Calibri" w:eastAsia="黑体"/>
      <w:kern w:val="0"/>
      <w:sz w:val="24"/>
      <w:szCs w:val="20"/>
    </w:rPr>
  </w:style>
  <w:style w:type="paragraph" w:customStyle="1" w:styleId="125">
    <w:name w:val="环评样式1"/>
    <w:basedOn w:val="1"/>
    <w:autoRedefine/>
    <w:qFormat/>
    <w:uiPriority w:val="0"/>
    <w:pPr>
      <w:spacing w:line="500" w:lineRule="exact"/>
      <w:ind w:firstLine="612"/>
    </w:pPr>
    <w:rPr>
      <w:rFonts w:ascii="仿宋_GB2312" w:hAnsi="宋体" w:eastAsia="仿宋_GB2312"/>
      <w:sz w:val="28"/>
    </w:rPr>
  </w:style>
  <w:style w:type="paragraph" w:customStyle="1" w:styleId="126">
    <w:name w:val="正文小四"/>
    <w:basedOn w:val="1"/>
    <w:autoRedefine/>
    <w:qFormat/>
    <w:uiPriority w:val="0"/>
    <w:pPr>
      <w:widowControl/>
      <w:jc w:val="left"/>
    </w:pPr>
  </w:style>
  <w:style w:type="paragraph" w:customStyle="1" w:styleId="127">
    <w:name w:val="图表题"/>
    <w:basedOn w:val="1"/>
    <w:next w:val="1"/>
    <w:autoRedefine/>
    <w:qFormat/>
    <w:uiPriority w:val="0"/>
    <w:pPr>
      <w:adjustRightInd w:val="0"/>
      <w:snapToGrid w:val="0"/>
      <w:spacing w:line="360" w:lineRule="auto"/>
      <w:jc w:val="center"/>
    </w:pPr>
    <w:rPr>
      <w:rFonts w:eastAsia="黑体"/>
      <w:kern w:val="0"/>
      <w:sz w:val="24"/>
      <w:szCs w:val="20"/>
    </w:rPr>
  </w:style>
  <w:style w:type="paragraph" w:customStyle="1" w:styleId="128">
    <w:name w:val="TOC 标题2"/>
    <w:basedOn w:val="4"/>
    <w:next w:val="1"/>
    <w:autoRedefine/>
    <w:qFormat/>
    <w:uiPriority w:val="39"/>
    <w:pPr>
      <w:keepLines/>
      <w:widowControl/>
      <w:overflowPunct/>
      <w:snapToGrid/>
      <w:spacing w:before="240" w:after="0"/>
      <w:ind w:left="0" w:firstLine="0"/>
      <w:jc w:val="left"/>
      <w:outlineLvl w:val="9"/>
    </w:pPr>
    <w:rPr>
      <w:rFonts w:ascii="Cambria" w:hAnsi="Cambria" w:eastAsia="宋体"/>
      <w:b w:val="0"/>
      <w:bCs w:val="0"/>
      <w:color w:val="365F91"/>
      <w:kern w:val="0"/>
      <w:sz w:val="32"/>
      <w:szCs w:val="32"/>
    </w:rPr>
  </w:style>
  <w:style w:type="paragraph" w:customStyle="1" w:styleId="129">
    <w:name w:val="标准"/>
    <w:basedOn w:val="1"/>
    <w:autoRedefine/>
    <w:qFormat/>
    <w:uiPriority w:val="0"/>
    <w:pPr>
      <w:adjustRightInd w:val="0"/>
      <w:spacing w:line="312" w:lineRule="atLeast"/>
      <w:jc w:val="center"/>
      <w:textAlignment w:val="baseline"/>
    </w:pPr>
    <w:rPr>
      <w:kern w:val="0"/>
      <w:szCs w:val="20"/>
    </w:rPr>
  </w:style>
  <w:style w:type="paragraph" w:customStyle="1" w:styleId="130">
    <w:name w:val="样式 样式 小四 段前: 7.8 磅 段后: 7.8 磅 行距: 1.5 倍行距 + 首行缩进:  2 字符"/>
    <w:basedOn w:val="1"/>
    <w:autoRedefine/>
    <w:qFormat/>
    <w:uiPriority w:val="0"/>
    <w:pPr>
      <w:ind w:firstLine="388" w:firstLineChars="200"/>
    </w:pPr>
    <w:rPr>
      <w:rFonts w:hAnsi="宋体"/>
      <w:spacing w:val="-8"/>
      <w:szCs w:val="21"/>
    </w:rPr>
  </w:style>
  <w:style w:type="paragraph" w:customStyle="1" w:styleId="131">
    <w:name w:val="0"/>
    <w:basedOn w:val="1"/>
    <w:autoRedefine/>
    <w:qFormat/>
    <w:uiPriority w:val="0"/>
    <w:pPr>
      <w:widowControl/>
      <w:jc w:val="left"/>
    </w:pPr>
    <w:rPr>
      <w:kern w:val="0"/>
      <w:szCs w:val="21"/>
    </w:rPr>
  </w:style>
  <w:style w:type="table" w:customStyle="1" w:styleId="132">
    <w:name w:val="标准表格"/>
    <w:basedOn w:val="34"/>
    <w:autoRedefine/>
    <w:qFormat/>
    <w:uiPriority w:val="99"/>
    <w:pPr>
      <w:spacing w:before="74"/>
      <w:jc w:val="center"/>
    </w:pPr>
    <w:rPr>
      <w:sz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FFFFFF"/>
      <w:vAlign w:val="center"/>
    </w:tcPr>
    <w:tblStylePr w:type="firstRow">
      <w:pPr>
        <w:wordWrap/>
        <w:spacing w:line="240" w:lineRule="auto"/>
        <w:ind w:left="0" w:leftChars="0" w:right="0" w:rightChars="0" w:firstLine="0" w:firstLineChars="0"/>
        <w:jc w:val="center"/>
      </w:pPr>
      <w:rPr>
        <w:rFonts w:hint="eastAsia" w:ascii="PMingLiU" w:hAnsi="PMingLiU" w:eastAsia="PMingLiU"/>
        <w:sz w:val="18"/>
        <w:szCs w:val="18"/>
      </w:rPr>
    </w:tblStylePr>
    <w:tblStylePr w:type="firstCol">
      <w:pPr>
        <w:jc w:val="center"/>
      </w:pPr>
    </w:tblStylePr>
  </w:style>
  <w:style w:type="character" w:customStyle="1" w:styleId="133">
    <w:name w:val="样式 表中文字 + 小四 Char"/>
    <w:link w:val="103"/>
    <w:autoRedefine/>
    <w:qFormat/>
    <w:uiPriority w:val="0"/>
    <w:rPr>
      <w:rFonts w:ascii="宋体" w:hAnsi="宋体"/>
      <w:szCs w:val="21"/>
    </w:rPr>
  </w:style>
  <w:style w:type="paragraph" w:customStyle="1" w:styleId="134">
    <w:name w:val="a正文"/>
    <w:basedOn w:val="1"/>
    <w:autoRedefine/>
    <w:qFormat/>
    <w:uiPriority w:val="0"/>
    <w:pPr>
      <w:spacing w:line="360" w:lineRule="auto"/>
      <w:ind w:firstLine="200" w:firstLineChars="200"/>
    </w:pPr>
    <w:rPr>
      <w:sz w:val="28"/>
      <w:szCs w:val="28"/>
    </w:rPr>
  </w:style>
  <w:style w:type="paragraph" w:customStyle="1" w:styleId="135">
    <w:name w:val="标准正文"/>
    <w:basedOn w:val="1"/>
    <w:autoRedefine/>
    <w:qFormat/>
    <w:uiPriority w:val="0"/>
    <w:pPr>
      <w:spacing w:line="280" w:lineRule="exact"/>
      <w:ind w:firstLine="480" w:firstLineChars="200"/>
    </w:pPr>
    <w:rPr>
      <w:rFonts w:hAnsi="宋体"/>
      <w:bCs/>
    </w:rPr>
  </w:style>
  <w:style w:type="paragraph" w:customStyle="1" w:styleId="136">
    <w:name w:val="正文 New"/>
    <w:autoRedefine/>
    <w:qFormat/>
    <w:uiPriority w:val="0"/>
    <w:pPr>
      <w:widowControl w:val="0"/>
      <w:adjustRightInd w:val="0"/>
      <w:snapToGrid w:val="0"/>
      <w:spacing w:line="480" w:lineRule="atLeast"/>
      <w:jc w:val="both"/>
    </w:pPr>
    <w:rPr>
      <w:rFonts w:ascii="宋体" w:hAnsi="Times New Roman" w:eastAsia="宋体" w:cs="Times New Roman"/>
      <w:kern w:val="2"/>
      <w:sz w:val="28"/>
      <w:szCs w:val="28"/>
      <w:lang w:val="en-US" w:eastAsia="zh-CN" w:bidi="ar-SA"/>
    </w:rPr>
  </w:style>
  <w:style w:type="paragraph" w:customStyle="1" w:styleId="137">
    <w:name w:val="样式 小四 首行缩进:  0.85 厘米 行距: 1.5 倍行距"/>
    <w:basedOn w:val="1"/>
    <w:autoRedefine/>
    <w:qFormat/>
    <w:uiPriority w:val="0"/>
    <w:pPr>
      <w:spacing w:line="360" w:lineRule="auto"/>
      <w:ind w:firstLine="480"/>
    </w:pPr>
    <w:rPr>
      <w:rFonts w:cs="宋体"/>
      <w:sz w:val="24"/>
      <w:szCs w:val="20"/>
    </w:rPr>
  </w:style>
  <w:style w:type="character" w:customStyle="1" w:styleId="138">
    <w:name w:val="font11"/>
    <w:basedOn w:val="36"/>
    <w:autoRedefine/>
    <w:qFormat/>
    <w:uiPriority w:val="0"/>
    <w:rPr>
      <w:rFonts w:hint="default" w:ascii="Times New Roman" w:hAnsi="Times New Roman" w:cs="Times New Roman"/>
      <w:color w:val="0000FF"/>
      <w:sz w:val="20"/>
      <w:szCs w:val="20"/>
      <w:u w:val="none"/>
    </w:rPr>
  </w:style>
  <w:style w:type="paragraph" w:customStyle="1" w:styleId="139">
    <w:name w:val="表内格式"/>
    <w:basedOn w:val="1"/>
    <w:autoRedefine/>
    <w:semiHidden/>
    <w:qFormat/>
    <w:uiPriority w:val="0"/>
    <w:pPr>
      <w:spacing w:line="280" w:lineRule="exact"/>
      <w:jc w:val="center"/>
    </w:pPr>
    <w:rPr>
      <w:rFonts w:asci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42</Pages>
  <Words>23477</Words>
  <Characters>26387</Characters>
  <Lines>208</Lines>
  <Paragraphs>58</Paragraphs>
  <TotalTime>25</TotalTime>
  <ScaleCrop>false</ScaleCrop>
  <LinksUpToDate>false</LinksUpToDate>
  <CharactersWithSpaces>26747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2021-06-07T14:53:00Z</dcterms:created>
  <dc:creator>尚云环境</dc:creator>
  <cp:lastModifiedBy>Administrator</cp:lastModifiedBy>
  <cp:lastPrinted>2020-12-29T10:43:00Z</cp:lastPrinted>
  <dcterms:modified xsi:type="dcterms:W3CDTF">2023-12-29T06:12:59Z</dcterms:modified>
  <dc:title>建设项目环境影响报告表（污染影响类）</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BA558501002F4E1FB31FA31376026A61_13</vt:lpwstr>
  </property>
</Properties>
</file>