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21D419">
      <w:pPr>
        <w:rPr>
          <w:rFonts w:ascii="Times New Roman" w:hAnsi="Times New Roman" w:eastAsia="仿宋_GB2312" w:cs="Times New Roman"/>
          <w:color w:val="auto"/>
          <w:sz w:val="36"/>
          <w:szCs w:val="36"/>
          <w:highlight w:val="none"/>
        </w:rPr>
      </w:pPr>
      <w:bookmarkStart w:id="0" w:name="_Hlk57883707"/>
      <w:r>
        <w:rPr>
          <w:rFonts w:hint="eastAsia" w:ascii="Times New Roman" w:hAnsi="Times New Roman" w:eastAsia="仿宋_GB2312" w:cs="Times New Roman"/>
          <w:color w:val="auto"/>
          <w:sz w:val="36"/>
          <w:szCs w:val="36"/>
          <w:highlight w:val="none"/>
          <w:lang w:val="en-US" w:eastAsia="zh-CN"/>
        </w:rPr>
        <w:t xml:space="preserve">   </w:t>
      </w:r>
      <w:r>
        <w:rPr>
          <w:rFonts w:ascii="Times New Roman" w:hAnsi="Times New Roman" w:eastAsia="仿宋_GB2312" w:cs="Times New Roman"/>
          <w:color w:val="auto"/>
          <w:sz w:val="36"/>
          <w:szCs w:val="36"/>
          <w:highlight w:val="none"/>
        </w:rPr>
        <w:t xml:space="preserve">                          </w:t>
      </w:r>
    </w:p>
    <w:p w14:paraId="18EFAE9E">
      <w:pPr>
        <w:rPr>
          <w:rFonts w:ascii="Times New Roman" w:hAnsi="Times New Roman" w:eastAsia="仿宋_GB2312" w:cs="Times New Roman"/>
          <w:color w:val="auto"/>
          <w:sz w:val="36"/>
          <w:szCs w:val="36"/>
          <w:highlight w:val="none"/>
        </w:rPr>
      </w:pPr>
    </w:p>
    <w:p w14:paraId="19133A68">
      <w:pPr>
        <w:rPr>
          <w:rFonts w:ascii="Times New Roman" w:hAnsi="Times New Roman" w:eastAsia="仿宋_GB2312" w:cs="Times New Roman"/>
          <w:color w:val="auto"/>
          <w:sz w:val="36"/>
          <w:szCs w:val="36"/>
          <w:highlight w:val="none"/>
        </w:rPr>
      </w:pPr>
    </w:p>
    <w:p w14:paraId="4F164A42">
      <w:pPr>
        <w:rPr>
          <w:rFonts w:ascii="Times New Roman" w:hAnsi="Times New Roman" w:eastAsia="仿宋_GB2312" w:cs="Times New Roman"/>
          <w:color w:val="auto"/>
          <w:sz w:val="36"/>
          <w:szCs w:val="36"/>
          <w:highlight w:val="none"/>
        </w:rPr>
      </w:pPr>
    </w:p>
    <w:bookmarkEnd w:id="0"/>
    <w:p w14:paraId="7C62E300">
      <w:pPr>
        <w:adjustRightInd w:val="0"/>
        <w:snapToGrid w:val="0"/>
        <w:jc w:val="center"/>
        <w:outlineLvl w:val="0"/>
        <w:rPr>
          <w:rFonts w:ascii="Times New Roman" w:hAnsi="Times New Roman" w:eastAsia="方正小标宋_GBK" w:cs="Times New Roman"/>
          <w:bCs/>
          <w:color w:val="auto"/>
          <w:sz w:val="72"/>
          <w:szCs w:val="72"/>
          <w:highlight w:val="none"/>
        </w:rPr>
      </w:pPr>
      <w:r>
        <w:rPr>
          <w:rFonts w:ascii="Times New Roman" w:hAnsi="Times New Roman" w:eastAsia="方正小标宋_GBK" w:cs="Times New Roman"/>
          <w:bCs/>
          <w:color w:val="auto"/>
          <w:sz w:val="72"/>
          <w:szCs w:val="72"/>
          <w:highlight w:val="none"/>
        </w:rPr>
        <w:t>建设项目环境影响报告表</w:t>
      </w:r>
    </w:p>
    <w:p w14:paraId="5BBE0AED">
      <w:pPr>
        <w:adjustRightInd w:val="0"/>
        <w:snapToGrid w:val="0"/>
        <w:spacing w:before="192" w:beforeLines="80"/>
        <w:jc w:val="center"/>
        <w:rPr>
          <w:rFonts w:hint="eastAsia" w:ascii="Times New Roman" w:hAnsi="Times New Roman" w:eastAsia="楷体_GB2312" w:cs="Times New Roman"/>
          <w:bCs/>
          <w:color w:val="auto"/>
          <w:sz w:val="48"/>
          <w:szCs w:val="48"/>
          <w:highlight w:val="none"/>
          <w:lang w:eastAsia="zh-CN"/>
        </w:rPr>
      </w:pPr>
      <w:r>
        <w:rPr>
          <w:rFonts w:ascii="Times New Roman" w:hAnsi="Times New Roman" w:eastAsia="楷体_GB2312" w:cs="Times New Roman"/>
          <w:bCs/>
          <w:color w:val="auto"/>
          <w:sz w:val="48"/>
          <w:szCs w:val="48"/>
          <w:highlight w:val="none"/>
        </w:rPr>
        <w:t>（生态影响类）</w:t>
      </w:r>
    </w:p>
    <w:p w14:paraId="7A85B838">
      <w:pPr>
        <w:jc w:val="center"/>
        <w:rPr>
          <w:rFonts w:ascii="Times New Roman" w:hAnsi="Times New Roman" w:eastAsia="华文仿宋" w:cs="Times New Roman"/>
          <w:color w:val="auto"/>
          <w:kern w:val="44"/>
          <w:sz w:val="44"/>
          <w:szCs w:val="44"/>
          <w:highlight w:val="none"/>
        </w:rPr>
      </w:pPr>
      <w:bookmarkStart w:id="1" w:name="_Hlk57883728"/>
    </w:p>
    <w:p w14:paraId="32CC48AD">
      <w:pPr>
        <w:pStyle w:val="32"/>
        <w:ind w:left="0" w:leftChars="0" w:firstLine="0" w:firstLineChars="0"/>
        <w:rPr>
          <w:rFonts w:ascii="Times New Roman" w:hAnsi="Times New Roman" w:eastAsia="仿宋" w:cs="Times New Roman"/>
          <w:color w:val="auto"/>
          <w:sz w:val="52"/>
          <w:szCs w:val="52"/>
          <w:highlight w:val="none"/>
        </w:rPr>
      </w:pPr>
    </w:p>
    <w:p w14:paraId="2C5A230E">
      <w:pPr>
        <w:rPr>
          <w:color w:val="auto"/>
        </w:rPr>
      </w:pPr>
    </w:p>
    <w:p w14:paraId="0D2A7640">
      <w:pPr>
        <w:pStyle w:val="28"/>
        <w:rPr>
          <w:color w:val="auto"/>
        </w:rPr>
      </w:pPr>
    </w:p>
    <w:p w14:paraId="5E33C258">
      <w:pPr>
        <w:rPr>
          <w:rFonts w:ascii="Times New Roman" w:hAnsi="Times New Roman" w:eastAsia="仿宋" w:cs="Times New Roman"/>
          <w:color w:val="auto"/>
          <w:sz w:val="44"/>
          <w:szCs w:val="44"/>
          <w:highlight w:val="none"/>
        </w:rPr>
      </w:pPr>
    </w:p>
    <w:bookmarkEnd w:id="1"/>
    <w:p w14:paraId="2CE69A6C">
      <w:pPr>
        <w:adjustRightInd w:val="0"/>
        <w:snapToGrid w:val="0"/>
        <w:spacing w:line="360" w:lineRule="auto"/>
        <w:rPr>
          <w:rFonts w:hint="default" w:ascii="Times New Roman" w:hAnsi="Times New Roman" w:eastAsia="仿宋_GB2312" w:cs="Times New Roman"/>
          <w:b/>
          <w:color w:val="auto"/>
          <w:sz w:val="36"/>
          <w:szCs w:val="36"/>
          <w:u w:val="single"/>
        </w:rPr>
      </w:pPr>
      <w:r>
        <w:rPr>
          <w:rFonts w:hint="default" w:ascii="Times New Roman" w:hAnsi="Times New Roman" w:eastAsia="仿宋_GB2312" w:cs="Times New Roman"/>
          <w:b/>
          <w:color w:val="auto"/>
          <w:sz w:val="36"/>
          <w:szCs w:val="36"/>
        </w:rPr>
        <w:t>项目名称：</w:t>
      </w:r>
      <w:r>
        <w:rPr>
          <w:rFonts w:hint="default" w:ascii="Times New Roman" w:hAnsi="Times New Roman" w:eastAsia="仿宋_GB2312" w:cs="Times New Roman"/>
          <w:b/>
          <w:color w:val="auto"/>
          <w:sz w:val="36"/>
          <w:szCs w:val="36"/>
          <w:u w:val="single"/>
        </w:rPr>
        <w:t xml:space="preserve">      </w:t>
      </w:r>
      <w:r>
        <w:rPr>
          <w:rFonts w:hint="eastAsia" w:ascii="Times New Roman" w:hAnsi="Times New Roman" w:eastAsia="仿宋_GB2312" w:cs="Times New Roman"/>
          <w:b/>
          <w:color w:val="auto"/>
          <w:sz w:val="36"/>
          <w:szCs w:val="36"/>
          <w:u w:val="single"/>
          <w:lang w:val="en-US" w:eastAsia="zh-CN"/>
        </w:rPr>
        <w:t xml:space="preserve"> </w:t>
      </w:r>
      <w:r>
        <w:rPr>
          <w:rFonts w:hint="default" w:ascii="Times New Roman" w:hAnsi="Times New Roman" w:eastAsia="仿宋_GB2312" w:cs="Times New Roman"/>
          <w:b/>
          <w:color w:val="auto"/>
          <w:sz w:val="36"/>
          <w:szCs w:val="36"/>
          <w:u w:val="single"/>
        </w:rPr>
        <w:t>大唐洋县60MW光伏发电项目</w:t>
      </w:r>
      <w:r>
        <w:rPr>
          <w:rFonts w:hint="eastAsia" w:ascii="Times New Roman" w:hAnsi="Times New Roman" w:eastAsia="仿宋_GB2312" w:cs="Times New Roman"/>
          <w:b/>
          <w:color w:val="auto"/>
          <w:sz w:val="36"/>
          <w:szCs w:val="36"/>
          <w:u w:val="single"/>
          <w:lang w:val="en-US" w:eastAsia="zh-CN"/>
        </w:rPr>
        <w:t xml:space="preserve"> </w:t>
      </w:r>
      <w:r>
        <w:rPr>
          <w:rFonts w:hint="default" w:ascii="Times New Roman" w:hAnsi="Times New Roman" w:eastAsia="仿宋_GB2312" w:cs="Times New Roman"/>
          <w:b/>
          <w:color w:val="auto"/>
          <w:sz w:val="36"/>
          <w:szCs w:val="36"/>
          <w:u w:val="single"/>
        </w:rPr>
        <w:t xml:space="preserve">   </w:t>
      </w:r>
    </w:p>
    <w:p w14:paraId="27C89808">
      <w:pPr>
        <w:adjustRightInd w:val="0"/>
        <w:snapToGrid w:val="0"/>
        <w:spacing w:line="360" w:lineRule="auto"/>
        <w:rPr>
          <w:rFonts w:hint="default" w:ascii="Times New Roman" w:hAnsi="Times New Roman" w:eastAsia="仿宋_GB2312" w:cs="Times New Roman"/>
          <w:b/>
          <w:color w:val="auto"/>
          <w:sz w:val="36"/>
          <w:szCs w:val="36"/>
          <w:u w:val="single"/>
        </w:rPr>
      </w:pPr>
      <w:r>
        <w:rPr>
          <w:rFonts w:hint="default" w:ascii="Times New Roman" w:hAnsi="Times New Roman" w:eastAsia="仿宋_GB2312" w:cs="Times New Roman"/>
          <w:b/>
          <w:color w:val="auto"/>
          <w:sz w:val="36"/>
          <w:szCs w:val="36"/>
        </w:rPr>
        <w:t>建设单位（盖章）：</w:t>
      </w:r>
      <w:r>
        <w:rPr>
          <w:rFonts w:hint="eastAsia" w:ascii="Times New Roman" w:hAnsi="Times New Roman" w:eastAsia="仿宋_GB2312" w:cs="Times New Roman"/>
          <w:b/>
          <w:color w:val="auto"/>
          <w:sz w:val="36"/>
          <w:szCs w:val="36"/>
          <w:highlight w:val="none"/>
          <w:u w:val="single"/>
          <w:lang w:eastAsia="zh-CN"/>
        </w:rPr>
        <w:t>大唐（洋县）新能源有限责任公司</w:t>
      </w:r>
    </w:p>
    <w:p w14:paraId="0486F9C3">
      <w:pPr>
        <w:adjustRightInd w:val="0"/>
        <w:snapToGrid w:val="0"/>
        <w:spacing w:line="360" w:lineRule="auto"/>
        <w:rPr>
          <w:rFonts w:hint="default" w:ascii="Times New Roman" w:hAnsi="Times New Roman" w:eastAsia="仿宋_GB2312" w:cs="Times New Roman"/>
          <w:b/>
          <w:color w:val="auto"/>
          <w:sz w:val="36"/>
          <w:szCs w:val="36"/>
          <w:u w:val="single"/>
        </w:rPr>
      </w:pPr>
      <w:r>
        <w:rPr>
          <w:rFonts w:hint="default" w:ascii="Times New Roman" w:hAnsi="Times New Roman" w:eastAsia="仿宋_GB2312" w:cs="Times New Roman"/>
          <w:b/>
          <w:color w:val="auto"/>
          <w:sz w:val="36"/>
          <w:szCs w:val="36"/>
        </w:rPr>
        <w:t>编制日期：</w:t>
      </w:r>
      <w:r>
        <w:rPr>
          <w:rFonts w:hint="default" w:ascii="Times New Roman" w:hAnsi="Times New Roman" w:eastAsia="仿宋_GB2312" w:cs="Times New Roman"/>
          <w:b/>
          <w:color w:val="auto"/>
          <w:sz w:val="36"/>
          <w:szCs w:val="36"/>
          <w:u w:val="single"/>
        </w:rPr>
        <w:t xml:space="preserve">         </w:t>
      </w:r>
      <w:r>
        <w:rPr>
          <w:rFonts w:hint="eastAsia" w:ascii="Times New Roman" w:hAnsi="Times New Roman" w:eastAsia="仿宋_GB2312" w:cs="Times New Roman"/>
          <w:b/>
          <w:color w:val="auto"/>
          <w:sz w:val="36"/>
          <w:szCs w:val="36"/>
          <w:u w:val="single"/>
          <w:lang w:val="en-US" w:eastAsia="zh-CN"/>
        </w:rPr>
        <w:t xml:space="preserve"> </w:t>
      </w:r>
      <w:r>
        <w:rPr>
          <w:rFonts w:hint="default" w:ascii="Times New Roman" w:hAnsi="Times New Roman" w:eastAsia="仿宋_GB2312" w:cs="Times New Roman"/>
          <w:b/>
          <w:color w:val="auto"/>
          <w:sz w:val="36"/>
          <w:szCs w:val="36"/>
          <w:u w:val="single"/>
        </w:rPr>
        <w:t xml:space="preserve">   202</w:t>
      </w:r>
      <w:r>
        <w:rPr>
          <w:rFonts w:hint="eastAsia" w:ascii="Times New Roman" w:hAnsi="Times New Roman" w:eastAsia="仿宋_GB2312" w:cs="Times New Roman"/>
          <w:b/>
          <w:color w:val="auto"/>
          <w:sz w:val="36"/>
          <w:szCs w:val="36"/>
          <w:u w:val="single"/>
          <w:lang w:val="en-US" w:eastAsia="zh-CN"/>
        </w:rPr>
        <w:t>4</w:t>
      </w:r>
      <w:r>
        <w:rPr>
          <w:rFonts w:hint="default" w:ascii="Times New Roman" w:hAnsi="Times New Roman" w:eastAsia="仿宋_GB2312" w:cs="Times New Roman"/>
          <w:b/>
          <w:color w:val="auto"/>
          <w:sz w:val="36"/>
          <w:szCs w:val="36"/>
          <w:u w:val="single"/>
        </w:rPr>
        <w:t>年</w:t>
      </w:r>
      <w:r>
        <w:rPr>
          <w:rFonts w:hint="eastAsia" w:ascii="Times New Roman" w:hAnsi="Times New Roman" w:eastAsia="仿宋_GB2312" w:cs="Times New Roman"/>
          <w:b/>
          <w:color w:val="auto"/>
          <w:sz w:val="36"/>
          <w:szCs w:val="36"/>
          <w:u w:val="single"/>
          <w:lang w:val="en-US" w:eastAsia="zh-CN"/>
        </w:rPr>
        <w:t>8</w:t>
      </w:r>
      <w:r>
        <w:rPr>
          <w:rFonts w:hint="default" w:ascii="Times New Roman" w:hAnsi="Times New Roman" w:eastAsia="仿宋_GB2312" w:cs="Times New Roman"/>
          <w:b/>
          <w:color w:val="auto"/>
          <w:sz w:val="36"/>
          <w:szCs w:val="36"/>
          <w:u w:val="single"/>
        </w:rPr>
        <w:t>月</w:t>
      </w:r>
      <w:r>
        <w:rPr>
          <w:rFonts w:hint="eastAsia" w:ascii="Times New Roman" w:hAnsi="Times New Roman" w:eastAsia="仿宋_GB2312" w:cs="Times New Roman"/>
          <w:b/>
          <w:color w:val="auto"/>
          <w:sz w:val="36"/>
          <w:szCs w:val="36"/>
          <w:u w:val="single"/>
          <w:lang w:val="en-US" w:eastAsia="zh-CN"/>
        </w:rPr>
        <w:t xml:space="preserve">                                                                                                                                                                                                                                                                                                                                                                                                                                                                                                                                                                                                                                                                                                                                                                                                                                                                                                                                                                                                                                                                                                                                                                                                                                                                                                                                                                                                                                                                                                                                                                                                                                                                                                                                                                                                                                                                                                                                                                                                                                                                                                                                                                                                                                                                                                                                                                                                                                                                                                                                                                                                                                                                                                                                                                                                                                                                                                                                                                                                                                                                                                                                                                                                                                                                                                                                                                                                                                                                                                                                                                                                                                                                                                                                                                                                                                                                                                                                                                                                                                                                                                                                                                                                                </w:t>
      </w:r>
      <w:r>
        <w:rPr>
          <w:rFonts w:hint="eastAsia" w:ascii="Times New Roman" w:hAnsi="Times New Roman" w:eastAsia="仿宋_GB2312" w:cs="Times New Roman"/>
          <w:b/>
          <w:color w:val="auto"/>
          <w:sz w:val="36"/>
          <w:szCs w:val="36"/>
          <w:u w:val="single"/>
          <w:lang w:val="en-US" w:eastAsia="zh-CN"/>
        </w:rPr>
        <w:t xml:space="preserve">                                                                                                                                                                                                                                                                                                                                                                                                                                                                                                                                       </w:t>
      </w:r>
      <w:r>
        <w:rPr>
          <w:rFonts w:hint="default" w:ascii="Times New Roman" w:hAnsi="Times New Roman" w:eastAsia="仿宋_GB2312" w:cs="Times New Roman"/>
          <w:b/>
          <w:color w:val="auto"/>
          <w:sz w:val="36"/>
          <w:szCs w:val="36"/>
          <w:u w:val="single"/>
        </w:rPr>
        <w:t xml:space="preserve">              </w:t>
      </w:r>
    </w:p>
    <w:p w14:paraId="29F0E5EC">
      <w:pPr>
        <w:adjustRightInd w:val="0"/>
        <w:snapToGrid w:val="0"/>
        <w:spacing w:line="288" w:lineRule="auto"/>
        <w:ind w:firstLine="1040"/>
        <w:rPr>
          <w:rFonts w:ascii="Times New Roman" w:hAnsi="Times New Roman" w:eastAsia="仿宋_GB2312" w:cs="Times New Roman"/>
          <w:color w:val="auto"/>
          <w:sz w:val="36"/>
          <w:szCs w:val="36"/>
          <w:highlight w:val="none"/>
          <w:u w:val="single"/>
        </w:rPr>
      </w:pPr>
    </w:p>
    <w:p w14:paraId="1753F1B8">
      <w:pPr>
        <w:adjustRightInd w:val="0"/>
        <w:snapToGrid w:val="0"/>
        <w:spacing w:line="288" w:lineRule="auto"/>
        <w:ind w:firstLine="1040"/>
        <w:rPr>
          <w:rFonts w:ascii="Times New Roman" w:hAnsi="Times New Roman" w:eastAsia="仿宋_GB2312" w:cs="Times New Roman"/>
          <w:color w:val="auto"/>
          <w:sz w:val="36"/>
          <w:szCs w:val="36"/>
          <w:highlight w:val="none"/>
        </w:rPr>
      </w:pPr>
    </w:p>
    <w:p w14:paraId="405D620C">
      <w:pPr>
        <w:adjustRightInd w:val="0"/>
        <w:snapToGrid w:val="0"/>
        <w:spacing w:line="288" w:lineRule="auto"/>
        <w:ind w:firstLine="1040"/>
        <w:rPr>
          <w:rFonts w:ascii="Times New Roman" w:hAnsi="Times New Roman" w:eastAsia="仿宋_GB2312" w:cs="Times New Roman"/>
          <w:color w:val="auto"/>
          <w:sz w:val="36"/>
          <w:szCs w:val="36"/>
          <w:highlight w:val="none"/>
        </w:rPr>
      </w:pPr>
    </w:p>
    <w:p w14:paraId="5C4A1BEA">
      <w:pPr>
        <w:adjustRightInd w:val="0"/>
        <w:snapToGrid w:val="0"/>
        <w:spacing w:line="288" w:lineRule="auto"/>
        <w:ind w:firstLine="1040"/>
        <w:rPr>
          <w:rFonts w:ascii="Times New Roman" w:hAnsi="Times New Roman" w:eastAsia="仿宋_GB2312" w:cs="Times New Roman"/>
          <w:color w:val="auto"/>
          <w:sz w:val="36"/>
          <w:szCs w:val="36"/>
          <w:highlight w:val="none"/>
        </w:rPr>
      </w:pPr>
    </w:p>
    <w:p w14:paraId="4645A18E">
      <w:pPr>
        <w:adjustRightInd w:val="0"/>
        <w:snapToGrid w:val="0"/>
        <w:spacing w:line="288" w:lineRule="auto"/>
        <w:ind w:firstLine="1040"/>
        <w:rPr>
          <w:rFonts w:ascii="Times New Roman" w:hAnsi="Times New Roman" w:eastAsia="仿宋_GB2312" w:cs="Times New Roman"/>
          <w:color w:val="auto"/>
          <w:sz w:val="36"/>
          <w:szCs w:val="36"/>
          <w:highlight w:val="none"/>
        </w:rPr>
      </w:pPr>
    </w:p>
    <w:p w14:paraId="50154E1E">
      <w:pPr>
        <w:pStyle w:val="34"/>
        <w:rPr>
          <w:rFonts w:ascii="Times New Roman" w:hAnsi="Times New Roman" w:eastAsia="仿宋_GB2312" w:cs="Times New Roman"/>
          <w:color w:val="auto"/>
          <w:sz w:val="36"/>
          <w:szCs w:val="36"/>
          <w:highlight w:val="none"/>
        </w:rPr>
      </w:pPr>
    </w:p>
    <w:p w14:paraId="5F33D386">
      <w:pPr>
        <w:pStyle w:val="34"/>
        <w:rPr>
          <w:rFonts w:ascii="Times New Roman" w:hAnsi="Times New Roman" w:eastAsia="仿宋_GB2312" w:cs="Times New Roman"/>
          <w:color w:val="auto"/>
          <w:sz w:val="36"/>
          <w:szCs w:val="36"/>
          <w:highlight w:val="none"/>
        </w:rPr>
      </w:pPr>
    </w:p>
    <w:p w14:paraId="55F17209">
      <w:pPr>
        <w:pStyle w:val="34"/>
        <w:rPr>
          <w:rFonts w:ascii="Times New Roman" w:hAnsi="Times New Roman" w:eastAsia="仿宋_GB2312" w:cs="Times New Roman"/>
          <w:color w:val="auto"/>
          <w:sz w:val="36"/>
          <w:szCs w:val="36"/>
          <w:highlight w:val="none"/>
        </w:rPr>
      </w:pPr>
    </w:p>
    <w:p w14:paraId="6CDBBDC6">
      <w:pPr>
        <w:adjustRightInd w:val="0"/>
        <w:snapToGrid w:val="0"/>
        <w:spacing w:line="288" w:lineRule="auto"/>
        <w:jc w:val="center"/>
        <w:rPr>
          <w:rFonts w:ascii="Times New Roman" w:hAnsi="Times New Roman" w:eastAsia="楷体_GB2312" w:cs="Times New Roman"/>
          <w:color w:val="auto"/>
          <w:sz w:val="36"/>
          <w:szCs w:val="36"/>
          <w:highlight w:val="none"/>
        </w:rPr>
      </w:pPr>
      <w:r>
        <w:rPr>
          <w:rFonts w:ascii="Times New Roman" w:hAnsi="Times New Roman" w:eastAsia="楷体_GB2312" w:cs="Times New Roman"/>
          <w:color w:val="auto"/>
          <w:sz w:val="36"/>
          <w:szCs w:val="36"/>
          <w:highlight w:val="none"/>
        </w:rPr>
        <w:t>中华人民共和国生态环境部制</w:t>
      </w:r>
    </w:p>
    <w:p w14:paraId="0A5D3189">
      <w:pPr>
        <w:adjustRightInd w:val="0"/>
        <w:snapToGrid w:val="0"/>
        <w:spacing w:line="288" w:lineRule="auto"/>
        <w:ind w:firstLine="1040"/>
        <w:rPr>
          <w:rFonts w:eastAsia="仿宋_GB2312"/>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r>
        <w:rPr>
          <w:rFonts w:ascii="Times New Roman" w:hAnsi="Times New Roman" w:eastAsia="仿宋_GB2312" w:cs="Times New Roman"/>
          <w:color w:val="auto"/>
          <w:sz w:val="36"/>
          <w:szCs w:val="36"/>
          <w:highlight w:val="none"/>
        </w:rPr>
        <w:br w:type="page"/>
      </w:r>
    </w:p>
    <w:p w14:paraId="00E281EF">
      <w:pPr>
        <w:pStyle w:val="21"/>
        <w:spacing w:before="0" w:beforeAutospacing="0" w:after="0" w:afterAutospacing="0" w:line="360" w:lineRule="auto"/>
        <w:jc w:val="center"/>
        <w:outlineLvl w:val="0"/>
        <w:rPr>
          <w:rFonts w:hint="eastAsia" w:ascii="黑体" w:hAnsi="黑体" w:eastAsia="黑体"/>
          <w:snapToGrid w:val="0"/>
          <w:color w:val="auto"/>
          <w:sz w:val="30"/>
          <w:szCs w:val="30"/>
        </w:rPr>
      </w:pPr>
    </w:p>
    <w:p w14:paraId="3EF8D4D4">
      <w:pPr>
        <w:rPr>
          <w:rFonts w:hint="eastAsia" w:ascii="黑体" w:hAnsi="黑体" w:eastAsia="黑体"/>
          <w:snapToGrid w:val="0"/>
          <w:color w:val="auto"/>
          <w:sz w:val="30"/>
          <w:szCs w:val="30"/>
        </w:rPr>
      </w:pPr>
      <w:r>
        <w:rPr>
          <w:rFonts w:hint="eastAsia" w:ascii="黑体" w:hAnsi="黑体" w:eastAsia="黑体"/>
          <w:snapToGrid w:val="0"/>
          <w:color w:val="auto"/>
          <w:sz w:val="30"/>
          <w:szCs w:val="30"/>
        </w:rPr>
        <w:br w:type="page"/>
      </w:r>
    </w:p>
    <w:p w14:paraId="48ACF796">
      <w:pPr>
        <w:pStyle w:val="21"/>
        <w:spacing w:before="0" w:beforeAutospacing="0" w:after="0" w:afterAutospacing="0" w:line="360" w:lineRule="auto"/>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24"/>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56"/>
        <w:gridCol w:w="2163"/>
        <w:gridCol w:w="1948"/>
        <w:gridCol w:w="2903"/>
      </w:tblGrid>
      <w:tr w14:paraId="7F1274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noWrap w:val="0"/>
            <w:tcMar>
              <w:top w:w="16" w:type="dxa"/>
              <w:left w:w="16" w:type="dxa"/>
              <w:right w:w="16" w:type="dxa"/>
            </w:tcMar>
            <w:vAlign w:val="center"/>
          </w:tcPr>
          <w:p w14:paraId="3FAC6F2E">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建设项目名称</w:t>
            </w:r>
          </w:p>
        </w:tc>
        <w:tc>
          <w:tcPr>
            <w:tcW w:w="7014" w:type="dxa"/>
            <w:gridSpan w:val="3"/>
            <w:noWrap w:val="0"/>
            <w:vAlign w:val="center"/>
          </w:tcPr>
          <w:p w14:paraId="1E051892">
            <w:pPr>
              <w:adjustRightInd w:val="0"/>
              <w:snapToGrid w:val="0"/>
              <w:jc w:val="center"/>
              <w:rPr>
                <w:rFonts w:hint="default" w:ascii="Times New Roman" w:hAnsi="Times New Roman" w:cs="Times New Roman"/>
                <w:color w:val="auto"/>
                <w:sz w:val="24"/>
              </w:rPr>
            </w:pPr>
            <w:r>
              <w:rPr>
                <w:rFonts w:hint="eastAsia" w:ascii="Times New Roman" w:hAnsi="Times New Roman" w:cs="Times New Roman"/>
                <w:color w:val="auto"/>
                <w:sz w:val="24"/>
                <w:lang w:eastAsia="zh-CN"/>
              </w:rPr>
              <w:t>大唐洋县60MW光伏发电项目</w:t>
            </w:r>
          </w:p>
        </w:tc>
      </w:tr>
      <w:tr w14:paraId="3B22C1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1856" w:type="dxa"/>
            <w:noWrap w:val="0"/>
            <w:tcMar>
              <w:top w:w="16" w:type="dxa"/>
              <w:left w:w="16" w:type="dxa"/>
              <w:right w:w="16" w:type="dxa"/>
            </w:tcMar>
            <w:vAlign w:val="center"/>
          </w:tcPr>
          <w:p w14:paraId="1E9AA766">
            <w:pPr>
              <w:adjustRightInd w:val="0"/>
              <w:snapToGrid w:val="0"/>
              <w:jc w:val="center"/>
              <w:rPr>
                <w:rFonts w:hint="default" w:ascii="Times New Roman" w:hAnsi="Times New Roman" w:cs="Times New Roman"/>
                <w:color w:val="auto"/>
                <w:sz w:val="24"/>
                <w:highlight w:val="green"/>
              </w:rPr>
            </w:pPr>
            <w:r>
              <w:rPr>
                <w:rFonts w:hint="default" w:ascii="Times New Roman" w:hAnsi="Times New Roman" w:cs="Times New Roman"/>
                <w:color w:val="auto"/>
                <w:sz w:val="24"/>
              </w:rPr>
              <w:t>项目代码</w:t>
            </w:r>
          </w:p>
        </w:tc>
        <w:tc>
          <w:tcPr>
            <w:tcW w:w="7014" w:type="dxa"/>
            <w:gridSpan w:val="3"/>
            <w:noWrap w:val="0"/>
            <w:vAlign w:val="center"/>
          </w:tcPr>
          <w:p w14:paraId="500AD150">
            <w:pPr>
              <w:adjustRightInd w:val="0"/>
              <w:snapToGrid w:val="0"/>
              <w:jc w:val="center"/>
              <w:rPr>
                <w:rFonts w:hint="default" w:ascii="Times New Roman" w:hAnsi="Times New Roman" w:cs="Times New Roman"/>
                <w:color w:val="auto"/>
                <w:sz w:val="24"/>
                <w:highlight w:val="green"/>
              </w:rPr>
            </w:pPr>
            <w:r>
              <w:rPr>
                <w:rFonts w:hint="default" w:ascii="Times New Roman" w:hAnsi="Times New Roman" w:eastAsia="仿宋" w:cs="Times New Roman"/>
                <w:color w:val="auto"/>
                <w:sz w:val="24"/>
              </w:rPr>
              <w:t>2310-610723-04-01-166927</w:t>
            </w:r>
          </w:p>
        </w:tc>
      </w:tr>
      <w:tr w14:paraId="59C290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1856" w:type="dxa"/>
            <w:noWrap w:val="0"/>
            <w:tcMar>
              <w:top w:w="16" w:type="dxa"/>
              <w:left w:w="16" w:type="dxa"/>
              <w:right w:w="16" w:type="dxa"/>
            </w:tcMar>
            <w:vAlign w:val="center"/>
          </w:tcPr>
          <w:p w14:paraId="6D7B7634">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建设单位联系人</w:t>
            </w:r>
          </w:p>
        </w:tc>
        <w:tc>
          <w:tcPr>
            <w:tcW w:w="2163" w:type="dxa"/>
            <w:noWrap w:val="0"/>
            <w:vAlign w:val="center"/>
          </w:tcPr>
          <w:p w14:paraId="1892D058">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叶梓翔</w:t>
            </w:r>
          </w:p>
        </w:tc>
        <w:tc>
          <w:tcPr>
            <w:tcW w:w="1948" w:type="dxa"/>
            <w:noWrap w:val="0"/>
            <w:vAlign w:val="center"/>
          </w:tcPr>
          <w:p w14:paraId="4AFCBA8C">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联系方式</w:t>
            </w:r>
          </w:p>
        </w:tc>
        <w:tc>
          <w:tcPr>
            <w:tcW w:w="2903" w:type="dxa"/>
            <w:noWrap w:val="0"/>
            <w:vAlign w:val="center"/>
          </w:tcPr>
          <w:p w14:paraId="47F9A7AB">
            <w:pPr>
              <w:adjustRightInd w:val="0"/>
              <w:snapToGrid w:val="0"/>
              <w:jc w:val="center"/>
              <w:rPr>
                <w:rFonts w:hint="default" w:ascii="Times New Roman" w:hAnsi="Times New Roman" w:cs="Times New Roman" w:eastAsiaTheme="minorEastAsia"/>
                <w:color w:val="auto"/>
                <w:sz w:val="24"/>
                <w:lang w:val="en-US" w:eastAsia="zh-CN"/>
              </w:rPr>
            </w:pPr>
            <w:r>
              <w:rPr>
                <w:rFonts w:hint="default" w:ascii="Times New Roman" w:hAnsi="Times New Roman" w:cs="Times New Roman"/>
                <w:color w:val="auto"/>
                <w:sz w:val="24"/>
              </w:rPr>
              <w:t>15399181243</w:t>
            </w:r>
          </w:p>
        </w:tc>
      </w:tr>
      <w:tr w14:paraId="48C36B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1856" w:type="dxa"/>
            <w:noWrap w:val="0"/>
            <w:tcMar>
              <w:top w:w="16" w:type="dxa"/>
              <w:left w:w="16" w:type="dxa"/>
              <w:right w:w="16" w:type="dxa"/>
            </w:tcMar>
            <w:vAlign w:val="center"/>
          </w:tcPr>
          <w:p w14:paraId="16FE69BE">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建设地点</w:t>
            </w:r>
          </w:p>
        </w:tc>
        <w:tc>
          <w:tcPr>
            <w:tcW w:w="7014" w:type="dxa"/>
            <w:gridSpan w:val="3"/>
            <w:noWrap w:val="0"/>
            <w:vAlign w:val="center"/>
          </w:tcPr>
          <w:p w14:paraId="17436C6B">
            <w:pPr>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sz w:val="24"/>
                <w:lang w:eastAsia="zh-CN"/>
              </w:rPr>
              <w:t>陕西省汉中市洋县磨子桥镇</w:t>
            </w:r>
          </w:p>
        </w:tc>
      </w:tr>
      <w:tr w14:paraId="5BEB9E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856" w:type="dxa"/>
            <w:noWrap w:val="0"/>
            <w:tcMar>
              <w:top w:w="16" w:type="dxa"/>
              <w:left w:w="16" w:type="dxa"/>
              <w:right w:w="16" w:type="dxa"/>
            </w:tcMar>
            <w:vAlign w:val="center"/>
          </w:tcPr>
          <w:p w14:paraId="3EAC3446">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地理坐标</w:t>
            </w:r>
          </w:p>
        </w:tc>
        <w:tc>
          <w:tcPr>
            <w:tcW w:w="7014" w:type="dxa"/>
            <w:gridSpan w:val="3"/>
            <w:noWrap w:val="0"/>
            <w:vAlign w:val="center"/>
          </w:tcPr>
          <w:p w14:paraId="56FB75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val="en-US" w:eastAsia="zh-CN"/>
              </w:rPr>
              <w:t>光伏区域中心坐标：</w:t>
            </w:r>
            <w:r>
              <w:rPr>
                <w:rFonts w:hint="default" w:ascii="Times New Roman" w:hAnsi="Times New Roman" w:eastAsia="Times New Roman" w:cs="Times New Roman"/>
                <w:color w:val="auto"/>
                <w:sz w:val="24"/>
                <w:u w:val="none"/>
                <w:lang w:eastAsia="en-US" w:bidi="en-US"/>
              </w:rPr>
              <w:t>E</w:t>
            </w:r>
            <w:r>
              <w:rPr>
                <w:rFonts w:hint="eastAsia" w:ascii="Times New Roman" w:hAnsi="Times New Roman" w:eastAsia="Times New Roman" w:cs="Times New Roman"/>
                <w:color w:val="auto"/>
                <w:sz w:val="24"/>
                <w:lang w:val="en-US" w:eastAsia="zh-CN" w:bidi="en-US"/>
              </w:rPr>
              <w:t>107°29′59.878″</w:t>
            </w:r>
            <w:r>
              <w:rPr>
                <w:rFonts w:hint="default" w:ascii="Times New Roman" w:hAnsi="Times New Roman" w:cs="Times New Roman"/>
                <w:color w:val="auto"/>
                <w:sz w:val="24"/>
                <w:u w:val="none"/>
              </w:rPr>
              <w:t>，</w:t>
            </w:r>
            <w:r>
              <w:rPr>
                <w:rFonts w:hint="default" w:ascii="Times New Roman" w:hAnsi="Times New Roman" w:eastAsia="Times New Roman" w:cs="Times New Roman"/>
                <w:color w:val="auto"/>
                <w:sz w:val="24"/>
                <w:u w:val="none"/>
                <w:lang w:eastAsia="en-US" w:bidi="en-US"/>
              </w:rPr>
              <w:t>N</w:t>
            </w:r>
            <w:r>
              <w:rPr>
                <w:rFonts w:hint="eastAsia" w:ascii="Times New Roman" w:hAnsi="Times New Roman" w:eastAsia="Times New Roman" w:cs="Times New Roman"/>
                <w:color w:val="auto"/>
                <w:sz w:val="24"/>
                <w:lang w:val="en-US" w:eastAsia="zh-CN" w:bidi="en-US"/>
              </w:rPr>
              <w:t>33°10′28.855″</w:t>
            </w:r>
          </w:p>
        </w:tc>
      </w:tr>
      <w:tr w14:paraId="6990B2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24" w:hRule="atLeast"/>
          <w:jc w:val="center"/>
        </w:trPr>
        <w:tc>
          <w:tcPr>
            <w:tcW w:w="1856" w:type="dxa"/>
            <w:noWrap w:val="0"/>
            <w:tcMar>
              <w:top w:w="16" w:type="dxa"/>
              <w:left w:w="16" w:type="dxa"/>
              <w:right w:w="16" w:type="dxa"/>
            </w:tcMar>
            <w:vAlign w:val="center"/>
          </w:tcPr>
          <w:p w14:paraId="005517BE">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14:paraId="184AA122">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行业类别</w:t>
            </w:r>
          </w:p>
        </w:tc>
        <w:tc>
          <w:tcPr>
            <w:tcW w:w="2163" w:type="dxa"/>
            <w:noWrap w:val="0"/>
            <w:vAlign w:val="center"/>
          </w:tcPr>
          <w:p w14:paraId="66C9F3C6">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四十一、电力、热力生产和供应业</w:t>
            </w:r>
          </w:p>
          <w:p w14:paraId="49959423">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90太阳能发电4416（不含居民家用光伏发电）</w:t>
            </w:r>
          </w:p>
        </w:tc>
        <w:tc>
          <w:tcPr>
            <w:tcW w:w="1948" w:type="dxa"/>
            <w:noWrap w:val="0"/>
            <w:vAlign w:val="center"/>
          </w:tcPr>
          <w:p w14:paraId="3760D509">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pacing w:val="-6"/>
                <w:sz w:val="24"/>
              </w:rPr>
              <w:t>总用地面积</w:t>
            </w:r>
          </w:p>
        </w:tc>
        <w:tc>
          <w:tcPr>
            <w:tcW w:w="2903" w:type="dxa"/>
            <w:noWrap w:val="0"/>
            <w:vAlign w:val="center"/>
          </w:tcPr>
          <w:p w14:paraId="100FC61B">
            <w:pPr>
              <w:adjustRightInd w:val="0"/>
              <w:snapToGrid w:val="0"/>
              <w:jc w:val="center"/>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1043562.34m</w:t>
            </w:r>
            <w:r>
              <w:rPr>
                <w:rFonts w:hint="eastAsia" w:ascii="Times New Roman" w:hAnsi="Times New Roman" w:cs="Times New Roman"/>
                <w:color w:val="auto"/>
                <w:sz w:val="24"/>
                <w:vertAlign w:val="superscript"/>
                <w:lang w:val="en-US" w:eastAsia="zh-CN"/>
              </w:rPr>
              <w:t>2</w:t>
            </w:r>
          </w:p>
        </w:tc>
      </w:tr>
      <w:tr w14:paraId="12B60A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46" w:hRule="atLeast"/>
          <w:jc w:val="center"/>
        </w:trPr>
        <w:tc>
          <w:tcPr>
            <w:tcW w:w="1856" w:type="dxa"/>
            <w:noWrap w:val="0"/>
            <w:tcMar>
              <w:top w:w="16" w:type="dxa"/>
              <w:left w:w="16" w:type="dxa"/>
              <w:right w:w="16" w:type="dxa"/>
            </w:tcMar>
            <w:vAlign w:val="center"/>
          </w:tcPr>
          <w:p w14:paraId="04C74360">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建设性质</w:t>
            </w:r>
          </w:p>
        </w:tc>
        <w:tc>
          <w:tcPr>
            <w:tcW w:w="2163" w:type="dxa"/>
            <w:noWrap w:val="0"/>
            <w:vAlign w:val="center"/>
          </w:tcPr>
          <w:p w14:paraId="5FBFA13F">
            <w:pPr>
              <w:jc w:val="left"/>
              <w:rPr>
                <w:rFonts w:hint="default" w:ascii="Times New Roman" w:hAnsi="Times New Roman" w:cs="Times New Roman"/>
                <w:color w:val="auto"/>
                <w:sz w:val="24"/>
              </w:rPr>
            </w:pPr>
            <w:r>
              <w:rPr>
                <w:rFonts w:hint="default" w:ascii="Times New Roman" w:hAnsi="Times New Roman" w:eastAsia="Wingdings 2" w:cs="Times New Roman"/>
                <w:color w:val="auto"/>
                <w:szCs w:val="21"/>
                <w:lang w:bidi="ar"/>
              </w:rPr>
              <w:sym w:font="Wingdings 2" w:char="0052"/>
            </w:r>
            <w:r>
              <w:rPr>
                <w:rFonts w:hint="default" w:ascii="Times New Roman" w:hAnsi="Times New Roman" w:cs="Times New Roman"/>
                <w:color w:val="auto"/>
                <w:sz w:val="24"/>
              </w:rPr>
              <w:t>新建（迁建）</w:t>
            </w:r>
          </w:p>
          <w:p w14:paraId="4F4BB8D0">
            <w:pPr>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改建</w:t>
            </w:r>
          </w:p>
          <w:p w14:paraId="5230BAA1">
            <w:pPr>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扩建</w:t>
            </w:r>
          </w:p>
          <w:p w14:paraId="0C2CA3CD">
            <w:pPr>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技术改造</w:t>
            </w:r>
          </w:p>
        </w:tc>
        <w:tc>
          <w:tcPr>
            <w:tcW w:w="1948" w:type="dxa"/>
            <w:noWrap w:val="0"/>
            <w:vAlign w:val="center"/>
          </w:tcPr>
          <w:p w14:paraId="7FED06A7">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14:paraId="375A5A9F">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申报情形</w:t>
            </w:r>
          </w:p>
        </w:tc>
        <w:tc>
          <w:tcPr>
            <w:tcW w:w="2903" w:type="dxa"/>
            <w:noWrap w:val="0"/>
            <w:vAlign w:val="center"/>
          </w:tcPr>
          <w:p w14:paraId="7AF3AF8C">
            <w:pPr>
              <w:jc w:val="left"/>
              <w:rPr>
                <w:rFonts w:hint="default" w:ascii="Times New Roman" w:hAnsi="Times New Roman" w:cs="Times New Roman"/>
                <w:color w:val="auto"/>
                <w:sz w:val="24"/>
              </w:rPr>
            </w:pPr>
            <w:r>
              <w:rPr>
                <w:rFonts w:hint="default" w:ascii="Times New Roman" w:hAnsi="Times New Roman" w:eastAsia="Wingdings 2" w:cs="Times New Roman"/>
                <w:color w:val="auto"/>
                <w:szCs w:val="21"/>
                <w:lang w:bidi="ar"/>
              </w:rPr>
              <w:sym w:font="Wingdings 2" w:char="0052"/>
            </w:r>
            <w:r>
              <w:rPr>
                <w:rFonts w:hint="default" w:ascii="Times New Roman" w:hAnsi="Times New Roman" w:cs="Times New Roman"/>
                <w:color w:val="auto"/>
                <w:sz w:val="24"/>
              </w:rPr>
              <w:t xml:space="preserve">首次申报项目             </w:t>
            </w:r>
          </w:p>
          <w:p w14:paraId="258DE5C1">
            <w:pPr>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不予批准后再次申报项目</w:t>
            </w:r>
          </w:p>
          <w:p w14:paraId="1194D8D0">
            <w:pPr>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 xml:space="preserve">超五年重新审核项目     </w:t>
            </w:r>
          </w:p>
          <w:p w14:paraId="45D45D93">
            <w:pPr>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重大变动重新报批项目</w:t>
            </w:r>
          </w:p>
        </w:tc>
      </w:tr>
      <w:tr w14:paraId="4CF5CB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8" w:hRule="atLeast"/>
          <w:jc w:val="center"/>
        </w:trPr>
        <w:tc>
          <w:tcPr>
            <w:tcW w:w="1856" w:type="dxa"/>
            <w:noWrap w:val="0"/>
            <w:tcMar>
              <w:top w:w="16" w:type="dxa"/>
              <w:left w:w="16" w:type="dxa"/>
              <w:right w:w="16" w:type="dxa"/>
            </w:tcMar>
            <w:vAlign w:val="center"/>
          </w:tcPr>
          <w:p w14:paraId="5C1FE192">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w:t>
            </w:r>
          </w:p>
          <w:p w14:paraId="4DF6E63D">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备案）部门（选填）</w:t>
            </w:r>
          </w:p>
        </w:tc>
        <w:tc>
          <w:tcPr>
            <w:tcW w:w="2163" w:type="dxa"/>
            <w:noWrap w:val="0"/>
            <w:vAlign w:val="center"/>
          </w:tcPr>
          <w:p w14:paraId="41AB123C">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汉中市行政审批服务局</w:t>
            </w:r>
          </w:p>
        </w:tc>
        <w:tc>
          <w:tcPr>
            <w:tcW w:w="1948" w:type="dxa"/>
            <w:noWrap w:val="0"/>
            <w:vAlign w:val="center"/>
          </w:tcPr>
          <w:p w14:paraId="65C5A0DD">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w:t>
            </w:r>
          </w:p>
          <w:p w14:paraId="6E92B425">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备案）文号（选填）</w:t>
            </w:r>
          </w:p>
        </w:tc>
        <w:tc>
          <w:tcPr>
            <w:tcW w:w="2903" w:type="dxa"/>
            <w:noWrap w:val="0"/>
            <w:vAlign w:val="center"/>
          </w:tcPr>
          <w:p w14:paraId="5A0AF397">
            <w:pPr>
              <w:adjustRightInd w:val="0"/>
              <w:snapToGrid w:val="0"/>
              <w:jc w:val="center"/>
              <w:rPr>
                <w:rFonts w:hint="default" w:ascii="Times New Roman" w:hAnsi="Times New Roman" w:cs="Times New Roman"/>
                <w:color w:val="auto"/>
                <w:sz w:val="24"/>
              </w:rPr>
            </w:pPr>
            <w:r>
              <w:rPr>
                <w:rFonts w:hint="default" w:ascii="Times New Roman" w:hAnsi="Times New Roman" w:eastAsia="仿宋" w:cs="Times New Roman"/>
                <w:color w:val="auto"/>
                <w:sz w:val="24"/>
              </w:rPr>
              <w:t>2310-610723-04-01-166927</w:t>
            </w:r>
          </w:p>
        </w:tc>
      </w:tr>
      <w:tr w14:paraId="24BD33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56" w:type="dxa"/>
            <w:noWrap w:val="0"/>
            <w:tcMar>
              <w:top w:w="16" w:type="dxa"/>
              <w:left w:w="16" w:type="dxa"/>
              <w:right w:w="16" w:type="dxa"/>
            </w:tcMar>
            <w:vAlign w:val="center"/>
          </w:tcPr>
          <w:p w14:paraId="21B2BB5E">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总投资（万元）</w:t>
            </w:r>
          </w:p>
        </w:tc>
        <w:tc>
          <w:tcPr>
            <w:tcW w:w="2163" w:type="dxa"/>
            <w:noWrap w:val="0"/>
            <w:vAlign w:val="center"/>
          </w:tcPr>
          <w:p w14:paraId="6827E2F9">
            <w:pPr>
              <w:pStyle w:val="47"/>
              <w:spacing w:line="240" w:lineRule="auto"/>
              <w:jc w:val="center"/>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24294.55</w:t>
            </w:r>
          </w:p>
        </w:tc>
        <w:tc>
          <w:tcPr>
            <w:tcW w:w="1948" w:type="dxa"/>
            <w:noWrap w:val="0"/>
            <w:tcMar>
              <w:top w:w="16" w:type="dxa"/>
              <w:left w:w="16" w:type="dxa"/>
              <w:right w:w="16" w:type="dxa"/>
            </w:tcMar>
            <w:vAlign w:val="center"/>
          </w:tcPr>
          <w:p w14:paraId="72E4E518">
            <w:pPr>
              <w:pStyle w:val="47"/>
              <w:spacing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环保投资（万元）</w:t>
            </w:r>
          </w:p>
        </w:tc>
        <w:tc>
          <w:tcPr>
            <w:tcW w:w="2903" w:type="dxa"/>
            <w:noWrap w:val="0"/>
            <w:vAlign w:val="center"/>
          </w:tcPr>
          <w:p w14:paraId="7833C15D">
            <w:pPr>
              <w:pStyle w:val="47"/>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121</w:t>
            </w:r>
          </w:p>
        </w:tc>
      </w:tr>
      <w:tr w14:paraId="37D725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0" w:hRule="atLeast"/>
          <w:jc w:val="center"/>
        </w:trPr>
        <w:tc>
          <w:tcPr>
            <w:tcW w:w="1856" w:type="dxa"/>
            <w:noWrap w:val="0"/>
            <w:tcMar>
              <w:top w:w="16" w:type="dxa"/>
              <w:left w:w="16" w:type="dxa"/>
              <w:right w:w="16" w:type="dxa"/>
            </w:tcMar>
            <w:vAlign w:val="center"/>
          </w:tcPr>
          <w:p w14:paraId="1E204E5B">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环保投资占比（%）</w:t>
            </w:r>
          </w:p>
        </w:tc>
        <w:tc>
          <w:tcPr>
            <w:tcW w:w="2163" w:type="dxa"/>
            <w:noWrap w:val="0"/>
            <w:vAlign w:val="center"/>
          </w:tcPr>
          <w:p w14:paraId="6260EAEE">
            <w:pPr>
              <w:adjustRightInd w:val="0"/>
              <w:snapToGrid w:val="0"/>
              <w:jc w:val="center"/>
              <w:rPr>
                <w:rFonts w:hint="default" w:ascii="Times New Roman" w:hAnsi="Times New Roman" w:cs="Times New Roman" w:eastAsiaTheme="minorEastAsia"/>
                <w:color w:val="auto"/>
                <w:sz w:val="24"/>
                <w:highlight w:val="none"/>
                <w:lang w:val="en-US" w:eastAsia="zh-CN"/>
              </w:rPr>
            </w:pPr>
            <w:r>
              <w:rPr>
                <w:rFonts w:hint="eastAsia" w:ascii="Times New Roman" w:hAnsi="Times New Roman" w:cs="Times New Roman"/>
                <w:color w:val="auto"/>
                <w:sz w:val="24"/>
                <w:highlight w:val="none"/>
                <w:lang w:val="en-US" w:eastAsia="zh-CN"/>
              </w:rPr>
              <w:t>0.5</w:t>
            </w:r>
          </w:p>
        </w:tc>
        <w:tc>
          <w:tcPr>
            <w:tcW w:w="1948" w:type="dxa"/>
            <w:noWrap w:val="0"/>
            <w:tcMar>
              <w:top w:w="16" w:type="dxa"/>
              <w:left w:w="16" w:type="dxa"/>
              <w:right w:w="16" w:type="dxa"/>
            </w:tcMar>
            <w:vAlign w:val="center"/>
          </w:tcPr>
          <w:p w14:paraId="715D90C2">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施工工期</w:t>
            </w:r>
          </w:p>
        </w:tc>
        <w:tc>
          <w:tcPr>
            <w:tcW w:w="2903" w:type="dxa"/>
            <w:noWrap w:val="0"/>
            <w:vAlign w:val="center"/>
          </w:tcPr>
          <w:p w14:paraId="50D082EA">
            <w:pPr>
              <w:adjustRightInd w:val="0"/>
              <w:snapToGrid w:val="0"/>
              <w:jc w:val="center"/>
              <w:rPr>
                <w:rFonts w:hint="default" w:ascii="Times New Roman" w:hAnsi="Times New Roman" w:cs="Times New Roman"/>
                <w:color w:val="auto"/>
                <w:highlight w:val="none"/>
              </w:rPr>
            </w:pPr>
            <w:r>
              <w:rPr>
                <w:rFonts w:hint="eastAsia"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个月</w:t>
            </w:r>
          </w:p>
        </w:tc>
      </w:tr>
      <w:tr w14:paraId="175525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08" w:hRule="atLeast"/>
          <w:jc w:val="center"/>
        </w:trPr>
        <w:tc>
          <w:tcPr>
            <w:tcW w:w="1856" w:type="dxa"/>
            <w:noWrap w:val="0"/>
            <w:tcMar>
              <w:top w:w="16" w:type="dxa"/>
              <w:left w:w="16" w:type="dxa"/>
              <w:right w:w="16" w:type="dxa"/>
            </w:tcMar>
            <w:vAlign w:val="center"/>
          </w:tcPr>
          <w:p w14:paraId="1A21735B">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是否开工建设</w:t>
            </w:r>
          </w:p>
        </w:tc>
        <w:tc>
          <w:tcPr>
            <w:tcW w:w="7014" w:type="dxa"/>
            <w:gridSpan w:val="3"/>
            <w:noWrap w:val="0"/>
            <w:vAlign w:val="center"/>
          </w:tcPr>
          <w:p w14:paraId="3D748AEA">
            <w:pPr>
              <w:adjustRightInd w:val="0"/>
              <w:snapToGrid w:val="0"/>
              <w:rPr>
                <w:rFonts w:hint="default" w:ascii="Times New Roman" w:hAnsi="Times New Roman" w:cs="Times New Roman"/>
                <w:color w:val="auto"/>
                <w:sz w:val="24"/>
              </w:rPr>
            </w:pPr>
            <w:r>
              <w:rPr>
                <w:rFonts w:hint="default" w:ascii="Times New Roman" w:hAnsi="Times New Roman" w:eastAsia="Wingdings 2" w:cs="Times New Roman"/>
                <w:color w:val="auto"/>
                <w:szCs w:val="21"/>
                <w:lang w:bidi="ar"/>
              </w:rPr>
              <w:sym w:font="Wingdings 2" w:char="0052"/>
            </w:r>
            <w:r>
              <w:rPr>
                <w:rFonts w:hint="default" w:ascii="Times New Roman" w:hAnsi="Times New Roman" w:cs="Times New Roman"/>
                <w:color w:val="auto"/>
                <w:sz w:val="24"/>
              </w:rPr>
              <w:t>否</w:t>
            </w:r>
          </w:p>
          <w:p w14:paraId="2E17DDCD">
            <w:pPr>
              <w:adjustRightInd w:val="0"/>
              <w:snapToGrid w:val="0"/>
              <w:jc w:val="both"/>
              <w:rPr>
                <w:rFonts w:hint="eastAsia" w:ascii="Times New Roman" w:hAnsi="Times New Roman" w:cs="Times New Roman" w:eastAsiaTheme="minorEastAsia"/>
                <w:color w:val="auto"/>
                <w:sz w:val="24"/>
                <w:lang w:eastAsia="zh-CN"/>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是</w:t>
            </w:r>
          </w:p>
        </w:tc>
      </w:tr>
      <w:tr w14:paraId="229A6A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1" w:hRule="atLeast"/>
          <w:jc w:val="center"/>
        </w:trPr>
        <w:tc>
          <w:tcPr>
            <w:tcW w:w="1856" w:type="dxa"/>
            <w:noWrap w:val="0"/>
            <w:vAlign w:val="center"/>
          </w:tcPr>
          <w:p w14:paraId="0A98A2DF">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专项评价设置情况</w:t>
            </w:r>
          </w:p>
        </w:tc>
        <w:tc>
          <w:tcPr>
            <w:tcW w:w="7014" w:type="dxa"/>
            <w:gridSpan w:val="3"/>
            <w:noWrap w:val="0"/>
            <w:vAlign w:val="center"/>
          </w:tcPr>
          <w:p w14:paraId="3942625C">
            <w:pPr>
              <w:autoSpaceDE w:val="0"/>
              <w:autoSpaceDN w:val="0"/>
              <w:adjustRightInd w:val="0"/>
              <w:snapToGrid w:val="0"/>
              <w:jc w:val="center"/>
              <w:rPr>
                <w:rFonts w:hint="default"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无</w:t>
            </w:r>
          </w:p>
        </w:tc>
      </w:tr>
      <w:tr w14:paraId="42630B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856" w:type="dxa"/>
            <w:noWrap w:val="0"/>
            <w:vAlign w:val="center"/>
          </w:tcPr>
          <w:p w14:paraId="15998C24">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规划情况</w:t>
            </w:r>
          </w:p>
        </w:tc>
        <w:tc>
          <w:tcPr>
            <w:tcW w:w="7014" w:type="dxa"/>
            <w:gridSpan w:val="3"/>
            <w:noWrap w:val="0"/>
            <w:vAlign w:val="center"/>
          </w:tcPr>
          <w:p w14:paraId="52B9437F">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无</w:t>
            </w:r>
          </w:p>
        </w:tc>
      </w:tr>
      <w:tr w14:paraId="683224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1856" w:type="dxa"/>
            <w:noWrap w:val="0"/>
            <w:vAlign w:val="center"/>
          </w:tcPr>
          <w:p w14:paraId="0A15639B">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规划环境影响</w:t>
            </w:r>
          </w:p>
          <w:p w14:paraId="1A917DFB">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评价情况</w:t>
            </w:r>
          </w:p>
        </w:tc>
        <w:tc>
          <w:tcPr>
            <w:tcW w:w="7014" w:type="dxa"/>
            <w:gridSpan w:val="3"/>
            <w:noWrap w:val="0"/>
            <w:vAlign w:val="center"/>
          </w:tcPr>
          <w:p w14:paraId="773DDF97">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无</w:t>
            </w:r>
          </w:p>
        </w:tc>
      </w:tr>
    </w:tbl>
    <w:p w14:paraId="761501BB">
      <w:pPr>
        <w:spacing w:line="360" w:lineRule="auto"/>
        <w:outlineLvl w:val="0"/>
        <w:rPr>
          <w:rFonts w:eastAsia="黑体"/>
          <w:color w:val="auto"/>
          <w:sz w:val="30"/>
        </w:rPr>
        <w:sectPr>
          <w:footerReference r:id="rId5" w:type="default"/>
          <w:pgSz w:w="11906" w:h="16838"/>
          <w:pgMar w:top="1304" w:right="1531" w:bottom="1304" w:left="1531" w:header="1304" w:footer="1304" w:gutter="0"/>
          <w:pgBorders>
            <w:top w:val="none" w:sz="0" w:space="0"/>
            <w:left w:val="none" w:sz="0" w:space="0"/>
            <w:bottom w:val="none" w:sz="0" w:space="0"/>
            <w:right w:val="none" w:sz="0" w:space="0"/>
          </w:pgBorders>
          <w:pgNumType w:start="1"/>
          <w:cols w:space="720" w:num="1"/>
          <w:docGrid w:linePitch="312" w:charSpace="0"/>
        </w:sectPr>
      </w:pP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73"/>
        <w:gridCol w:w="7547"/>
      </w:tblGrid>
      <w:tr w14:paraId="5C0502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894" w:hRule="atLeast"/>
          <w:jc w:val="center"/>
        </w:trPr>
        <w:tc>
          <w:tcPr>
            <w:tcW w:w="571" w:type="pct"/>
            <w:noWrap w:val="0"/>
            <w:vAlign w:val="center"/>
          </w:tcPr>
          <w:p w14:paraId="7D40727B">
            <w:pPr>
              <w:autoSpaceDE w:val="0"/>
              <w:autoSpaceDN w:val="0"/>
              <w:adjustRightInd w:val="0"/>
              <w:snapToGrid w:val="0"/>
              <w:jc w:val="center"/>
              <w:rPr>
                <w:rFonts w:hint="default" w:ascii="Times New Roman" w:hAnsi="Times New Roman" w:cs="Times New Roman"/>
                <w:color w:val="auto"/>
                <w:kern w:val="0"/>
                <w:sz w:val="24"/>
              </w:rPr>
            </w:pPr>
          </w:p>
          <w:p w14:paraId="738AA408">
            <w:pPr>
              <w:autoSpaceDE w:val="0"/>
              <w:autoSpaceDN w:val="0"/>
              <w:adjustRightInd w:val="0"/>
              <w:snapToGrid w:val="0"/>
              <w:jc w:val="center"/>
              <w:rPr>
                <w:rFonts w:hint="default" w:ascii="Times New Roman" w:hAnsi="Times New Roman" w:cs="Times New Roman"/>
                <w:color w:val="auto"/>
                <w:kern w:val="0"/>
                <w:sz w:val="24"/>
              </w:rPr>
            </w:pPr>
          </w:p>
          <w:p w14:paraId="1D92067D">
            <w:pPr>
              <w:autoSpaceDE w:val="0"/>
              <w:autoSpaceDN w:val="0"/>
              <w:adjustRightInd w:val="0"/>
              <w:snapToGrid w:val="0"/>
              <w:jc w:val="center"/>
              <w:rPr>
                <w:rFonts w:hint="default" w:ascii="Times New Roman" w:hAnsi="Times New Roman" w:cs="Times New Roman"/>
                <w:color w:val="auto"/>
                <w:kern w:val="0"/>
                <w:sz w:val="24"/>
              </w:rPr>
            </w:pPr>
          </w:p>
          <w:p w14:paraId="3F4B6075">
            <w:pPr>
              <w:autoSpaceDE w:val="0"/>
              <w:autoSpaceDN w:val="0"/>
              <w:adjustRightInd w:val="0"/>
              <w:snapToGrid w:val="0"/>
              <w:jc w:val="center"/>
              <w:rPr>
                <w:rFonts w:hint="default" w:ascii="Times New Roman" w:hAnsi="Times New Roman" w:cs="Times New Roman"/>
                <w:color w:val="auto"/>
                <w:kern w:val="0"/>
                <w:sz w:val="24"/>
              </w:rPr>
            </w:pPr>
          </w:p>
          <w:p w14:paraId="27334143">
            <w:pPr>
              <w:autoSpaceDE w:val="0"/>
              <w:autoSpaceDN w:val="0"/>
              <w:adjustRightInd w:val="0"/>
              <w:snapToGrid w:val="0"/>
              <w:jc w:val="center"/>
              <w:rPr>
                <w:rFonts w:hint="default" w:ascii="Times New Roman" w:hAnsi="Times New Roman" w:cs="Times New Roman"/>
                <w:color w:val="auto"/>
                <w:kern w:val="0"/>
                <w:sz w:val="24"/>
              </w:rPr>
            </w:pPr>
          </w:p>
          <w:p w14:paraId="4AE04B1F">
            <w:pPr>
              <w:autoSpaceDE w:val="0"/>
              <w:autoSpaceDN w:val="0"/>
              <w:adjustRightInd w:val="0"/>
              <w:snapToGrid w:val="0"/>
              <w:jc w:val="center"/>
              <w:rPr>
                <w:rFonts w:hint="default" w:ascii="Times New Roman" w:hAnsi="Times New Roman" w:cs="Times New Roman"/>
                <w:color w:val="auto"/>
                <w:kern w:val="0"/>
                <w:sz w:val="24"/>
              </w:rPr>
            </w:pPr>
          </w:p>
          <w:p w14:paraId="7CAE0A02">
            <w:pPr>
              <w:autoSpaceDE w:val="0"/>
              <w:autoSpaceDN w:val="0"/>
              <w:adjustRightInd w:val="0"/>
              <w:snapToGrid w:val="0"/>
              <w:jc w:val="center"/>
              <w:rPr>
                <w:rFonts w:hint="default" w:ascii="Times New Roman" w:hAnsi="Times New Roman" w:cs="Times New Roman"/>
                <w:color w:val="auto"/>
                <w:kern w:val="0"/>
                <w:sz w:val="24"/>
              </w:rPr>
            </w:pPr>
          </w:p>
          <w:p w14:paraId="4C7FD809">
            <w:pPr>
              <w:autoSpaceDE w:val="0"/>
              <w:autoSpaceDN w:val="0"/>
              <w:adjustRightInd w:val="0"/>
              <w:snapToGrid w:val="0"/>
              <w:jc w:val="center"/>
              <w:rPr>
                <w:rFonts w:hint="default" w:ascii="Times New Roman" w:hAnsi="Times New Roman" w:cs="Times New Roman"/>
                <w:color w:val="auto"/>
                <w:kern w:val="0"/>
                <w:sz w:val="24"/>
              </w:rPr>
            </w:pPr>
          </w:p>
          <w:p w14:paraId="41A21052">
            <w:pPr>
              <w:autoSpaceDE w:val="0"/>
              <w:autoSpaceDN w:val="0"/>
              <w:adjustRightInd w:val="0"/>
              <w:snapToGrid w:val="0"/>
              <w:jc w:val="center"/>
              <w:rPr>
                <w:rFonts w:hint="default" w:ascii="Times New Roman" w:hAnsi="Times New Roman" w:cs="Times New Roman"/>
                <w:color w:val="auto"/>
                <w:kern w:val="0"/>
                <w:sz w:val="24"/>
              </w:rPr>
            </w:pPr>
          </w:p>
          <w:p w14:paraId="063B997E">
            <w:pPr>
              <w:autoSpaceDE w:val="0"/>
              <w:autoSpaceDN w:val="0"/>
              <w:adjustRightInd w:val="0"/>
              <w:snapToGrid w:val="0"/>
              <w:jc w:val="center"/>
              <w:rPr>
                <w:rFonts w:hint="default" w:ascii="Times New Roman" w:hAnsi="Times New Roman" w:cs="Times New Roman"/>
                <w:color w:val="auto"/>
                <w:kern w:val="0"/>
                <w:sz w:val="24"/>
              </w:rPr>
            </w:pPr>
          </w:p>
          <w:p w14:paraId="6BFEA579">
            <w:pPr>
              <w:autoSpaceDE w:val="0"/>
              <w:autoSpaceDN w:val="0"/>
              <w:adjustRightInd w:val="0"/>
              <w:snapToGrid w:val="0"/>
              <w:jc w:val="center"/>
              <w:rPr>
                <w:rFonts w:hint="default" w:ascii="Times New Roman" w:hAnsi="Times New Roman" w:cs="Times New Roman"/>
                <w:color w:val="auto"/>
                <w:kern w:val="0"/>
                <w:sz w:val="24"/>
              </w:rPr>
            </w:pPr>
          </w:p>
          <w:p w14:paraId="2B308010">
            <w:pPr>
              <w:autoSpaceDE w:val="0"/>
              <w:autoSpaceDN w:val="0"/>
              <w:adjustRightInd w:val="0"/>
              <w:snapToGrid w:val="0"/>
              <w:jc w:val="center"/>
              <w:rPr>
                <w:rFonts w:hint="default" w:ascii="Times New Roman" w:hAnsi="Times New Roman" w:cs="Times New Roman"/>
                <w:color w:val="auto"/>
                <w:kern w:val="0"/>
                <w:sz w:val="24"/>
              </w:rPr>
            </w:pPr>
          </w:p>
          <w:p w14:paraId="0CD642E4">
            <w:pPr>
              <w:autoSpaceDE w:val="0"/>
              <w:autoSpaceDN w:val="0"/>
              <w:adjustRightInd w:val="0"/>
              <w:snapToGrid w:val="0"/>
              <w:rPr>
                <w:rFonts w:hint="default" w:ascii="Times New Roman" w:hAnsi="Times New Roman" w:cs="Times New Roman"/>
                <w:color w:val="auto"/>
                <w:kern w:val="0"/>
                <w:sz w:val="24"/>
              </w:rPr>
            </w:pPr>
          </w:p>
          <w:p w14:paraId="54E2CD37">
            <w:pPr>
              <w:pStyle w:val="28"/>
              <w:rPr>
                <w:rFonts w:hint="default" w:ascii="Times New Roman" w:hAnsi="Times New Roman" w:cs="Times New Roman"/>
                <w:color w:val="auto"/>
              </w:rPr>
            </w:pPr>
          </w:p>
          <w:p w14:paraId="27620A2D">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其他符合性分析</w:t>
            </w:r>
          </w:p>
          <w:p w14:paraId="42BBC025">
            <w:pPr>
              <w:autoSpaceDE w:val="0"/>
              <w:autoSpaceDN w:val="0"/>
              <w:adjustRightInd w:val="0"/>
              <w:snapToGrid w:val="0"/>
              <w:jc w:val="center"/>
              <w:rPr>
                <w:rFonts w:hint="default" w:ascii="Times New Roman" w:hAnsi="Times New Roman" w:cs="Times New Roman"/>
                <w:color w:val="auto"/>
                <w:kern w:val="0"/>
                <w:sz w:val="24"/>
              </w:rPr>
            </w:pPr>
          </w:p>
          <w:p w14:paraId="0D524E2D">
            <w:pPr>
              <w:autoSpaceDE w:val="0"/>
              <w:autoSpaceDN w:val="0"/>
              <w:adjustRightInd w:val="0"/>
              <w:snapToGrid w:val="0"/>
              <w:jc w:val="center"/>
              <w:rPr>
                <w:rFonts w:hint="default" w:ascii="Times New Roman" w:hAnsi="Times New Roman" w:cs="Times New Roman"/>
                <w:color w:val="auto"/>
                <w:kern w:val="0"/>
                <w:sz w:val="24"/>
              </w:rPr>
            </w:pPr>
          </w:p>
          <w:p w14:paraId="1C9202A2">
            <w:pPr>
              <w:autoSpaceDE w:val="0"/>
              <w:autoSpaceDN w:val="0"/>
              <w:adjustRightInd w:val="0"/>
              <w:snapToGrid w:val="0"/>
              <w:jc w:val="center"/>
              <w:rPr>
                <w:rFonts w:hint="default" w:ascii="Times New Roman" w:hAnsi="Times New Roman" w:cs="Times New Roman"/>
                <w:color w:val="auto"/>
                <w:kern w:val="0"/>
                <w:sz w:val="24"/>
              </w:rPr>
            </w:pPr>
          </w:p>
          <w:p w14:paraId="77D9CC24">
            <w:pPr>
              <w:autoSpaceDE w:val="0"/>
              <w:autoSpaceDN w:val="0"/>
              <w:adjustRightInd w:val="0"/>
              <w:snapToGrid w:val="0"/>
              <w:jc w:val="center"/>
              <w:rPr>
                <w:rFonts w:hint="default" w:ascii="Times New Roman" w:hAnsi="Times New Roman" w:cs="Times New Roman"/>
                <w:color w:val="auto"/>
                <w:kern w:val="0"/>
                <w:sz w:val="24"/>
              </w:rPr>
            </w:pPr>
          </w:p>
          <w:p w14:paraId="01FC0A33">
            <w:pPr>
              <w:autoSpaceDE w:val="0"/>
              <w:autoSpaceDN w:val="0"/>
              <w:adjustRightInd w:val="0"/>
              <w:snapToGrid w:val="0"/>
              <w:jc w:val="center"/>
              <w:rPr>
                <w:rFonts w:hint="default" w:ascii="Times New Roman" w:hAnsi="Times New Roman" w:cs="Times New Roman"/>
                <w:color w:val="auto"/>
                <w:kern w:val="0"/>
                <w:sz w:val="24"/>
              </w:rPr>
            </w:pPr>
          </w:p>
          <w:p w14:paraId="23C79B24">
            <w:pPr>
              <w:autoSpaceDE w:val="0"/>
              <w:autoSpaceDN w:val="0"/>
              <w:adjustRightInd w:val="0"/>
              <w:snapToGrid w:val="0"/>
              <w:jc w:val="center"/>
              <w:rPr>
                <w:rFonts w:hint="default" w:ascii="Times New Roman" w:hAnsi="Times New Roman" w:cs="Times New Roman"/>
                <w:color w:val="auto"/>
                <w:kern w:val="0"/>
                <w:sz w:val="24"/>
              </w:rPr>
            </w:pPr>
          </w:p>
          <w:p w14:paraId="74F8491F">
            <w:pPr>
              <w:autoSpaceDE w:val="0"/>
              <w:autoSpaceDN w:val="0"/>
              <w:adjustRightInd w:val="0"/>
              <w:snapToGrid w:val="0"/>
              <w:jc w:val="center"/>
              <w:rPr>
                <w:rFonts w:hint="default" w:ascii="Times New Roman" w:hAnsi="Times New Roman" w:cs="Times New Roman"/>
                <w:color w:val="auto"/>
                <w:kern w:val="0"/>
                <w:sz w:val="24"/>
              </w:rPr>
            </w:pPr>
          </w:p>
          <w:p w14:paraId="060A5A22">
            <w:pPr>
              <w:autoSpaceDE w:val="0"/>
              <w:autoSpaceDN w:val="0"/>
              <w:adjustRightInd w:val="0"/>
              <w:snapToGrid w:val="0"/>
              <w:jc w:val="center"/>
              <w:rPr>
                <w:rFonts w:hint="default" w:ascii="Times New Roman" w:hAnsi="Times New Roman" w:cs="Times New Roman"/>
                <w:color w:val="auto"/>
                <w:kern w:val="0"/>
                <w:sz w:val="24"/>
              </w:rPr>
            </w:pPr>
          </w:p>
          <w:p w14:paraId="39A98744">
            <w:pPr>
              <w:autoSpaceDE w:val="0"/>
              <w:autoSpaceDN w:val="0"/>
              <w:adjustRightInd w:val="0"/>
              <w:snapToGrid w:val="0"/>
              <w:jc w:val="center"/>
              <w:rPr>
                <w:rFonts w:hint="default" w:ascii="Times New Roman" w:hAnsi="Times New Roman" w:cs="Times New Roman"/>
                <w:color w:val="auto"/>
                <w:kern w:val="0"/>
                <w:sz w:val="24"/>
              </w:rPr>
            </w:pPr>
          </w:p>
          <w:p w14:paraId="6F7D1BC5">
            <w:pPr>
              <w:autoSpaceDE w:val="0"/>
              <w:autoSpaceDN w:val="0"/>
              <w:adjustRightInd w:val="0"/>
              <w:snapToGrid w:val="0"/>
              <w:jc w:val="center"/>
              <w:rPr>
                <w:rFonts w:hint="default" w:ascii="Times New Roman" w:hAnsi="Times New Roman" w:cs="Times New Roman"/>
                <w:color w:val="auto"/>
                <w:kern w:val="0"/>
                <w:sz w:val="24"/>
              </w:rPr>
            </w:pPr>
          </w:p>
          <w:p w14:paraId="6A5ECEF4">
            <w:pPr>
              <w:autoSpaceDE w:val="0"/>
              <w:autoSpaceDN w:val="0"/>
              <w:adjustRightInd w:val="0"/>
              <w:snapToGrid w:val="0"/>
              <w:jc w:val="center"/>
              <w:rPr>
                <w:rFonts w:hint="default" w:ascii="Times New Roman" w:hAnsi="Times New Roman" w:cs="Times New Roman"/>
                <w:color w:val="auto"/>
                <w:kern w:val="0"/>
                <w:sz w:val="24"/>
              </w:rPr>
            </w:pPr>
          </w:p>
          <w:p w14:paraId="3378FE15">
            <w:pPr>
              <w:autoSpaceDE w:val="0"/>
              <w:autoSpaceDN w:val="0"/>
              <w:adjustRightInd w:val="0"/>
              <w:snapToGrid w:val="0"/>
              <w:jc w:val="center"/>
              <w:rPr>
                <w:rFonts w:hint="default" w:ascii="Times New Roman" w:hAnsi="Times New Roman" w:cs="Times New Roman"/>
                <w:color w:val="auto"/>
                <w:kern w:val="0"/>
                <w:sz w:val="24"/>
              </w:rPr>
            </w:pPr>
          </w:p>
          <w:p w14:paraId="1EACC178">
            <w:pPr>
              <w:autoSpaceDE w:val="0"/>
              <w:autoSpaceDN w:val="0"/>
              <w:adjustRightInd w:val="0"/>
              <w:snapToGrid w:val="0"/>
              <w:jc w:val="center"/>
              <w:rPr>
                <w:rFonts w:hint="default" w:ascii="Times New Roman" w:hAnsi="Times New Roman" w:cs="Times New Roman"/>
                <w:color w:val="auto"/>
                <w:kern w:val="0"/>
                <w:sz w:val="24"/>
              </w:rPr>
            </w:pPr>
          </w:p>
          <w:p w14:paraId="4AAB48CF">
            <w:pPr>
              <w:autoSpaceDE w:val="0"/>
              <w:autoSpaceDN w:val="0"/>
              <w:adjustRightInd w:val="0"/>
              <w:snapToGrid w:val="0"/>
              <w:jc w:val="center"/>
              <w:rPr>
                <w:rFonts w:hint="default" w:ascii="Times New Roman" w:hAnsi="Times New Roman" w:cs="Times New Roman"/>
                <w:color w:val="auto"/>
                <w:kern w:val="0"/>
                <w:sz w:val="24"/>
              </w:rPr>
            </w:pPr>
          </w:p>
          <w:p w14:paraId="72BE1C0F">
            <w:pPr>
              <w:autoSpaceDE w:val="0"/>
              <w:autoSpaceDN w:val="0"/>
              <w:adjustRightInd w:val="0"/>
              <w:snapToGrid w:val="0"/>
              <w:jc w:val="center"/>
              <w:rPr>
                <w:rFonts w:hint="default" w:ascii="Times New Roman" w:hAnsi="Times New Roman" w:cs="Times New Roman"/>
                <w:color w:val="auto"/>
                <w:kern w:val="0"/>
                <w:sz w:val="24"/>
              </w:rPr>
            </w:pPr>
          </w:p>
          <w:p w14:paraId="56697846">
            <w:pPr>
              <w:autoSpaceDE w:val="0"/>
              <w:autoSpaceDN w:val="0"/>
              <w:adjustRightInd w:val="0"/>
              <w:snapToGrid w:val="0"/>
              <w:jc w:val="center"/>
              <w:rPr>
                <w:rFonts w:hint="default" w:ascii="Times New Roman" w:hAnsi="Times New Roman" w:cs="Times New Roman"/>
                <w:color w:val="auto"/>
                <w:kern w:val="0"/>
                <w:sz w:val="24"/>
              </w:rPr>
            </w:pPr>
          </w:p>
          <w:p w14:paraId="385DD858">
            <w:pPr>
              <w:autoSpaceDE w:val="0"/>
              <w:autoSpaceDN w:val="0"/>
              <w:adjustRightInd w:val="0"/>
              <w:snapToGrid w:val="0"/>
              <w:jc w:val="center"/>
              <w:rPr>
                <w:rFonts w:hint="default" w:ascii="Times New Roman" w:hAnsi="Times New Roman" w:cs="Times New Roman"/>
                <w:color w:val="auto"/>
                <w:kern w:val="0"/>
                <w:sz w:val="24"/>
              </w:rPr>
            </w:pPr>
          </w:p>
          <w:p w14:paraId="034F6550">
            <w:pPr>
              <w:autoSpaceDE w:val="0"/>
              <w:autoSpaceDN w:val="0"/>
              <w:adjustRightInd w:val="0"/>
              <w:snapToGrid w:val="0"/>
              <w:jc w:val="center"/>
              <w:rPr>
                <w:rFonts w:hint="default" w:ascii="Times New Roman" w:hAnsi="Times New Roman" w:cs="Times New Roman"/>
                <w:color w:val="auto"/>
                <w:kern w:val="0"/>
                <w:sz w:val="24"/>
              </w:rPr>
            </w:pPr>
          </w:p>
          <w:p w14:paraId="688F91B9">
            <w:pPr>
              <w:autoSpaceDE w:val="0"/>
              <w:autoSpaceDN w:val="0"/>
              <w:adjustRightInd w:val="0"/>
              <w:snapToGrid w:val="0"/>
              <w:jc w:val="center"/>
              <w:rPr>
                <w:rFonts w:hint="default" w:ascii="Times New Roman" w:hAnsi="Times New Roman" w:cs="Times New Roman"/>
                <w:color w:val="auto"/>
                <w:kern w:val="0"/>
                <w:sz w:val="24"/>
              </w:rPr>
            </w:pPr>
          </w:p>
          <w:p w14:paraId="527E0D74">
            <w:pPr>
              <w:autoSpaceDE w:val="0"/>
              <w:autoSpaceDN w:val="0"/>
              <w:adjustRightInd w:val="0"/>
              <w:snapToGrid w:val="0"/>
              <w:jc w:val="center"/>
              <w:rPr>
                <w:rFonts w:hint="default" w:ascii="Times New Roman" w:hAnsi="Times New Roman" w:cs="Times New Roman"/>
                <w:color w:val="auto"/>
                <w:kern w:val="0"/>
                <w:sz w:val="24"/>
              </w:rPr>
            </w:pPr>
          </w:p>
          <w:p w14:paraId="4449FBEF">
            <w:pPr>
              <w:autoSpaceDE w:val="0"/>
              <w:autoSpaceDN w:val="0"/>
              <w:adjustRightInd w:val="0"/>
              <w:snapToGrid w:val="0"/>
              <w:jc w:val="center"/>
              <w:rPr>
                <w:rFonts w:hint="default" w:ascii="Times New Roman" w:hAnsi="Times New Roman" w:cs="Times New Roman"/>
                <w:color w:val="auto"/>
                <w:kern w:val="0"/>
                <w:sz w:val="24"/>
              </w:rPr>
            </w:pPr>
          </w:p>
          <w:p w14:paraId="02AAB781">
            <w:pPr>
              <w:pStyle w:val="28"/>
              <w:rPr>
                <w:rFonts w:hint="default" w:ascii="Times New Roman" w:hAnsi="Times New Roman" w:cs="Times New Roman"/>
                <w:color w:val="auto"/>
                <w:kern w:val="0"/>
              </w:rPr>
            </w:pPr>
          </w:p>
          <w:p w14:paraId="0EF7D8C4">
            <w:pPr>
              <w:pStyle w:val="32"/>
              <w:rPr>
                <w:rFonts w:hint="default" w:ascii="Times New Roman" w:hAnsi="Times New Roman" w:cs="Times New Roman"/>
                <w:color w:val="auto"/>
                <w:kern w:val="0"/>
                <w:sz w:val="24"/>
              </w:rPr>
            </w:pPr>
          </w:p>
          <w:p w14:paraId="5EF7219A">
            <w:pPr>
              <w:rPr>
                <w:rFonts w:hint="default" w:ascii="Times New Roman" w:hAnsi="Times New Roman" w:cs="Times New Roman"/>
                <w:color w:val="auto"/>
                <w:kern w:val="0"/>
                <w:sz w:val="24"/>
              </w:rPr>
            </w:pPr>
          </w:p>
          <w:p w14:paraId="02C62EC3">
            <w:pPr>
              <w:pStyle w:val="28"/>
              <w:rPr>
                <w:rFonts w:hint="default" w:ascii="Times New Roman" w:hAnsi="Times New Roman" w:cs="Times New Roman"/>
                <w:color w:val="auto"/>
                <w:kern w:val="0"/>
              </w:rPr>
            </w:pPr>
          </w:p>
          <w:p w14:paraId="61FD5A77">
            <w:pPr>
              <w:pStyle w:val="32"/>
              <w:rPr>
                <w:rFonts w:hint="default" w:ascii="Times New Roman" w:hAnsi="Times New Roman" w:cs="Times New Roman"/>
                <w:color w:val="auto"/>
                <w:kern w:val="0"/>
                <w:sz w:val="24"/>
              </w:rPr>
            </w:pPr>
          </w:p>
          <w:p w14:paraId="297EF855">
            <w:pPr>
              <w:rPr>
                <w:rFonts w:hint="default" w:ascii="Times New Roman" w:hAnsi="Times New Roman" w:cs="Times New Roman"/>
                <w:color w:val="auto"/>
              </w:rPr>
            </w:pPr>
          </w:p>
          <w:p w14:paraId="758B1D2F">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其他符合性分析</w:t>
            </w:r>
          </w:p>
          <w:p w14:paraId="3D3685DB">
            <w:pPr>
              <w:rPr>
                <w:rFonts w:hint="default" w:ascii="Times New Roman" w:hAnsi="Times New Roman" w:cs="Times New Roman"/>
                <w:color w:val="auto"/>
                <w:kern w:val="0"/>
                <w:sz w:val="24"/>
              </w:rPr>
            </w:pPr>
          </w:p>
          <w:p w14:paraId="54703082">
            <w:pPr>
              <w:pStyle w:val="28"/>
              <w:rPr>
                <w:rFonts w:hint="default" w:ascii="Times New Roman" w:hAnsi="Times New Roman" w:cs="Times New Roman"/>
                <w:color w:val="auto"/>
                <w:kern w:val="0"/>
              </w:rPr>
            </w:pPr>
          </w:p>
          <w:p w14:paraId="4AC61731">
            <w:pPr>
              <w:pStyle w:val="32"/>
              <w:rPr>
                <w:rFonts w:hint="default" w:ascii="Times New Roman" w:hAnsi="Times New Roman" w:cs="Times New Roman"/>
                <w:color w:val="auto"/>
                <w:kern w:val="0"/>
                <w:sz w:val="24"/>
              </w:rPr>
            </w:pPr>
          </w:p>
          <w:p w14:paraId="2D14CDF2">
            <w:pPr>
              <w:rPr>
                <w:rFonts w:hint="default" w:ascii="Times New Roman" w:hAnsi="Times New Roman" w:cs="Times New Roman"/>
                <w:color w:val="auto"/>
                <w:kern w:val="0"/>
                <w:sz w:val="24"/>
              </w:rPr>
            </w:pPr>
          </w:p>
          <w:p w14:paraId="2297AFE7">
            <w:pPr>
              <w:pStyle w:val="28"/>
              <w:rPr>
                <w:rFonts w:hint="default" w:ascii="Times New Roman" w:hAnsi="Times New Roman" w:cs="Times New Roman"/>
                <w:color w:val="auto"/>
                <w:kern w:val="0"/>
              </w:rPr>
            </w:pPr>
          </w:p>
          <w:p w14:paraId="69C2F512">
            <w:pPr>
              <w:pStyle w:val="32"/>
              <w:rPr>
                <w:rFonts w:hint="default" w:ascii="Times New Roman" w:hAnsi="Times New Roman" w:cs="Times New Roman"/>
                <w:color w:val="auto"/>
                <w:kern w:val="0"/>
                <w:sz w:val="24"/>
              </w:rPr>
            </w:pPr>
          </w:p>
          <w:p w14:paraId="15192A7A">
            <w:pPr>
              <w:rPr>
                <w:rFonts w:hint="default" w:ascii="Times New Roman" w:hAnsi="Times New Roman" w:cs="Times New Roman"/>
                <w:color w:val="auto"/>
                <w:kern w:val="0"/>
                <w:sz w:val="24"/>
              </w:rPr>
            </w:pPr>
          </w:p>
          <w:p w14:paraId="53DFE9A8">
            <w:pPr>
              <w:pStyle w:val="28"/>
              <w:rPr>
                <w:rFonts w:hint="default" w:ascii="Times New Roman" w:hAnsi="Times New Roman" w:cs="Times New Roman"/>
                <w:color w:val="auto"/>
                <w:kern w:val="0"/>
              </w:rPr>
            </w:pPr>
          </w:p>
          <w:p w14:paraId="1821B9F9">
            <w:pPr>
              <w:pStyle w:val="32"/>
              <w:rPr>
                <w:rFonts w:hint="default" w:ascii="Times New Roman" w:hAnsi="Times New Roman" w:cs="Times New Roman"/>
                <w:color w:val="auto"/>
                <w:kern w:val="0"/>
                <w:sz w:val="24"/>
              </w:rPr>
            </w:pPr>
          </w:p>
          <w:p w14:paraId="78D36785">
            <w:pPr>
              <w:rPr>
                <w:rFonts w:hint="default" w:ascii="Times New Roman" w:hAnsi="Times New Roman" w:cs="Times New Roman"/>
                <w:color w:val="auto"/>
                <w:kern w:val="0"/>
                <w:sz w:val="24"/>
              </w:rPr>
            </w:pPr>
          </w:p>
          <w:p w14:paraId="07619179">
            <w:pPr>
              <w:pStyle w:val="28"/>
              <w:rPr>
                <w:rFonts w:hint="default" w:ascii="Times New Roman" w:hAnsi="Times New Roman" w:cs="Times New Roman"/>
                <w:color w:val="auto"/>
                <w:kern w:val="0"/>
              </w:rPr>
            </w:pPr>
          </w:p>
          <w:p w14:paraId="4854D5A6">
            <w:pPr>
              <w:pStyle w:val="32"/>
              <w:rPr>
                <w:rFonts w:hint="default" w:ascii="Times New Roman" w:hAnsi="Times New Roman" w:cs="Times New Roman"/>
                <w:color w:val="auto"/>
                <w:kern w:val="0"/>
                <w:sz w:val="24"/>
              </w:rPr>
            </w:pPr>
          </w:p>
          <w:p w14:paraId="39A8D426">
            <w:pPr>
              <w:rPr>
                <w:rFonts w:hint="default" w:ascii="Times New Roman" w:hAnsi="Times New Roman" w:cs="Times New Roman"/>
                <w:color w:val="auto"/>
                <w:kern w:val="0"/>
                <w:sz w:val="24"/>
              </w:rPr>
            </w:pPr>
          </w:p>
          <w:p w14:paraId="195C62E1">
            <w:pPr>
              <w:pStyle w:val="32"/>
              <w:ind w:left="0"/>
              <w:rPr>
                <w:rFonts w:hint="default" w:ascii="Times New Roman" w:hAnsi="Times New Roman" w:cs="Times New Roman"/>
                <w:color w:val="auto"/>
                <w:kern w:val="0"/>
                <w:sz w:val="24"/>
              </w:rPr>
            </w:pPr>
          </w:p>
          <w:p w14:paraId="0EE5340C">
            <w:pPr>
              <w:rPr>
                <w:rFonts w:hint="default" w:ascii="Times New Roman" w:hAnsi="Times New Roman" w:cs="Times New Roman"/>
                <w:color w:val="auto"/>
                <w:kern w:val="0"/>
                <w:sz w:val="24"/>
              </w:rPr>
            </w:pPr>
          </w:p>
          <w:p w14:paraId="0858F3FA">
            <w:pPr>
              <w:pStyle w:val="28"/>
              <w:rPr>
                <w:rFonts w:hint="default" w:ascii="Times New Roman" w:hAnsi="Times New Roman" w:cs="Times New Roman"/>
                <w:color w:val="auto"/>
                <w:kern w:val="0"/>
              </w:rPr>
            </w:pPr>
          </w:p>
          <w:p w14:paraId="044E9672">
            <w:pPr>
              <w:pStyle w:val="32"/>
              <w:ind w:left="0"/>
              <w:jc w:val="center"/>
              <w:rPr>
                <w:rFonts w:hint="default" w:ascii="Times New Roman" w:hAnsi="Times New Roman" w:cs="Times New Roman"/>
                <w:b w:val="0"/>
                <w:bCs w:val="0"/>
                <w:color w:val="auto"/>
                <w:kern w:val="0"/>
                <w:sz w:val="24"/>
              </w:rPr>
            </w:pPr>
          </w:p>
          <w:p w14:paraId="13660474">
            <w:pPr>
              <w:rPr>
                <w:rFonts w:hint="default" w:ascii="Times New Roman" w:hAnsi="Times New Roman" w:cs="Times New Roman"/>
                <w:color w:val="auto"/>
                <w:kern w:val="0"/>
                <w:sz w:val="24"/>
              </w:rPr>
            </w:pPr>
          </w:p>
          <w:p w14:paraId="775C8943">
            <w:pPr>
              <w:pStyle w:val="28"/>
              <w:rPr>
                <w:rFonts w:hint="default" w:ascii="Times New Roman" w:hAnsi="Times New Roman" w:cs="Times New Roman"/>
                <w:color w:val="auto"/>
                <w:kern w:val="0"/>
              </w:rPr>
            </w:pPr>
          </w:p>
          <w:p w14:paraId="51C709A0">
            <w:pPr>
              <w:pStyle w:val="32"/>
              <w:rPr>
                <w:rFonts w:hint="default" w:ascii="Times New Roman" w:hAnsi="Times New Roman" w:cs="Times New Roman"/>
                <w:color w:val="auto"/>
                <w:kern w:val="0"/>
                <w:sz w:val="24"/>
              </w:rPr>
            </w:pPr>
          </w:p>
          <w:p w14:paraId="5B08438A">
            <w:pPr>
              <w:rPr>
                <w:rFonts w:hint="default" w:ascii="Times New Roman" w:hAnsi="Times New Roman" w:cs="Times New Roman"/>
                <w:color w:val="auto"/>
                <w:kern w:val="0"/>
                <w:sz w:val="24"/>
              </w:rPr>
            </w:pPr>
          </w:p>
          <w:p w14:paraId="5D72F9E8">
            <w:pPr>
              <w:pStyle w:val="28"/>
              <w:rPr>
                <w:rFonts w:hint="default" w:ascii="Times New Roman" w:hAnsi="Times New Roman" w:cs="Times New Roman"/>
                <w:color w:val="auto"/>
                <w:kern w:val="0"/>
              </w:rPr>
            </w:pPr>
          </w:p>
          <w:p w14:paraId="4035F233">
            <w:pPr>
              <w:pStyle w:val="32"/>
              <w:rPr>
                <w:rFonts w:hint="default" w:ascii="Times New Roman" w:hAnsi="Times New Roman" w:cs="Times New Roman"/>
                <w:color w:val="auto"/>
                <w:kern w:val="0"/>
                <w:sz w:val="24"/>
              </w:rPr>
            </w:pPr>
          </w:p>
          <w:p w14:paraId="6727CBA1">
            <w:pPr>
              <w:rPr>
                <w:rFonts w:hint="default" w:ascii="Times New Roman" w:hAnsi="Times New Roman" w:cs="Times New Roman"/>
                <w:color w:val="auto"/>
                <w:kern w:val="0"/>
                <w:sz w:val="24"/>
              </w:rPr>
            </w:pPr>
          </w:p>
          <w:p w14:paraId="4CC5615B">
            <w:pPr>
              <w:pStyle w:val="28"/>
              <w:rPr>
                <w:rFonts w:hint="default" w:ascii="Times New Roman" w:hAnsi="Times New Roman" w:cs="Times New Roman"/>
                <w:color w:val="auto"/>
                <w:kern w:val="0"/>
              </w:rPr>
            </w:pPr>
          </w:p>
          <w:p w14:paraId="180B1574">
            <w:pPr>
              <w:pStyle w:val="32"/>
              <w:rPr>
                <w:rFonts w:hint="default" w:ascii="Times New Roman" w:hAnsi="Times New Roman" w:cs="Times New Roman"/>
                <w:color w:val="auto"/>
                <w:kern w:val="0"/>
                <w:sz w:val="24"/>
              </w:rPr>
            </w:pPr>
          </w:p>
          <w:p w14:paraId="5DC5C439">
            <w:pPr>
              <w:rPr>
                <w:rFonts w:hint="default" w:ascii="Times New Roman" w:hAnsi="Times New Roman" w:cs="Times New Roman"/>
                <w:color w:val="auto"/>
                <w:kern w:val="0"/>
                <w:sz w:val="24"/>
              </w:rPr>
            </w:pPr>
          </w:p>
          <w:p w14:paraId="29392EBB">
            <w:pPr>
              <w:pStyle w:val="28"/>
              <w:rPr>
                <w:rFonts w:hint="default" w:ascii="Times New Roman" w:hAnsi="Times New Roman" w:cs="Times New Roman"/>
                <w:color w:val="auto"/>
                <w:kern w:val="0"/>
              </w:rPr>
            </w:pPr>
          </w:p>
          <w:p w14:paraId="2C73721D">
            <w:pPr>
              <w:pStyle w:val="32"/>
              <w:rPr>
                <w:rFonts w:hint="default" w:ascii="Times New Roman" w:hAnsi="Times New Roman" w:cs="Times New Roman"/>
                <w:color w:val="auto"/>
                <w:kern w:val="0"/>
                <w:sz w:val="24"/>
              </w:rPr>
            </w:pPr>
          </w:p>
          <w:p w14:paraId="652A0923">
            <w:pPr>
              <w:rPr>
                <w:rFonts w:hint="default" w:ascii="Times New Roman" w:hAnsi="Times New Roman" w:cs="Times New Roman"/>
                <w:color w:val="auto"/>
                <w:kern w:val="0"/>
                <w:sz w:val="24"/>
              </w:rPr>
            </w:pPr>
          </w:p>
          <w:p w14:paraId="1D6459E4">
            <w:pPr>
              <w:pStyle w:val="28"/>
              <w:rPr>
                <w:rFonts w:hint="default" w:ascii="Times New Roman" w:hAnsi="Times New Roman" w:cs="Times New Roman"/>
                <w:color w:val="auto"/>
              </w:rPr>
            </w:pPr>
          </w:p>
          <w:p w14:paraId="738997EF">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其他符合性分析</w:t>
            </w:r>
          </w:p>
          <w:p w14:paraId="335F179E">
            <w:pPr>
              <w:pStyle w:val="28"/>
              <w:rPr>
                <w:rFonts w:hint="default" w:ascii="Times New Roman" w:hAnsi="Times New Roman" w:cs="Times New Roman"/>
                <w:color w:val="auto"/>
                <w:kern w:val="0"/>
              </w:rPr>
            </w:pPr>
          </w:p>
          <w:p w14:paraId="29752FAA">
            <w:pPr>
              <w:pStyle w:val="32"/>
              <w:rPr>
                <w:rFonts w:hint="default" w:ascii="Times New Roman" w:hAnsi="Times New Roman" w:cs="Times New Roman"/>
                <w:color w:val="auto"/>
                <w:kern w:val="0"/>
                <w:sz w:val="24"/>
              </w:rPr>
            </w:pPr>
          </w:p>
          <w:p w14:paraId="6E6394A8">
            <w:pPr>
              <w:rPr>
                <w:rFonts w:hint="default" w:ascii="Times New Roman" w:hAnsi="Times New Roman" w:cs="Times New Roman"/>
                <w:color w:val="auto"/>
                <w:kern w:val="0"/>
                <w:sz w:val="24"/>
              </w:rPr>
            </w:pPr>
          </w:p>
          <w:p w14:paraId="02F0BB63">
            <w:pPr>
              <w:pStyle w:val="28"/>
              <w:rPr>
                <w:rFonts w:hint="default" w:ascii="Times New Roman" w:hAnsi="Times New Roman" w:cs="Times New Roman"/>
                <w:color w:val="auto"/>
                <w:kern w:val="0"/>
              </w:rPr>
            </w:pPr>
          </w:p>
          <w:p w14:paraId="0CEB4980">
            <w:pPr>
              <w:pStyle w:val="32"/>
              <w:rPr>
                <w:rFonts w:hint="default" w:ascii="Times New Roman" w:hAnsi="Times New Roman" w:cs="Times New Roman"/>
                <w:color w:val="auto"/>
                <w:kern w:val="0"/>
                <w:sz w:val="24"/>
              </w:rPr>
            </w:pPr>
          </w:p>
          <w:p w14:paraId="3F806DC3">
            <w:pPr>
              <w:rPr>
                <w:rFonts w:hint="default" w:ascii="Times New Roman" w:hAnsi="Times New Roman" w:cs="Times New Roman"/>
                <w:color w:val="auto"/>
                <w:kern w:val="0"/>
                <w:sz w:val="24"/>
              </w:rPr>
            </w:pPr>
          </w:p>
          <w:p w14:paraId="2A210D2E">
            <w:pPr>
              <w:pStyle w:val="28"/>
              <w:rPr>
                <w:rFonts w:hint="default" w:ascii="Times New Roman" w:hAnsi="Times New Roman" w:cs="Times New Roman"/>
                <w:color w:val="auto"/>
                <w:kern w:val="0"/>
              </w:rPr>
            </w:pPr>
          </w:p>
          <w:p w14:paraId="27C6A1FE">
            <w:pPr>
              <w:pStyle w:val="32"/>
              <w:rPr>
                <w:rFonts w:hint="default" w:ascii="Times New Roman" w:hAnsi="Times New Roman" w:cs="Times New Roman"/>
                <w:color w:val="auto"/>
                <w:kern w:val="0"/>
                <w:sz w:val="24"/>
              </w:rPr>
            </w:pPr>
          </w:p>
          <w:p w14:paraId="37DF3743">
            <w:pPr>
              <w:rPr>
                <w:rFonts w:hint="default" w:ascii="Times New Roman" w:hAnsi="Times New Roman" w:cs="Times New Roman"/>
                <w:color w:val="auto"/>
                <w:kern w:val="0"/>
                <w:sz w:val="24"/>
              </w:rPr>
            </w:pPr>
          </w:p>
          <w:p w14:paraId="7CE03F56">
            <w:pPr>
              <w:pStyle w:val="28"/>
              <w:rPr>
                <w:rFonts w:hint="default" w:ascii="Times New Roman" w:hAnsi="Times New Roman" w:cs="Times New Roman"/>
                <w:color w:val="auto"/>
                <w:kern w:val="0"/>
              </w:rPr>
            </w:pPr>
          </w:p>
          <w:p w14:paraId="5A903A38">
            <w:pPr>
              <w:pStyle w:val="32"/>
              <w:rPr>
                <w:rFonts w:hint="default" w:ascii="Times New Roman" w:hAnsi="Times New Roman" w:cs="Times New Roman"/>
                <w:color w:val="auto"/>
                <w:kern w:val="0"/>
                <w:sz w:val="24"/>
              </w:rPr>
            </w:pPr>
          </w:p>
          <w:p w14:paraId="3C0349A4">
            <w:pPr>
              <w:rPr>
                <w:rFonts w:hint="default" w:ascii="Times New Roman" w:hAnsi="Times New Roman" w:cs="Times New Roman"/>
                <w:color w:val="auto"/>
                <w:kern w:val="0"/>
                <w:sz w:val="24"/>
              </w:rPr>
            </w:pPr>
          </w:p>
          <w:p w14:paraId="255CD24E">
            <w:pPr>
              <w:pStyle w:val="28"/>
              <w:rPr>
                <w:rFonts w:hint="default" w:ascii="Times New Roman" w:hAnsi="Times New Roman" w:cs="Times New Roman"/>
                <w:color w:val="auto"/>
                <w:kern w:val="0"/>
              </w:rPr>
            </w:pPr>
          </w:p>
          <w:p w14:paraId="5DCA233B">
            <w:pPr>
              <w:pStyle w:val="32"/>
              <w:rPr>
                <w:rFonts w:hint="default" w:ascii="Times New Roman" w:hAnsi="Times New Roman" w:cs="Times New Roman"/>
                <w:color w:val="auto"/>
                <w:kern w:val="0"/>
                <w:sz w:val="24"/>
              </w:rPr>
            </w:pPr>
          </w:p>
          <w:p w14:paraId="68187765">
            <w:pPr>
              <w:rPr>
                <w:rFonts w:hint="default" w:ascii="Times New Roman" w:hAnsi="Times New Roman" w:cs="Times New Roman"/>
                <w:color w:val="auto"/>
                <w:kern w:val="0"/>
                <w:sz w:val="24"/>
              </w:rPr>
            </w:pPr>
          </w:p>
          <w:p w14:paraId="6EF08FA7">
            <w:pPr>
              <w:pStyle w:val="28"/>
              <w:rPr>
                <w:rFonts w:hint="default" w:ascii="Times New Roman" w:hAnsi="Times New Roman" w:cs="Times New Roman"/>
                <w:color w:val="auto"/>
                <w:kern w:val="0"/>
              </w:rPr>
            </w:pPr>
          </w:p>
          <w:p w14:paraId="6A8D8AFC">
            <w:pPr>
              <w:pStyle w:val="32"/>
              <w:rPr>
                <w:rFonts w:hint="default" w:ascii="Times New Roman" w:hAnsi="Times New Roman" w:cs="Times New Roman"/>
                <w:color w:val="auto"/>
                <w:kern w:val="0"/>
                <w:sz w:val="24"/>
              </w:rPr>
            </w:pPr>
          </w:p>
          <w:p w14:paraId="22D0A018">
            <w:pPr>
              <w:rPr>
                <w:rFonts w:hint="default" w:ascii="Times New Roman" w:hAnsi="Times New Roman" w:cs="Times New Roman"/>
                <w:color w:val="auto"/>
                <w:kern w:val="0"/>
                <w:sz w:val="24"/>
              </w:rPr>
            </w:pPr>
          </w:p>
          <w:p w14:paraId="1831E0F6">
            <w:pPr>
              <w:pStyle w:val="28"/>
              <w:rPr>
                <w:rFonts w:hint="default" w:ascii="Times New Roman" w:hAnsi="Times New Roman" w:cs="Times New Roman"/>
                <w:color w:val="auto"/>
              </w:rPr>
            </w:pPr>
          </w:p>
          <w:p w14:paraId="1E5C7E0E">
            <w:pPr>
              <w:rPr>
                <w:rFonts w:hint="default" w:ascii="Times New Roman" w:hAnsi="Times New Roman" w:cs="Times New Roman"/>
                <w:color w:val="auto"/>
              </w:rPr>
            </w:pPr>
          </w:p>
          <w:p w14:paraId="550A6588">
            <w:pPr>
              <w:autoSpaceDE w:val="0"/>
              <w:autoSpaceDN w:val="0"/>
              <w:adjustRightInd w:val="0"/>
              <w:snapToGrid w:val="0"/>
              <w:jc w:val="center"/>
              <w:rPr>
                <w:rFonts w:hint="default" w:ascii="Times New Roman" w:hAnsi="Times New Roman" w:cs="Times New Roman"/>
                <w:color w:val="auto"/>
                <w:kern w:val="0"/>
                <w:sz w:val="24"/>
              </w:rPr>
            </w:pPr>
          </w:p>
          <w:p w14:paraId="4A42B0AD">
            <w:pPr>
              <w:pStyle w:val="28"/>
              <w:rPr>
                <w:rFonts w:hint="default" w:ascii="Times New Roman" w:hAnsi="Times New Roman" w:cs="Times New Roman"/>
                <w:color w:val="auto"/>
                <w:kern w:val="0"/>
              </w:rPr>
            </w:pPr>
          </w:p>
          <w:p w14:paraId="37C40DFE">
            <w:pPr>
              <w:pStyle w:val="32"/>
              <w:rPr>
                <w:rFonts w:hint="default" w:ascii="Times New Roman" w:hAnsi="Times New Roman" w:cs="Times New Roman"/>
                <w:color w:val="auto"/>
                <w:kern w:val="0"/>
                <w:sz w:val="24"/>
              </w:rPr>
            </w:pPr>
          </w:p>
          <w:p w14:paraId="5218AC1C">
            <w:pPr>
              <w:rPr>
                <w:rFonts w:hint="default" w:ascii="Times New Roman" w:hAnsi="Times New Roman" w:cs="Times New Roman"/>
                <w:color w:val="auto"/>
              </w:rPr>
            </w:pPr>
          </w:p>
          <w:p w14:paraId="7E0785D8">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其他符合性分析</w:t>
            </w:r>
          </w:p>
        </w:tc>
        <w:tc>
          <w:tcPr>
            <w:tcW w:w="4428" w:type="pct"/>
            <w:noWrap w:val="0"/>
            <w:vAlign w:val="center"/>
          </w:tcPr>
          <w:p w14:paraId="342E46A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1、评价文件类别分析</w:t>
            </w:r>
          </w:p>
          <w:p w14:paraId="58A5C0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bCs/>
                <w:color w:val="auto"/>
                <w:sz w:val="24"/>
              </w:rPr>
            </w:pPr>
            <w:r>
              <w:rPr>
                <w:rFonts w:hint="default" w:ascii="Times New Roman" w:hAnsi="Times New Roman" w:cs="Times New Roman"/>
                <w:color w:val="auto"/>
                <w:sz w:val="24"/>
              </w:rPr>
              <w:t>根据《中华人民共和国环境影响评价法》、《建设项目环境保护管理条例》及《建设项目环境影响评价分类管理名录（2021年版）》（部令第16号）等规定，本项目为“四十一、电力、热力生产和供应业，90太阳能发电4416（不含居民家用光伏发电）”中的“地面集中光伏电站（总容量大于6000千瓦，且接入电压等级不小于10千伏）”，应进行环境影响评价并编制环境影响报告表。</w:t>
            </w:r>
          </w:p>
          <w:p w14:paraId="7314766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2</w:t>
            </w:r>
            <w:r>
              <w:rPr>
                <w:rFonts w:hint="default" w:ascii="Times New Roman" w:hAnsi="Times New Roman" w:cs="Times New Roman"/>
                <w:b/>
                <w:bCs/>
                <w:color w:val="auto"/>
                <w:sz w:val="24"/>
              </w:rPr>
              <w:t>、项目产业政策符合性分析</w:t>
            </w:r>
          </w:p>
          <w:p w14:paraId="42F45C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为光伏发电项目，根据国家发展和改革委员会发布的《产业结构调整指导目录》（2024年本）（国家发展和改革委员会令第7号，2023年12月27日），本项目属于“鼓励类”第五项“可再生能源利用技术与应用：太阳能热发电集热系统、高效率低成本太阳能光伏发电技术研发与产业化、系统集成技术开发应用，逆变控制系统开发制造，太阳能建筑一体化组件设计与制造，高效太阳能热水器及热水工程，太阳能中高温利用技术开发与设备制造，海洋能、地热能利用技术开发与设备制造，可再生能源供暖技术的开发与应用”。</w:t>
            </w:r>
          </w:p>
          <w:p w14:paraId="78B61F5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根据国家发展和改革委员会发布的《市场准入负面清单（2022年版）》（2022年第397号令，2022年3月12日），本项目属于光伏发电项目，不在该清单内。</w:t>
            </w:r>
          </w:p>
          <w:p w14:paraId="1B96FD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为持续推进陕西省风电、光伏发电健康快速发展，2022年12月1日陕西省发展和改革委员会发布了《陕西省发展和改革委员会关于陕西省2022年保障性并网规模竞争性配置结果的通知》（陕发改能新能源〔2022〕2136号）（详见附件s），文件中确定了46个光伏发电项目，本项目列在其中，本项目的建设可以推进陕西省光伏发电健康快速发展，与该通知相符。</w:t>
            </w:r>
          </w:p>
          <w:p w14:paraId="3425AC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lang w:val="en-US" w:eastAsia="zh-CN"/>
              </w:rPr>
            </w:pPr>
            <w:r>
              <w:rPr>
                <w:rFonts w:hint="default" w:ascii="Times New Roman" w:hAnsi="Times New Roman" w:cs="Times New Roman"/>
                <w:color w:val="auto"/>
                <w:sz w:val="24"/>
              </w:rPr>
              <w:t>建设单位已取得“陕西省企业投资项目备案确认书”，项目代码：2310-610723-04-01-166927</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详见附件1</w:t>
            </w:r>
            <w:r>
              <w:rPr>
                <w:rFonts w:hint="default" w:ascii="Times New Roman" w:hAnsi="Times New Roman" w:cs="Times New Roman"/>
                <w:color w:val="auto"/>
                <w:sz w:val="24"/>
              </w:rPr>
              <w:t>。</w:t>
            </w:r>
          </w:p>
          <w:p w14:paraId="287622E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3、《可再生能源产业发展指导目录》</w:t>
            </w:r>
          </w:p>
          <w:p w14:paraId="316D86E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val="0"/>
                <w:color w:val="auto"/>
                <w:sz w:val="24"/>
                <w:lang w:val="en-US" w:eastAsia="zh-CN"/>
              </w:rPr>
            </w:pPr>
            <w:r>
              <w:rPr>
                <w:rFonts w:hint="default" w:ascii="Times New Roman" w:hAnsi="Times New Roman" w:cs="Times New Roman"/>
                <w:color w:val="auto"/>
                <w:sz w:val="24"/>
              </w:rPr>
              <w:t>根据国家发展和改革委员会关于印发《可再生能源产业发展指导目录》的通知（发改能源[2005]2517号），“并网型太阳能光伏发电”列在《可再生能源产业发展指导目录》中太阳能发电和热利用中。本项目属该指导目录中“并网型太阳能光伏发电”项目。</w:t>
            </w:r>
          </w:p>
          <w:p w14:paraId="697FE02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4</w:t>
            </w:r>
            <w:r>
              <w:rPr>
                <w:rFonts w:hint="default" w:ascii="Times New Roman" w:hAnsi="Times New Roman" w:cs="Times New Roman"/>
                <w:b/>
                <w:bCs/>
                <w:color w:val="auto"/>
                <w:sz w:val="24"/>
              </w:rPr>
              <w:t>、选址可行性分析</w:t>
            </w:r>
          </w:p>
          <w:p w14:paraId="3C5D7F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color w:val="auto"/>
                <w:sz w:val="24"/>
              </w:rPr>
              <w:t>（1）</w:t>
            </w:r>
            <w:r>
              <w:rPr>
                <w:rFonts w:hint="eastAsia" w:ascii="Times New Roman" w:hAnsi="Times New Roman" w:cs="Times New Roman"/>
                <w:color w:val="auto"/>
                <w:sz w:val="24"/>
                <w:lang w:val="en-US" w:eastAsia="zh-CN"/>
              </w:rPr>
              <w:t>光伏场选址可行性</w:t>
            </w:r>
          </w:p>
          <w:p w14:paraId="3277E6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val="en-US" w:eastAsia="zh-CN"/>
              </w:rPr>
              <w:t>①选址</w:t>
            </w:r>
          </w:p>
          <w:p w14:paraId="20F523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sz w:val="24"/>
              </w:rPr>
              <w:t>根据洋县</w:t>
            </w:r>
            <w:r>
              <w:rPr>
                <w:rFonts w:hint="eastAsia" w:ascii="Times New Roman" w:hAnsi="Times New Roman" w:cs="Times New Roman"/>
                <w:color w:val="auto"/>
                <w:sz w:val="24"/>
                <w:lang w:val="en-US" w:eastAsia="zh-CN"/>
              </w:rPr>
              <w:t>自然资源局</w:t>
            </w:r>
            <w:r>
              <w:rPr>
                <w:rFonts w:hint="default" w:ascii="Times New Roman" w:hAnsi="Times New Roman" w:cs="Times New Roman"/>
                <w:color w:val="auto"/>
                <w:sz w:val="24"/>
              </w:rPr>
              <w:t>关于</w:t>
            </w:r>
            <w:r>
              <w:rPr>
                <w:rFonts w:hint="eastAsia" w:ascii="Times New Roman" w:hAnsi="Times New Roman" w:cs="Times New Roman"/>
                <w:color w:val="auto"/>
                <w:sz w:val="24"/>
                <w:lang w:val="en-US" w:eastAsia="zh-CN"/>
              </w:rPr>
              <w:t>对大唐洋县60MW光伏发电项目（一期）选址土地情况的说明，该项目位于洋县磨子桥镇，涉及白河村、常牟村、冯杨村、金土村、磨子桥社区、牛家砭村、水田坝村、小江村、袁寨村、张山下村、周铺村11个村（社区），总面积115.4974公顷，套合洋县2021年国土变更调查数据，该项目选址用地土地利用现状分别为果园106.5426公顷、坑塘水面0.0011公顷、农村道路0.2888公顷、农村宅基地0.4071公顷、其他草地0.1528公顷、其他园地8.0889公顷、设施农用地0.0151公顷，整理筛分后项目总占用地面积为1043562.34m</w:t>
            </w:r>
            <w:r>
              <w:rPr>
                <w:rFonts w:hint="eastAsia" w:ascii="Times New Roman" w:hAnsi="Times New Roman" w:cs="Times New Roman"/>
                <w:color w:val="auto"/>
                <w:sz w:val="24"/>
                <w:vertAlign w:val="superscript"/>
                <w:lang w:val="en-US" w:eastAsia="zh-CN"/>
              </w:rPr>
              <w:t>2</w:t>
            </w:r>
            <w:r>
              <w:rPr>
                <w:rFonts w:hint="eastAsia" w:ascii="Times New Roman" w:hAnsi="Times New Roman" w:cs="Times New Roman"/>
                <w:color w:val="auto"/>
                <w:sz w:val="24"/>
                <w:lang w:val="en-US" w:eastAsia="zh-CN"/>
              </w:rPr>
              <w:t>，永久占地面积为26787.78m</w:t>
            </w:r>
            <w:r>
              <w:rPr>
                <w:rFonts w:hint="eastAsia" w:ascii="Times New Roman" w:hAnsi="Times New Roman" w:cs="Times New Roman"/>
                <w:color w:val="auto"/>
                <w:sz w:val="24"/>
                <w:vertAlign w:val="superscript"/>
                <w:lang w:val="en-US" w:eastAsia="zh-CN"/>
              </w:rPr>
              <w:t>2</w:t>
            </w:r>
            <w:r>
              <w:rPr>
                <w:rFonts w:hint="eastAsia" w:ascii="Times New Roman" w:hAnsi="Times New Roman" w:cs="Times New Roman"/>
                <w:color w:val="auto"/>
                <w:sz w:val="24"/>
                <w:lang w:val="en-US" w:eastAsia="zh-CN"/>
              </w:rPr>
              <w:t>；临时占地面积为1016774.56m</w:t>
            </w:r>
            <w:r>
              <w:rPr>
                <w:rFonts w:hint="eastAsia" w:ascii="Times New Roman" w:hAnsi="Times New Roman" w:cs="Times New Roman"/>
                <w:color w:val="auto"/>
                <w:sz w:val="24"/>
                <w:vertAlign w:val="superscript"/>
                <w:lang w:val="en-US" w:eastAsia="zh-CN"/>
              </w:rPr>
              <w:t>2</w:t>
            </w:r>
            <w:r>
              <w:rPr>
                <w:rFonts w:hint="eastAsia" w:ascii="Times New Roman" w:hAnsi="Times New Roman" w:cs="Times New Roman"/>
                <w:color w:val="auto"/>
                <w:sz w:val="24"/>
                <w:lang w:val="en-US" w:eastAsia="zh-CN"/>
              </w:rPr>
              <w:t>。套合洋县矿产资源规划相关数据和自然资源部下发的洋县“三区三线”划定成果，该项目选址拟用地不涉及生态保护红线和永久基本农田，不在城镇开发边界内，不压覆矿产资源，不压覆已设和拟设采矿权、探矿权；根据洋县人民政府关于支持大唐洋县60MW光伏发电项目（一期）建设的说明，经核实，该项目用地属于国家允许建设光伏项目的场地、不占用耕地且不涉及生态红线等限制开发的区域。根据洋县林业局关于大唐洋县60MW光伏发电项目（一期）选址查询情况的复函，按照最新林地管理政策，项目建设应当避让各类林地。你单位用地范围线叠加我县最新森林资源管理“一张图”数据库，已剔各类林地后剩余106.2222公顷的范围，不涉及林地，请你单位与项目所在镇、村现地核实，项目区入涉及退耕还林地，也应当避让，在项目落地实施前，请你单位将拟实施地块数据及村镇出具的该区域是否属退耕还林证明一并报我局核实后方可建设。</w:t>
            </w:r>
            <w:r>
              <w:rPr>
                <w:rFonts w:hint="default" w:ascii="Times New Roman" w:hAnsi="Times New Roman" w:cs="Times New Roman"/>
                <w:color w:val="auto"/>
                <w:sz w:val="24"/>
              </w:rPr>
              <w:t>根据陕西汉中朱鹮国家级自然保护区管理局关于</w:t>
            </w:r>
            <w:r>
              <w:rPr>
                <w:rFonts w:hint="default" w:ascii="Times New Roman" w:hAnsi="Times New Roman" w:cs="Times New Roman"/>
                <w:color w:val="auto"/>
                <w:sz w:val="24"/>
                <w:lang w:val="en-US" w:eastAsia="zh-CN"/>
              </w:rPr>
              <w:t>大唐洋县60MW光伏发电项目（一期）</w:t>
            </w:r>
            <w:r>
              <w:rPr>
                <w:rFonts w:hint="eastAsia" w:ascii="Times New Roman" w:hAnsi="Times New Roman" w:cs="Times New Roman"/>
                <w:color w:val="auto"/>
                <w:sz w:val="24"/>
                <w:lang w:val="en-US" w:eastAsia="zh-CN"/>
              </w:rPr>
              <w:t>选址是否位于朱鹮保护区</w:t>
            </w:r>
            <w:r>
              <w:rPr>
                <w:rFonts w:hint="default" w:ascii="Times New Roman" w:hAnsi="Times New Roman" w:cs="Times New Roman"/>
                <w:color w:val="auto"/>
                <w:sz w:val="24"/>
              </w:rPr>
              <w:t>的复函，</w:t>
            </w:r>
            <w:r>
              <w:rPr>
                <w:rFonts w:hint="eastAsia" w:ascii="Times New Roman" w:hAnsi="Times New Roman" w:cs="Times New Roman"/>
                <w:color w:val="auto"/>
                <w:sz w:val="24"/>
                <w:lang w:val="en-US" w:eastAsia="zh-CN"/>
              </w:rPr>
              <w:t>本项目选址不在保护区范围内，但部分点位距保护区边界较近，根据《在国家级自然保护区修筑设施审批管理暂行办法》第四条，保护区严禁修筑光伏发电设施，贵司在该项目建设过程中应注意避让，不得随意更改、扩大建设选址</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根据中国人民解放军陕西省洋县人民武装部关于大唐（洋县）新能源有限责任公司在洋县开展60MW光伏发电项目（一期）军事设施情况调查的复函，经我部联合66389驻汉中部队核查，在磨子桥镇内（</w:t>
            </w:r>
            <w:r>
              <w:rPr>
                <w:rFonts w:hint="default" w:ascii="Times New Roman" w:hAnsi="Times New Roman" w:cs="Times New Roman"/>
                <w:color w:val="auto"/>
                <w:sz w:val="24"/>
                <w:lang w:eastAsia="en-US"/>
              </w:rPr>
              <w:t>E</w:t>
            </w:r>
            <w:r>
              <w:rPr>
                <w:rFonts w:hint="eastAsia" w:ascii="Times New Roman" w:hAnsi="Times New Roman" w:cs="Times New Roman"/>
                <w:color w:val="auto"/>
                <w:sz w:val="24"/>
                <w:lang w:val="en-US" w:eastAsia="zh-CN"/>
              </w:rPr>
              <w:t>107</w:t>
            </w:r>
            <w:r>
              <w:rPr>
                <w:rFonts w:hint="default" w:ascii="Times New Roman" w:hAnsi="Times New Roman" w:cs="Times New Roman"/>
                <w:color w:val="auto"/>
                <w:sz w:val="24"/>
              </w:rPr>
              <w:t>度</w:t>
            </w:r>
            <w:r>
              <w:rPr>
                <w:rFonts w:hint="eastAsia" w:ascii="Times New Roman" w:hAnsi="Times New Roman" w:cs="Times New Roman"/>
                <w:color w:val="auto"/>
                <w:sz w:val="24"/>
                <w:lang w:val="en-US" w:eastAsia="zh-CN"/>
              </w:rPr>
              <w:t>30</w:t>
            </w:r>
            <w:r>
              <w:rPr>
                <w:rFonts w:hint="default" w:ascii="Times New Roman" w:hAnsi="Times New Roman" w:cs="Times New Roman"/>
                <w:color w:val="auto"/>
                <w:sz w:val="24"/>
              </w:rPr>
              <w:t>分</w:t>
            </w:r>
            <w:r>
              <w:rPr>
                <w:rFonts w:hint="eastAsia" w:ascii="Times New Roman" w:hAnsi="Times New Roman" w:cs="Times New Roman"/>
                <w:color w:val="auto"/>
                <w:sz w:val="24"/>
                <w:lang w:val="en-US" w:eastAsia="zh-CN"/>
              </w:rPr>
              <w:t>32</w:t>
            </w:r>
            <w:r>
              <w:rPr>
                <w:rFonts w:hint="default" w:ascii="Times New Roman" w:hAnsi="Times New Roman" w:cs="Times New Roman"/>
                <w:color w:val="auto"/>
                <w:sz w:val="24"/>
              </w:rPr>
              <w:t>秒，</w:t>
            </w:r>
            <w:r>
              <w:rPr>
                <w:rFonts w:hint="default" w:ascii="Times New Roman" w:hAnsi="Times New Roman" w:cs="Times New Roman"/>
                <w:color w:val="auto"/>
                <w:sz w:val="24"/>
                <w:lang w:eastAsia="en-US"/>
              </w:rPr>
              <w:t>N</w:t>
            </w:r>
            <w:r>
              <w:rPr>
                <w:rFonts w:hint="eastAsia" w:ascii="Times New Roman" w:hAnsi="Times New Roman" w:cs="Times New Roman"/>
                <w:color w:val="auto"/>
                <w:sz w:val="24"/>
                <w:lang w:val="en-US" w:eastAsia="zh-CN"/>
              </w:rPr>
              <w:t>33</w:t>
            </w:r>
            <w:r>
              <w:rPr>
                <w:rFonts w:hint="default" w:ascii="Times New Roman" w:hAnsi="Times New Roman" w:cs="Times New Roman"/>
                <w:color w:val="auto"/>
                <w:sz w:val="24"/>
              </w:rPr>
              <w:t>度</w:t>
            </w:r>
            <w:r>
              <w:rPr>
                <w:rFonts w:hint="eastAsia" w:ascii="Times New Roman" w:hAnsi="Times New Roman" w:cs="Times New Roman"/>
                <w:color w:val="auto"/>
                <w:sz w:val="24"/>
                <w:lang w:val="en-US" w:eastAsia="zh-CN"/>
              </w:rPr>
              <w:t>11</w:t>
            </w:r>
            <w:r>
              <w:rPr>
                <w:rFonts w:hint="default" w:ascii="Times New Roman" w:hAnsi="Times New Roman" w:cs="Times New Roman"/>
                <w:color w:val="auto"/>
                <w:sz w:val="24"/>
              </w:rPr>
              <w:t>分</w:t>
            </w:r>
            <w:r>
              <w:rPr>
                <w:rFonts w:hint="eastAsia" w:ascii="Times New Roman" w:hAnsi="Times New Roman" w:cs="Times New Roman"/>
                <w:color w:val="auto"/>
                <w:sz w:val="24"/>
                <w:lang w:val="en-US" w:eastAsia="zh-CN"/>
              </w:rPr>
              <w:t>37</w:t>
            </w:r>
            <w:r>
              <w:rPr>
                <w:rFonts w:hint="default" w:ascii="Times New Roman" w:hAnsi="Times New Roman" w:cs="Times New Roman"/>
                <w:color w:val="auto"/>
                <w:sz w:val="24"/>
              </w:rPr>
              <w:t>秒</w:t>
            </w:r>
            <w:r>
              <w:rPr>
                <w:rFonts w:hint="eastAsia" w:ascii="Times New Roman" w:hAnsi="Times New Roman" w:cs="Times New Roman"/>
                <w:color w:val="auto"/>
                <w:sz w:val="24"/>
                <w:lang w:val="en-US" w:eastAsia="zh-CN"/>
              </w:rPr>
              <w:t>）道路西侧100米，东侧100米军用标示桩连线处设有军用光缆，请贵单位对军用标示桩连线处进行避让施工或者更改此点选址范围。根据洋县文物广电局关于大唐（洋县）新能源有限责任公司在洋县60MW光伏发电项目选址文物影响评估的复函，根据项目用地选址，结合三普资料排查，项目选址处无文物保护单位。按照汉中市文物广电局、汉中市自然资源局《关于印发&lt;汉中市土地供应文勘前置工作管理办法(试行)&gt;的通知》规定要求，项目实施前，需委托具有文物考古勘探资质的单位对项目用地进行文物勘探工作，勘探工作完成后向我局提交正式文物勘探报告。项目的实施过程中，如有发现地下文物遗存，请施工单位立即停止施工，并做好现场保护工作，及时报告我局。根据洋县水利局关于大唐洋县60MW光伏发电项目(一期)拟选场址的复函，</w:t>
            </w:r>
            <w:r>
              <w:rPr>
                <w:rFonts w:hint="default" w:ascii="Times New Roman" w:hAnsi="Times New Roman" w:cs="Times New Roman"/>
                <w:color w:val="auto"/>
                <w:sz w:val="24"/>
              </w:rPr>
              <w:t>该项目选址位于丹江口库区及上游国家级水土流失重点预防区，属陕西省水土流失重点治理区；不影响河流两岸、湖泊和水库周边的植物保护带；周边无全国水土保持监测站点、重点试验区及国家确定的水土保持长期定位观测站。基本符合水土保持对主体工程选址规定，原则同意项目选址。鉴于项目无法避让水土流失重点预防区和重点治理区，项目应提高防治标准，优化施工工艺，减少地表扰动和植被损坏范围</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有效控制可能造成的水土流失。项目落地后，应按照《中华人民共和国水土保持法》、《陕</w:t>
            </w:r>
            <w:r>
              <w:rPr>
                <w:rFonts w:hint="default" w:ascii="Times New Roman" w:hAnsi="Times New Roman" w:cs="Times New Roman"/>
                <w:color w:val="auto"/>
                <w:sz w:val="24"/>
              </w:rPr>
              <mc:AlternateContent>
                <mc:Choice Requires="wps">
                  <w:drawing>
                    <wp:anchor distT="0" distB="0" distL="114300" distR="114300" simplePos="0" relativeHeight="251659264" behindDoc="0" locked="0" layoutInCell="1" allowOverlap="1">
                      <wp:simplePos x="0" y="0"/>
                      <wp:positionH relativeFrom="column">
                        <wp:posOffset>2768600</wp:posOffset>
                      </wp:positionH>
                      <wp:positionV relativeFrom="paragraph">
                        <wp:posOffset>214630</wp:posOffset>
                      </wp:positionV>
                      <wp:extent cx="269875" cy="95885"/>
                      <wp:effectExtent l="0" t="0" r="0" b="0"/>
                      <wp:wrapNone/>
                      <wp:docPr id="5" name="文本框 5"/>
                      <wp:cNvGraphicFramePr/>
                      <a:graphic xmlns:a="http://schemas.openxmlformats.org/drawingml/2006/main">
                        <a:graphicData uri="http://schemas.microsoft.com/office/word/2010/wordprocessingShape">
                          <wps:wsp>
                            <wps:cNvSpPr txBox="1"/>
                            <wps:spPr>
                              <a:xfrm>
                                <a:off x="0" y="0"/>
                                <a:ext cx="269875" cy="95885"/>
                              </a:xfrm>
                              <a:prstGeom prst="rect">
                                <a:avLst/>
                              </a:prstGeom>
                              <a:noFill/>
                              <a:ln>
                                <a:noFill/>
                              </a:ln>
                            </wps:spPr>
                            <wps:txbx>
                              <w:txbxContent>
                                <w:p w14:paraId="60C1A8C2">
                                  <w:pPr>
                                    <w:pStyle w:val="12"/>
                                    <w:spacing w:before="20" w:line="110" w:lineRule="exact"/>
                                    <w:jc w:val="right"/>
                                    <w:rPr>
                                      <w:sz w:val="33"/>
                                      <w:szCs w:val="33"/>
                                    </w:rPr>
                                  </w:pPr>
                                  <w:r>
                                    <w:rPr>
                                      <w:spacing w:val="-22"/>
                                      <w:w w:val="53"/>
                                      <w:position w:val="-3"/>
                                      <w:sz w:val="33"/>
                                      <w:szCs w:val="33"/>
                                    </w:rPr>
                                    <w:t xml:space="preserve">— </w:t>
                                  </w:r>
                                  <w:r>
                                    <w:rPr>
                                      <w:spacing w:val="-10"/>
                                      <w:w w:val="53"/>
                                      <w:position w:val="-3"/>
                                      <w:sz w:val="33"/>
                                      <w:szCs w:val="33"/>
                                    </w:rPr>
                                    <w:t>—</w:t>
                                  </w:r>
                                </w:p>
                              </w:txbxContent>
                            </wps:txbx>
                            <wps:bodyPr lIns="0" tIns="0" rIns="0" bIns="0" upright="1"/>
                          </wps:wsp>
                        </a:graphicData>
                      </a:graphic>
                    </wp:anchor>
                  </w:drawing>
                </mc:Choice>
                <mc:Fallback>
                  <w:pict>
                    <v:shape id="_x0000_s1026" o:spid="_x0000_s1026" o:spt="202" type="#_x0000_t202" style="position:absolute;left:0pt;margin-left:218pt;margin-top:16.9pt;height:7.55pt;width:21.25pt;z-index:251659264;mso-width-relative:page;mso-height-relative:page;" filled="f" stroked="f" coordsize="21600,21600" o:gfxdata="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zEOHm2QAAAAkBAAAPAAAAAAAAAAEAIAAAACIAAABkcnMvZG93bnJldi54bWxQSwEC&#10;FAAUAAAACACHTuJAuN2vDLoBAABwAwAADgAAAAAAAAABACAAAAAoAQAAZHJzL2Uyb0RvYy54bWxQ&#10;SwUGAAAAAAYABgBZAQAAVAUAAAAA&#10;">
                      <v:fill on="f" focussize="0,0"/>
                      <v:stroke on="f"/>
                      <v:imagedata o:title=""/>
                      <o:lock v:ext="edit" aspectratio="f"/>
                      <v:textbox inset="0mm,0mm,0mm,0mm">
                        <w:txbxContent>
                          <w:p w14:paraId="60C1A8C2">
                            <w:pPr>
                              <w:pStyle w:val="12"/>
                              <w:spacing w:before="20" w:line="110" w:lineRule="exact"/>
                              <w:jc w:val="right"/>
                              <w:rPr>
                                <w:sz w:val="33"/>
                                <w:szCs w:val="33"/>
                              </w:rPr>
                            </w:pPr>
                            <w:r>
                              <w:rPr>
                                <w:spacing w:val="-22"/>
                                <w:w w:val="53"/>
                                <w:position w:val="-3"/>
                                <w:sz w:val="33"/>
                                <w:szCs w:val="33"/>
                              </w:rPr>
                              <w:t xml:space="preserve">— </w:t>
                            </w:r>
                            <w:r>
                              <w:rPr>
                                <w:spacing w:val="-10"/>
                                <w:w w:val="53"/>
                                <w:position w:val="-3"/>
                                <w:sz w:val="33"/>
                                <w:szCs w:val="33"/>
                              </w:rPr>
                              <w:t>—</w:t>
                            </w:r>
                          </w:p>
                        </w:txbxContent>
                      </v:textbox>
                    </v:shape>
                  </w:pict>
                </mc:Fallback>
              </mc:AlternateContent>
            </w:r>
            <w:r>
              <w:rPr>
                <w:rFonts w:hint="default" w:ascii="Times New Roman" w:hAnsi="Times New Roman" w:cs="Times New Roman"/>
                <w:color w:val="auto"/>
                <w:sz w:val="24"/>
              </w:rPr>
              <w:t>西省水土保持条例》等相关规定，在开工前按程序办理水土保持相关手续，否则不得开工建设。</w:t>
            </w:r>
          </w:p>
          <w:p w14:paraId="36A2A3F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本项目位于</w:t>
            </w:r>
            <w:r>
              <w:rPr>
                <w:rFonts w:hint="eastAsia" w:ascii="Times New Roman" w:hAnsi="Times New Roman" w:cs="Times New Roman"/>
                <w:color w:val="auto"/>
                <w:sz w:val="24"/>
                <w:lang w:eastAsia="zh-CN"/>
              </w:rPr>
              <w:t>陕西省汉中市洋县磨子桥镇</w:t>
            </w:r>
            <w:r>
              <w:rPr>
                <w:rFonts w:hint="default" w:ascii="Times New Roman" w:hAnsi="Times New Roman" w:cs="Times New Roman"/>
                <w:color w:val="auto"/>
                <w:sz w:val="24"/>
              </w:rPr>
              <w:t>，根据</w:t>
            </w:r>
            <w:r>
              <w:rPr>
                <w:rFonts w:hint="eastAsia" w:ascii="Times New Roman" w:hAnsi="Times New Roman" w:cs="Times New Roman"/>
                <w:color w:val="auto"/>
                <w:sz w:val="24"/>
                <w:lang w:val="en-US" w:eastAsia="zh-CN"/>
              </w:rPr>
              <w:t>洋县人民政府</w:t>
            </w:r>
            <w:r>
              <w:rPr>
                <w:rFonts w:hint="default" w:ascii="Times New Roman" w:hAnsi="Times New Roman" w:cs="Times New Roman"/>
                <w:color w:val="auto"/>
                <w:sz w:val="24"/>
                <w:lang w:val="en-US" w:eastAsia="zh-CN"/>
              </w:rPr>
              <w:t>关于支持大唐洋县60MW光伏发电项目（一期）建设的说明，经核实，该项目用地属于国家允许建设光伏项目的场地、不占用耕地且不涉及生态红线等限制开发的区域。</w:t>
            </w:r>
          </w:p>
          <w:p w14:paraId="62F039D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②污染影响</w:t>
            </w:r>
          </w:p>
          <w:p w14:paraId="3A959B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项目光伏区域运营期污染物主要为光伏板清洗废水，箱变噪声，光伏板清洗过程不添加任何清洗剂，清洗后的水顺流而下至地面，自然蒸发，箱式变压器位于箱体内，且布置于远离居民位置，对周围环境影响不大</w:t>
            </w:r>
          </w:p>
          <w:p w14:paraId="05D9C9A2">
            <w:pPr>
              <w:adjustRightInd w:val="0"/>
              <w:snapToGrid w:val="0"/>
              <w:spacing w:line="360" w:lineRule="auto"/>
              <w:ind w:firstLine="482" w:firstLineChars="200"/>
              <w:jc w:val="left"/>
              <w:rPr>
                <w:rFonts w:hint="default" w:ascii="Times New Roman" w:hAnsi="Times New Roman" w:cs="Times New Roman"/>
                <w:b/>
                <w:bCs/>
                <w:color w:val="auto"/>
                <w:sz w:val="24"/>
                <w:szCs w:val="32"/>
              </w:rPr>
            </w:pPr>
            <w:r>
              <w:rPr>
                <w:rFonts w:hint="eastAsia" w:ascii="Times New Roman" w:hAnsi="Times New Roman" w:cs="Times New Roman"/>
                <w:b/>
                <w:bCs/>
                <w:color w:val="auto"/>
                <w:sz w:val="24"/>
                <w:szCs w:val="32"/>
                <w:lang w:val="en-US" w:eastAsia="zh-CN"/>
              </w:rPr>
              <w:t>5</w:t>
            </w:r>
            <w:r>
              <w:rPr>
                <w:rFonts w:hint="default" w:ascii="Times New Roman" w:hAnsi="Times New Roman" w:cs="Times New Roman"/>
                <w:b/>
                <w:bCs/>
                <w:color w:val="auto"/>
                <w:sz w:val="24"/>
                <w:szCs w:val="32"/>
              </w:rPr>
              <w:t>、与《汉中市“三线一单”生态环境分区管控方案》的符合性分析</w:t>
            </w:r>
          </w:p>
          <w:p w14:paraId="56C3E3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按照保护优先、衔接整合、有效管理的原则，将全市统筹划定优先保护、重点管控和一般管控三类环境管控单元162个，实施生态环境分区管控。</w:t>
            </w:r>
          </w:p>
          <w:p w14:paraId="1430883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——优先保护单元。指以生态环境保护为主的区域，主要包括各类自然保护地、饮用水水源保护区、环境空气一类功能区等。全市划分优先保护单元109个，面积13387.68平方公里，占全市国土面积的49.39%。</w:t>
            </w:r>
          </w:p>
          <w:p w14:paraId="7BAB82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重点管控单元。指涉及水、大气、土壤、自然资源等资源环境要素重点管控的区域，主要包括城镇规划区、产业园区和开发强度大、污染物排放强度高的区域等。全区划分重点管控单元44个，面积1809.56平方公里，占全市国土面积的6.68%。</w:t>
            </w:r>
          </w:p>
          <w:p w14:paraId="35997F1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——一般管控单元。指优先保护单元、重点管控单元之外的其他区域。全市划分一般管控单元9个，面积11907平方公里，占全市国土面积的43.93%。</w:t>
            </w:r>
          </w:p>
          <w:p w14:paraId="358147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对照汉中市生态环境管控单元分布示意图，本项目位于汉中市生态环境管控单元中的重点管控单元。</w:t>
            </w:r>
          </w:p>
          <w:p w14:paraId="2CAC444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陕西省“三线一单”生态环境分区管控应用技术指南：环境影响评价（试行）》（陕环办发[2022]76号），环评文件涉及“三线一单”生态环境分区管控符合性分析应采取“一图一表一说明”的表达方式，本项目与《汉中市“三线一单”生态环境分区管控方案》符合性分析如下。</w:t>
            </w:r>
          </w:p>
          <w:p w14:paraId="18C4C60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（1）一图</w:t>
            </w:r>
          </w:p>
          <w:p w14:paraId="35F526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本项目位于汉中市生态环境管控单元中的重点管控单元内，见</w:t>
            </w:r>
            <w:r>
              <w:rPr>
                <w:rFonts w:hint="eastAsia" w:ascii="Times New Roman" w:hAnsi="Times New Roman" w:cs="Times New Roman"/>
                <w:color w:val="auto"/>
                <w:sz w:val="24"/>
                <w:lang w:val="en-US" w:eastAsia="zh-CN"/>
              </w:rPr>
              <w:t>附</w:t>
            </w:r>
            <w:r>
              <w:rPr>
                <w:rFonts w:hint="default" w:ascii="Times New Roman" w:hAnsi="Times New Roman" w:cs="Times New Roman"/>
                <w:color w:val="auto"/>
                <w:sz w:val="24"/>
              </w:rPr>
              <w:t>图</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w:t>
            </w:r>
          </w:p>
          <w:p w14:paraId="2EE23F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（2）一表</w:t>
            </w:r>
          </w:p>
          <w:p w14:paraId="0C3C83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本项目建设范围涉及的生态环境管控单元准入清单具体见表1-4。</w:t>
            </w:r>
          </w:p>
          <w:p w14:paraId="1179BD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（3）一说明</w:t>
            </w:r>
          </w:p>
          <w:p w14:paraId="2EB0DF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color w:val="auto"/>
                <w:szCs w:val="21"/>
              </w:rPr>
            </w:pPr>
            <w:r>
              <w:rPr>
                <w:rFonts w:hint="default" w:ascii="Times New Roman" w:hAnsi="Times New Roman" w:cs="Times New Roman"/>
                <w:color w:val="auto"/>
                <w:sz w:val="24"/>
              </w:rPr>
              <w:t>本项目“三线一单”符合性分析见表1-</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w:t>
            </w:r>
          </w:p>
          <w:p w14:paraId="3ED581E3">
            <w:pPr>
              <w:tabs>
                <w:tab w:val="left" w:leader="middleDot" w:pos="8399"/>
              </w:tabs>
              <w:adjustRightInd w:val="0"/>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w:t>
            </w:r>
            <w:r>
              <w:rPr>
                <w:rFonts w:hint="eastAsia" w:ascii="Times New Roman" w:hAnsi="Times New Roman" w:cs="Times New Roman"/>
                <w:b/>
                <w:color w:val="auto"/>
                <w:szCs w:val="21"/>
                <w:lang w:val="en-US" w:eastAsia="zh-CN"/>
              </w:rPr>
              <w:t>1</w:t>
            </w:r>
            <w:r>
              <w:rPr>
                <w:rFonts w:hint="default" w:ascii="Times New Roman" w:hAnsi="Times New Roman" w:cs="Times New Roman"/>
                <w:b/>
                <w:color w:val="auto"/>
                <w:szCs w:val="21"/>
              </w:rPr>
              <w:t>三线一单符合性分析一览表</w:t>
            </w:r>
          </w:p>
          <w:tbl>
            <w:tblPr>
              <w:tblStyle w:val="58"/>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34"/>
              <w:gridCol w:w="4343"/>
              <w:gridCol w:w="1246"/>
            </w:tblGrid>
            <w:tr w14:paraId="5E723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184" w:type="pct"/>
                  <w:tcBorders>
                    <w:top w:val="single" w:color="000000" w:sz="10" w:space="0"/>
                  </w:tcBorders>
                  <w:vAlign w:val="center"/>
                </w:tcPr>
                <w:p w14:paraId="7E564CE9">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“三线一单”</w:t>
                  </w:r>
                </w:p>
              </w:tc>
              <w:tc>
                <w:tcPr>
                  <w:tcW w:w="2965" w:type="pct"/>
                  <w:tcBorders>
                    <w:top w:val="single" w:color="000000" w:sz="10" w:space="0"/>
                  </w:tcBorders>
                  <w:vAlign w:val="center"/>
                </w:tcPr>
                <w:p w14:paraId="36B4AF87">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本项目</w:t>
                  </w:r>
                </w:p>
              </w:tc>
              <w:tc>
                <w:tcPr>
                  <w:tcW w:w="850" w:type="pct"/>
                  <w:tcBorders>
                    <w:top w:val="single" w:color="000000" w:sz="10" w:space="0"/>
                    <w:right w:val="single" w:color="000000" w:sz="6" w:space="0"/>
                  </w:tcBorders>
                  <w:vAlign w:val="center"/>
                </w:tcPr>
                <w:p w14:paraId="695AF87B">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符合性</w:t>
                  </w:r>
                </w:p>
              </w:tc>
            </w:tr>
            <w:tr w14:paraId="323AA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184" w:type="pct"/>
                  <w:vAlign w:val="center"/>
                </w:tcPr>
                <w:p w14:paraId="4BB5268E">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生态保护红线</w:t>
                  </w:r>
                </w:p>
              </w:tc>
              <w:tc>
                <w:tcPr>
                  <w:tcW w:w="2965" w:type="pct"/>
                  <w:vAlign w:val="center"/>
                </w:tcPr>
                <w:p w14:paraId="572819A8">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本项目不位于各类生态和自然保护区范围内。根据“汉中市生态环境管控单元分布图”，本项目位于重点管控单元。综上，本项目不涉及生态保护红线。</w:t>
                  </w:r>
                </w:p>
              </w:tc>
              <w:tc>
                <w:tcPr>
                  <w:tcW w:w="850" w:type="pct"/>
                  <w:tcBorders>
                    <w:right w:val="single" w:color="000000" w:sz="6" w:space="0"/>
                  </w:tcBorders>
                  <w:vAlign w:val="center"/>
                </w:tcPr>
                <w:p w14:paraId="2A2B6AF0">
                  <w:pPr>
                    <w:pStyle w:val="21"/>
                    <w:adjustRightInd w:val="0"/>
                    <w:snapToGrid w:val="0"/>
                    <w:spacing w:before="0" w:beforeAutospacing="0" w:after="0" w:afterAutospacing="0"/>
                    <w:jc w:val="center"/>
                    <w:rPr>
                      <w:color w:val="auto"/>
                      <w:sz w:val="21"/>
                      <w:szCs w:val="21"/>
                      <w:lang w:val="en-US" w:eastAsia="zh-CN"/>
                    </w:rPr>
                  </w:pPr>
                </w:p>
                <w:p w14:paraId="6C50899B">
                  <w:pPr>
                    <w:pStyle w:val="21"/>
                    <w:adjustRightInd w:val="0"/>
                    <w:snapToGrid w:val="0"/>
                    <w:spacing w:before="0" w:beforeAutospacing="0" w:after="0" w:afterAutospacing="0"/>
                    <w:jc w:val="center"/>
                    <w:rPr>
                      <w:color w:val="auto"/>
                      <w:sz w:val="21"/>
                      <w:szCs w:val="21"/>
                      <w:lang w:val="en-US" w:eastAsia="zh-CN"/>
                    </w:rPr>
                  </w:pPr>
                </w:p>
                <w:p w14:paraId="189D6F24">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符合</w:t>
                  </w:r>
                </w:p>
              </w:tc>
            </w:tr>
            <w:tr w14:paraId="2E1E6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0" w:hRule="atLeast"/>
              </w:trPr>
              <w:tc>
                <w:tcPr>
                  <w:tcW w:w="1184" w:type="pct"/>
                  <w:tcBorders>
                    <w:left w:val="single" w:color="000000" w:sz="10" w:space="0"/>
                  </w:tcBorders>
                  <w:vAlign w:val="center"/>
                </w:tcPr>
                <w:p w14:paraId="472CBAFC">
                  <w:pPr>
                    <w:pStyle w:val="21"/>
                    <w:adjustRightInd w:val="0"/>
                    <w:snapToGrid w:val="0"/>
                    <w:spacing w:before="0" w:beforeAutospacing="0" w:after="0" w:afterAutospacing="0"/>
                    <w:jc w:val="center"/>
                    <w:rPr>
                      <w:color w:val="auto"/>
                      <w:sz w:val="21"/>
                      <w:szCs w:val="21"/>
                      <w:lang w:val="en-US" w:eastAsia="zh-CN"/>
                    </w:rPr>
                  </w:pPr>
                </w:p>
                <w:p w14:paraId="59EDCBCC">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环境质量底线</w:t>
                  </w:r>
                </w:p>
              </w:tc>
              <w:tc>
                <w:tcPr>
                  <w:tcW w:w="2965" w:type="pct"/>
                  <w:vAlign w:val="center"/>
                </w:tcPr>
                <w:p w14:paraId="7ACE1DCD">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到2025年，全市生态环境持续改善，主要污染物排放总量持续减少，资源能源利用效率大幅提高，生产生活方式绿色转型成效显著，秦岭、汉江等重要生态安全屏障更加牢固，基本形成生态环境分区管控体系。</w:t>
                  </w:r>
                </w:p>
                <w:p w14:paraId="039E2715">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本项目建设运行产生废水、废气、噪声经治理后能够做到达标排放，固废可做到无害化处理。采取本环评提出的相关防治措施后，本项目排放的污染物不会触及区域环境质量底线。</w:t>
                  </w:r>
                </w:p>
              </w:tc>
              <w:tc>
                <w:tcPr>
                  <w:tcW w:w="850" w:type="pct"/>
                  <w:tcBorders>
                    <w:right w:val="single" w:color="000000" w:sz="6" w:space="0"/>
                  </w:tcBorders>
                  <w:vAlign w:val="center"/>
                </w:tcPr>
                <w:p w14:paraId="09565561">
                  <w:pPr>
                    <w:pStyle w:val="21"/>
                    <w:adjustRightInd w:val="0"/>
                    <w:snapToGrid w:val="0"/>
                    <w:spacing w:before="0" w:beforeAutospacing="0" w:after="0" w:afterAutospacing="0"/>
                    <w:jc w:val="center"/>
                    <w:rPr>
                      <w:color w:val="auto"/>
                      <w:sz w:val="21"/>
                      <w:szCs w:val="21"/>
                      <w:lang w:val="en-US" w:eastAsia="zh-CN"/>
                    </w:rPr>
                  </w:pPr>
                </w:p>
                <w:p w14:paraId="0516FE29">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符合</w:t>
                  </w:r>
                </w:p>
              </w:tc>
            </w:tr>
            <w:tr w14:paraId="073D8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184" w:type="pct"/>
                  <w:vAlign w:val="center"/>
                </w:tcPr>
                <w:p w14:paraId="04959C95">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资源利用上线</w:t>
                  </w:r>
                </w:p>
              </w:tc>
              <w:tc>
                <w:tcPr>
                  <w:tcW w:w="2965" w:type="pct"/>
                  <w:vAlign w:val="center"/>
                </w:tcPr>
                <w:p w14:paraId="2BF54AEB">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本项目为光伏发电项目，涉及土地资源占用及租用，建成后对当地生态环境影响较小。项目投运后，改变了传统的发电模式，节约大量资源，未</w:t>
                  </w:r>
                  <w:r>
                    <w:rPr>
                      <w:rFonts w:hint="eastAsia"/>
                      <w:color w:val="auto"/>
                      <w:sz w:val="21"/>
                      <w:szCs w:val="21"/>
                      <w:lang w:val="en-US" w:eastAsia="zh-CN"/>
                    </w:rPr>
                    <w:t>达到</w:t>
                  </w:r>
                  <w:r>
                    <w:rPr>
                      <w:color w:val="auto"/>
                      <w:sz w:val="21"/>
                      <w:szCs w:val="21"/>
                      <w:lang w:val="en-US" w:eastAsia="zh-CN"/>
                    </w:rPr>
                    <w:t>资源利用上线。</w:t>
                  </w:r>
                </w:p>
              </w:tc>
              <w:tc>
                <w:tcPr>
                  <w:tcW w:w="850" w:type="pct"/>
                  <w:tcBorders>
                    <w:right w:val="single" w:color="000000" w:sz="6" w:space="0"/>
                  </w:tcBorders>
                  <w:vAlign w:val="center"/>
                </w:tcPr>
                <w:p w14:paraId="2F404A6D">
                  <w:pPr>
                    <w:pStyle w:val="21"/>
                    <w:adjustRightInd w:val="0"/>
                    <w:snapToGrid w:val="0"/>
                    <w:spacing w:before="0" w:beforeAutospacing="0" w:after="0" w:afterAutospacing="0"/>
                    <w:jc w:val="center"/>
                    <w:rPr>
                      <w:color w:val="auto"/>
                      <w:sz w:val="21"/>
                      <w:szCs w:val="21"/>
                      <w:lang w:val="en-US" w:eastAsia="zh-CN"/>
                    </w:rPr>
                  </w:pPr>
                </w:p>
                <w:p w14:paraId="208B7CBE">
                  <w:pPr>
                    <w:pStyle w:val="21"/>
                    <w:adjustRightInd w:val="0"/>
                    <w:snapToGrid w:val="0"/>
                    <w:spacing w:before="0" w:beforeAutospacing="0" w:after="0" w:afterAutospacing="0"/>
                    <w:jc w:val="center"/>
                    <w:rPr>
                      <w:color w:val="auto"/>
                      <w:sz w:val="21"/>
                      <w:szCs w:val="21"/>
                      <w:lang w:val="en-US" w:eastAsia="zh-CN"/>
                    </w:rPr>
                  </w:pPr>
                </w:p>
                <w:p w14:paraId="55CAB448">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符合</w:t>
                  </w:r>
                </w:p>
              </w:tc>
            </w:tr>
            <w:tr w14:paraId="568EC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1184" w:type="pct"/>
                  <w:tcBorders>
                    <w:bottom w:val="single" w:color="000000" w:sz="10" w:space="0"/>
                  </w:tcBorders>
                  <w:vAlign w:val="center"/>
                </w:tcPr>
                <w:p w14:paraId="746ACA1D">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生态环境准入清单</w:t>
                  </w:r>
                </w:p>
              </w:tc>
              <w:tc>
                <w:tcPr>
                  <w:tcW w:w="2965" w:type="pct"/>
                  <w:tcBorders>
                    <w:bottom w:val="single" w:color="000000" w:sz="10" w:space="0"/>
                  </w:tcBorders>
                  <w:vAlign w:val="center"/>
                </w:tcPr>
                <w:p w14:paraId="1594CDFA">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本项目为太阳能光伏发电项目，不在《</w:t>
                  </w:r>
                  <w:r>
                    <w:rPr>
                      <w:rFonts w:hint="eastAsia"/>
                      <w:color w:val="auto"/>
                      <w:sz w:val="21"/>
                      <w:szCs w:val="21"/>
                      <w:lang w:val="en-US" w:eastAsia="zh-CN"/>
                    </w:rPr>
                    <w:t>洋</w:t>
                  </w:r>
                  <w:r>
                    <w:rPr>
                      <w:color w:val="auto"/>
                      <w:sz w:val="21"/>
                      <w:szCs w:val="21"/>
                      <w:lang w:val="en-US" w:eastAsia="zh-CN"/>
                    </w:rPr>
                    <w:t>县国家重点生态功能区产业准入负面清单》内，同时也满足汉中市生态环境准入清单的相关要求。</w:t>
                  </w:r>
                </w:p>
              </w:tc>
              <w:tc>
                <w:tcPr>
                  <w:tcW w:w="850" w:type="pct"/>
                  <w:tcBorders>
                    <w:bottom w:val="single" w:color="000000" w:sz="10" w:space="0"/>
                    <w:right w:val="single" w:color="000000" w:sz="6" w:space="0"/>
                  </w:tcBorders>
                  <w:vAlign w:val="center"/>
                </w:tcPr>
                <w:p w14:paraId="53D4F6B9">
                  <w:pPr>
                    <w:pStyle w:val="21"/>
                    <w:adjustRightInd w:val="0"/>
                    <w:snapToGrid w:val="0"/>
                    <w:spacing w:before="0" w:beforeAutospacing="0" w:after="0" w:afterAutospacing="0"/>
                    <w:jc w:val="center"/>
                    <w:rPr>
                      <w:color w:val="auto"/>
                      <w:sz w:val="21"/>
                      <w:szCs w:val="21"/>
                      <w:lang w:val="en-US" w:eastAsia="zh-CN"/>
                    </w:rPr>
                  </w:pPr>
                </w:p>
                <w:p w14:paraId="5787765B">
                  <w:pPr>
                    <w:pStyle w:val="21"/>
                    <w:adjustRightInd w:val="0"/>
                    <w:snapToGrid w:val="0"/>
                    <w:spacing w:before="0" w:beforeAutospacing="0" w:after="0" w:afterAutospacing="0"/>
                    <w:jc w:val="center"/>
                    <w:rPr>
                      <w:color w:val="auto"/>
                      <w:sz w:val="21"/>
                      <w:szCs w:val="21"/>
                      <w:lang w:val="en-US" w:eastAsia="zh-CN"/>
                    </w:rPr>
                  </w:pPr>
                </w:p>
                <w:p w14:paraId="1F2B9F23">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符合</w:t>
                  </w:r>
                </w:p>
              </w:tc>
            </w:tr>
          </w:tbl>
          <w:p w14:paraId="09CA260E">
            <w:pPr>
              <w:pStyle w:val="34"/>
              <w:keepNext w:val="0"/>
              <w:keepLines w:val="0"/>
              <w:pageBreakBefore w:val="0"/>
              <w:widowControl w:val="0"/>
              <w:kinsoku/>
              <w:wordWrap/>
              <w:overflowPunct/>
              <w:topLinePunct w:val="0"/>
              <w:autoSpaceDE w:val="0"/>
              <w:autoSpaceDN w:val="0"/>
              <w:bidi w:val="0"/>
              <w:adjustRightInd w:val="0"/>
              <w:snapToGrid w:val="0"/>
              <w:spacing w:line="360" w:lineRule="auto"/>
              <w:ind w:firstLine="484" w:firstLineChars="200"/>
              <w:jc w:val="left"/>
              <w:textAlignment w:val="auto"/>
              <w:rPr>
                <w:rFonts w:hint="default" w:ascii="Times New Roman" w:hAnsi="Times New Roman" w:cs="Times New Roman"/>
                <w:color w:val="auto"/>
                <w:sz w:val="24"/>
                <w:szCs w:val="24"/>
                <w:highlight w:val="none"/>
              </w:rPr>
            </w:pPr>
            <w:r>
              <w:rPr>
                <w:color w:val="auto"/>
                <w:spacing w:val="1"/>
                <w:sz w:val="24"/>
                <w:szCs w:val="24"/>
              </w:rPr>
              <w:t>综上所述，本项目建设符合《汉中市“三线一单”生态环境分</w:t>
            </w:r>
            <w:r>
              <w:rPr>
                <w:color w:val="auto"/>
                <w:spacing w:val="-2"/>
                <w:sz w:val="24"/>
                <w:szCs w:val="24"/>
              </w:rPr>
              <w:t>区管控方案》（汉政发〔</w:t>
            </w:r>
            <w:r>
              <w:rPr>
                <w:rFonts w:ascii="Times New Roman" w:hAnsi="Times New Roman" w:eastAsia="Times New Roman" w:cs="Times New Roman"/>
                <w:color w:val="auto"/>
                <w:spacing w:val="-2"/>
                <w:sz w:val="24"/>
                <w:szCs w:val="24"/>
              </w:rPr>
              <w:t>2021</w:t>
            </w:r>
            <w:r>
              <w:rPr>
                <w:color w:val="auto"/>
                <w:spacing w:val="-2"/>
                <w:sz w:val="24"/>
                <w:szCs w:val="24"/>
              </w:rPr>
              <w:t>〕</w:t>
            </w:r>
            <w:r>
              <w:rPr>
                <w:rFonts w:ascii="Times New Roman" w:hAnsi="Times New Roman" w:eastAsia="Times New Roman" w:cs="Times New Roman"/>
                <w:color w:val="auto"/>
                <w:spacing w:val="-2"/>
                <w:sz w:val="24"/>
                <w:szCs w:val="24"/>
              </w:rPr>
              <w:t>11</w:t>
            </w:r>
            <w:r>
              <w:rPr>
                <w:color w:val="auto"/>
                <w:spacing w:val="-2"/>
                <w:sz w:val="24"/>
                <w:szCs w:val="24"/>
              </w:rPr>
              <w:t>号）相关要求。</w:t>
            </w:r>
          </w:p>
          <w:p w14:paraId="619B27DB">
            <w:pPr>
              <w:pStyle w:val="34"/>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green"/>
              </w:rPr>
            </w:pP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val="en-US" w:eastAsia="zh-CN"/>
              </w:rPr>
              <w:t>选址</w:t>
            </w:r>
            <w:r>
              <w:rPr>
                <w:rFonts w:hint="default" w:ascii="Times New Roman" w:hAnsi="Times New Roman" w:cs="Times New Roman"/>
                <w:color w:val="auto"/>
                <w:sz w:val="24"/>
                <w:szCs w:val="24"/>
              </w:rPr>
              <w:t>位于重点管控单元</w:t>
            </w:r>
            <w:r>
              <w:rPr>
                <w:rFonts w:hint="default" w:ascii="Times New Roman" w:hAnsi="Times New Roman" w:cs="Times New Roman"/>
                <w:color w:val="auto"/>
                <w:sz w:val="24"/>
                <w:szCs w:val="24"/>
                <w:lang w:eastAsia="zh-CN"/>
              </w:rPr>
              <w:t>，主要涉及</w:t>
            </w:r>
            <w:r>
              <w:rPr>
                <w:rFonts w:hint="default" w:ascii="Times New Roman" w:hAnsi="Times New Roman" w:cs="Times New Roman"/>
                <w:color w:val="auto"/>
                <w:sz w:val="24"/>
                <w:szCs w:val="24"/>
              </w:rPr>
              <w:t>5.1水环境城镇生活污染重点管控区</w:t>
            </w:r>
            <w:r>
              <w:rPr>
                <w:rFonts w:hint="eastAsia" w:ascii="Times New Roman" w:hAnsi="Times New Roman" w:cs="Times New Roman"/>
                <w:color w:val="auto"/>
                <w:sz w:val="24"/>
                <w:szCs w:val="24"/>
                <w:lang w:val="en-US" w:eastAsia="zh-CN"/>
              </w:rPr>
              <w:t>和</w:t>
            </w:r>
            <w:r>
              <w:rPr>
                <w:rFonts w:hint="default" w:ascii="Times New Roman" w:hAnsi="Times New Roman" w:cs="Times New Roman"/>
                <w:color w:val="auto"/>
                <w:sz w:val="24"/>
                <w:szCs w:val="24"/>
              </w:rPr>
              <w:t>5.4大气环境布局敏感区。</w:t>
            </w:r>
          </w:p>
          <w:p w14:paraId="2D951B20">
            <w:pPr>
              <w:adjustRightInd w:val="0"/>
              <w:snapToGrid w:val="0"/>
              <w:spacing w:line="360" w:lineRule="auto"/>
              <w:ind w:firstLine="480" w:firstLineChars="200"/>
              <w:jc w:val="left"/>
              <w:rPr>
                <w:rFonts w:hint="default" w:ascii="Times New Roman" w:hAnsi="Times New Roman" w:cs="Times New Roman"/>
                <w:color w:val="auto"/>
                <w:sz w:val="24"/>
                <w:szCs w:val="32"/>
              </w:rPr>
            </w:pPr>
            <w:r>
              <w:rPr>
                <w:rFonts w:hint="default" w:ascii="Times New Roman" w:hAnsi="Times New Roman" w:cs="Times New Roman"/>
                <w:color w:val="auto"/>
                <w:sz w:val="24"/>
                <w:szCs w:val="32"/>
              </w:rPr>
              <w:t>与项目相关的管控要求对照分析内容如下：</w:t>
            </w:r>
          </w:p>
          <w:p w14:paraId="24BA57A3">
            <w:pPr>
              <w:tabs>
                <w:tab w:val="left" w:leader="middleDot" w:pos="8399"/>
              </w:tabs>
              <w:adjustRightInd w:val="0"/>
              <w:snapToGrid w:val="0"/>
              <w:spacing w:line="360" w:lineRule="auto"/>
              <w:jc w:val="center"/>
              <w:rPr>
                <w:rFonts w:hint="default" w:ascii="Times New Roman" w:hAnsi="Times New Roman" w:cs="Times New Roman"/>
                <w:color w:val="auto"/>
                <w:sz w:val="24"/>
                <w:szCs w:val="32"/>
              </w:rPr>
            </w:pPr>
            <w:r>
              <w:rPr>
                <w:rFonts w:hint="default" w:ascii="Times New Roman" w:hAnsi="Times New Roman" w:cs="Times New Roman"/>
                <w:b/>
                <w:color w:val="auto"/>
                <w:szCs w:val="21"/>
              </w:rPr>
              <w:t>表1-</w:t>
            </w:r>
            <w:r>
              <w:rPr>
                <w:rFonts w:hint="eastAsia" w:ascii="Times New Roman" w:hAnsi="Times New Roman" w:cs="Times New Roman"/>
                <w:b/>
                <w:color w:val="auto"/>
                <w:szCs w:val="21"/>
                <w:lang w:val="en-US" w:eastAsia="zh-CN"/>
              </w:rPr>
              <w:t>2</w:t>
            </w:r>
            <w:r>
              <w:rPr>
                <w:rFonts w:hint="default" w:ascii="Times New Roman" w:hAnsi="Times New Roman" w:cs="Times New Roman"/>
                <w:b/>
                <w:color w:val="auto"/>
                <w:szCs w:val="21"/>
              </w:rPr>
              <w:t>三线一单符合性分析一览表</w:t>
            </w:r>
          </w:p>
          <w:tbl>
            <w:tblPr>
              <w:tblStyle w:val="5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69"/>
              <w:gridCol w:w="427"/>
              <w:gridCol w:w="269"/>
              <w:gridCol w:w="430"/>
              <w:gridCol w:w="543"/>
              <w:gridCol w:w="317"/>
              <w:gridCol w:w="2395"/>
              <w:gridCol w:w="2670"/>
            </w:tblGrid>
            <w:tr w14:paraId="4EB0F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atLeast"/>
              </w:trPr>
              <w:tc>
                <w:tcPr>
                  <w:tcW w:w="202" w:type="pct"/>
                  <w:vAlign w:val="top"/>
                </w:tcPr>
                <w:p w14:paraId="65C7E6C1">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序号</w:t>
                  </w:r>
                </w:p>
              </w:tc>
              <w:tc>
                <w:tcPr>
                  <w:tcW w:w="310" w:type="pct"/>
                  <w:vAlign w:val="top"/>
                </w:tcPr>
                <w:p w14:paraId="470C339A">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环境管控单元</w:t>
                  </w:r>
                </w:p>
                <w:p w14:paraId="24BAE446">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名称</w:t>
                  </w:r>
                </w:p>
              </w:tc>
              <w:tc>
                <w:tcPr>
                  <w:tcW w:w="202" w:type="pct"/>
                  <w:vAlign w:val="top"/>
                </w:tcPr>
                <w:p w14:paraId="09CDEFFD">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区县</w:t>
                  </w:r>
                </w:p>
              </w:tc>
              <w:tc>
                <w:tcPr>
                  <w:tcW w:w="165" w:type="pct"/>
                  <w:vAlign w:val="top"/>
                </w:tcPr>
                <w:p w14:paraId="17EA955A">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市(区)</w:t>
                  </w:r>
                </w:p>
              </w:tc>
              <w:tc>
                <w:tcPr>
                  <w:tcW w:w="389" w:type="pct"/>
                  <w:vAlign w:val="top"/>
                </w:tcPr>
                <w:p w14:paraId="332E2D71">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单元要素属性</w:t>
                  </w:r>
                </w:p>
              </w:tc>
              <w:tc>
                <w:tcPr>
                  <w:tcW w:w="235" w:type="pct"/>
                  <w:vAlign w:val="top"/>
                </w:tcPr>
                <w:p w14:paraId="1345C8C0">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管控要求分类</w:t>
                  </w:r>
                </w:p>
              </w:tc>
              <w:tc>
                <w:tcPr>
                  <w:tcW w:w="1653" w:type="pct"/>
                  <w:vAlign w:val="top"/>
                </w:tcPr>
                <w:p w14:paraId="69ADB30C">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管控要求</w:t>
                  </w:r>
                </w:p>
              </w:tc>
              <w:tc>
                <w:tcPr>
                  <w:tcW w:w="1840" w:type="pct"/>
                  <w:vAlign w:val="top"/>
                </w:tcPr>
                <w:p w14:paraId="7F3ADE92">
                  <w:pPr>
                    <w:pStyle w:val="21"/>
                    <w:adjustRightInd w:val="0"/>
                    <w:snapToGrid w:val="0"/>
                    <w:spacing w:before="0" w:beforeAutospacing="0" w:after="0" w:afterAutospacing="0"/>
                    <w:jc w:val="center"/>
                    <w:rPr>
                      <w:rFonts w:hint="default"/>
                      <w:color w:val="auto"/>
                      <w:sz w:val="21"/>
                      <w:szCs w:val="21"/>
                      <w:lang w:val="en-US" w:eastAsia="zh-CN"/>
                    </w:rPr>
                  </w:pPr>
                  <w:r>
                    <w:rPr>
                      <w:rFonts w:hint="eastAsia"/>
                      <w:color w:val="auto"/>
                      <w:sz w:val="21"/>
                      <w:szCs w:val="21"/>
                      <w:lang w:val="en-US" w:eastAsia="zh-CN"/>
                    </w:rPr>
                    <w:t>本项目情况</w:t>
                  </w:r>
                </w:p>
              </w:tc>
            </w:tr>
            <w:tr w14:paraId="581B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1" w:hRule="atLeast"/>
              </w:trPr>
              <w:tc>
                <w:tcPr>
                  <w:tcW w:w="202" w:type="pct"/>
                  <w:vMerge w:val="restart"/>
                  <w:vAlign w:val="top"/>
                </w:tcPr>
                <w:p w14:paraId="049B686F">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1</w:t>
                  </w:r>
                </w:p>
              </w:tc>
              <w:tc>
                <w:tcPr>
                  <w:tcW w:w="310" w:type="pct"/>
                  <w:vMerge w:val="restart"/>
                  <w:vAlign w:val="top"/>
                </w:tcPr>
                <w:p w14:paraId="5B93E646">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陕西省汉中市洋县重点管控单元1</w:t>
                  </w:r>
                </w:p>
              </w:tc>
              <w:tc>
                <w:tcPr>
                  <w:tcW w:w="202" w:type="pct"/>
                  <w:vMerge w:val="restart"/>
                  <w:vAlign w:val="top"/>
                </w:tcPr>
                <w:p w14:paraId="3D2C9489">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汉中市</w:t>
                  </w:r>
                </w:p>
              </w:tc>
              <w:tc>
                <w:tcPr>
                  <w:tcW w:w="165" w:type="pct"/>
                  <w:vMerge w:val="restart"/>
                  <w:vAlign w:val="top"/>
                </w:tcPr>
                <w:p w14:paraId="3F121E74">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洋县</w:t>
                  </w:r>
                </w:p>
              </w:tc>
              <w:tc>
                <w:tcPr>
                  <w:tcW w:w="389" w:type="pct"/>
                  <w:vMerge w:val="restart"/>
                  <w:vAlign w:val="top"/>
                </w:tcPr>
                <w:p w14:paraId="218A300B">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大气环境布局敏感重点管控区</w:t>
                  </w:r>
                  <w:r>
                    <w:rPr>
                      <w:rFonts w:hint="eastAsia"/>
                      <w:color w:val="auto"/>
                      <w:sz w:val="21"/>
                      <w:szCs w:val="21"/>
                      <w:lang w:val="en-US" w:eastAsia="zh-CN"/>
                    </w:rPr>
                    <w:t>、</w:t>
                  </w:r>
                  <w:r>
                    <w:rPr>
                      <w:color w:val="auto"/>
                      <w:sz w:val="21"/>
                      <w:szCs w:val="21"/>
                      <w:lang w:val="en-US" w:eastAsia="zh-CN"/>
                    </w:rPr>
                    <w:t>水环境城镇生活污染重点管控区</w:t>
                  </w:r>
                </w:p>
              </w:tc>
              <w:tc>
                <w:tcPr>
                  <w:tcW w:w="235" w:type="pct"/>
                  <w:vAlign w:val="top"/>
                </w:tcPr>
                <w:p w14:paraId="778A22F8">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空间布局约束</w:t>
                  </w:r>
                </w:p>
              </w:tc>
              <w:tc>
                <w:tcPr>
                  <w:tcW w:w="1653" w:type="pct"/>
                  <w:vAlign w:val="top"/>
                </w:tcPr>
                <w:p w14:paraId="1F05C951">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大气环境布局敏感重点管控区：1.严格控制新增《陕西省“两高”项目管理暂行目录》行业项目（民生等项目除外，后续对“两高”范围国家如有新规定的，从其规定）。2.推动重污染企业搬迁入园或依法关闭。水环境城镇生活污染重点管控区：加快建设城中村、老旧城区、建制镇、城乡结合部等生活污水收集管网，填补污水收集管网空白区。新建居住社区应同步规划、建设污水收集管网，推动支线管网和出户管的连接建设。</w:t>
                  </w:r>
                </w:p>
              </w:tc>
              <w:tc>
                <w:tcPr>
                  <w:tcW w:w="1840" w:type="pct"/>
                  <w:vAlign w:val="top"/>
                </w:tcPr>
                <w:p w14:paraId="0DF12AAD">
                  <w:pPr>
                    <w:pStyle w:val="21"/>
                    <w:adjustRightInd w:val="0"/>
                    <w:snapToGrid w:val="0"/>
                    <w:spacing w:before="0" w:beforeAutospacing="0" w:after="0" w:afterAutospacing="0"/>
                    <w:jc w:val="center"/>
                    <w:rPr>
                      <w:rFonts w:hint="default"/>
                      <w:color w:val="auto"/>
                      <w:sz w:val="21"/>
                      <w:szCs w:val="21"/>
                      <w:lang w:val="en-US" w:eastAsia="zh-CN"/>
                    </w:rPr>
                  </w:pPr>
                  <w:r>
                    <w:rPr>
                      <w:rFonts w:hint="eastAsia"/>
                      <w:color w:val="auto"/>
                      <w:sz w:val="21"/>
                      <w:szCs w:val="21"/>
                      <w:lang w:val="en-US" w:eastAsia="zh-CN"/>
                    </w:rPr>
                    <w:t>本项目不属于“两高”行业，为光伏发电项目，属于清洁能源，项目运营期废水主要为光伏板清洗废水，光伏板清洗废水自然蒸发</w:t>
                  </w:r>
                </w:p>
              </w:tc>
            </w:tr>
            <w:tr w14:paraId="1DCA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202" w:type="pct"/>
                  <w:vMerge w:val="continue"/>
                  <w:vAlign w:val="top"/>
                </w:tcPr>
                <w:p w14:paraId="2D1AD2DF">
                  <w:pPr>
                    <w:pStyle w:val="21"/>
                    <w:adjustRightInd w:val="0"/>
                    <w:snapToGrid w:val="0"/>
                    <w:spacing w:before="0" w:beforeAutospacing="0" w:after="0" w:afterAutospacing="0"/>
                    <w:jc w:val="center"/>
                    <w:rPr>
                      <w:color w:val="auto"/>
                      <w:sz w:val="21"/>
                      <w:szCs w:val="21"/>
                      <w:lang w:val="en-US" w:eastAsia="zh-CN"/>
                    </w:rPr>
                  </w:pPr>
                </w:p>
              </w:tc>
              <w:tc>
                <w:tcPr>
                  <w:tcW w:w="310" w:type="pct"/>
                  <w:vMerge w:val="continue"/>
                  <w:vAlign w:val="top"/>
                </w:tcPr>
                <w:p w14:paraId="2952ECF6">
                  <w:pPr>
                    <w:pStyle w:val="21"/>
                    <w:adjustRightInd w:val="0"/>
                    <w:snapToGrid w:val="0"/>
                    <w:spacing w:before="0" w:beforeAutospacing="0" w:after="0" w:afterAutospacing="0"/>
                    <w:jc w:val="center"/>
                    <w:rPr>
                      <w:color w:val="auto"/>
                      <w:sz w:val="21"/>
                      <w:szCs w:val="21"/>
                      <w:lang w:val="en-US" w:eastAsia="zh-CN"/>
                    </w:rPr>
                  </w:pPr>
                </w:p>
              </w:tc>
              <w:tc>
                <w:tcPr>
                  <w:tcW w:w="202" w:type="pct"/>
                  <w:vMerge w:val="continue"/>
                  <w:vAlign w:val="top"/>
                </w:tcPr>
                <w:p w14:paraId="4C4CFA26">
                  <w:pPr>
                    <w:pStyle w:val="21"/>
                    <w:adjustRightInd w:val="0"/>
                    <w:snapToGrid w:val="0"/>
                    <w:spacing w:before="0" w:beforeAutospacing="0" w:after="0" w:afterAutospacing="0"/>
                    <w:jc w:val="center"/>
                    <w:rPr>
                      <w:color w:val="auto"/>
                      <w:sz w:val="21"/>
                      <w:szCs w:val="21"/>
                      <w:lang w:val="en-US" w:eastAsia="zh-CN"/>
                    </w:rPr>
                  </w:pPr>
                </w:p>
              </w:tc>
              <w:tc>
                <w:tcPr>
                  <w:tcW w:w="165" w:type="pct"/>
                  <w:vMerge w:val="continue"/>
                  <w:vAlign w:val="top"/>
                </w:tcPr>
                <w:p w14:paraId="252C67AF">
                  <w:pPr>
                    <w:pStyle w:val="21"/>
                    <w:adjustRightInd w:val="0"/>
                    <w:snapToGrid w:val="0"/>
                    <w:spacing w:before="0" w:beforeAutospacing="0" w:after="0" w:afterAutospacing="0"/>
                    <w:jc w:val="center"/>
                    <w:rPr>
                      <w:color w:val="auto"/>
                      <w:sz w:val="21"/>
                      <w:szCs w:val="21"/>
                      <w:lang w:val="en-US" w:eastAsia="zh-CN"/>
                    </w:rPr>
                  </w:pPr>
                </w:p>
              </w:tc>
              <w:tc>
                <w:tcPr>
                  <w:tcW w:w="389" w:type="pct"/>
                  <w:vMerge w:val="continue"/>
                  <w:vAlign w:val="top"/>
                </w:tcPr>
                <w:p w14:paraId="0C91F1FF">
                  <w:pPr>
                    <w:pStyle w:val="21"/>
                    <w:adjustRightInd w:val="0"/>
                    <w:snapToGrid w:val="0"/>
                    <w:spacing w:before="0" w:beforeAutospacing="0" w:after="0" w:afterAutospacing="0"/>
                    <w:jc w:val="center"/>
                    <w:rPr>
                      <w:color w:val="auto"/>
                      <w:sz w:val="21"/>
                      <w:szCs w:val="21"/>
                      <w:lang w:val="en-US" w:eastAsia="zh-CN"/>
                    </w:rPr>
                  </w:pPr>
                </w:p>
              </w:tc>
              <w:tc>
                <w:tcPr>
                  <w:tcW w:w="235" w:type="pct"/>
                  <w:vAlign w:val="top"/>
                </w:tcPr>
                <w:p w14:paraId="13F1A4A4">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污染物排放管控</w:t>
                  </w:r>
                </w:p>
              </w:tc>
              <w:tc>
                <w:tcPr>
                  <w:tcW w:w="1653" w:type="pct"/>
                  <w:vAlign w:val="top"/>
                </w:tcPr>
                <w:p w14:paraId="742B1997">
                  <w:pPr>
                    <w:pStyle w:val="21"/>
                    <w:adjustRightInd w:val="0"/>
                    <w:snapToGrid w:val="0"/>
                    <w:spacing w:before="0" w:beforeAutospacing="0" w:after="0" w:afterAutospacing="0"/>
                    <w:jc w:val="center"/>
                    <w:rPr>
                      <w:color w:val="auto"/>
                      <w:sz w:val="21"/>
                      <w:szCs w:val="21"/>
                      <w:lang w:val="en-US" w:eastAsia="zh-CN"/>
                    </w:rPr>
                  </w:pPr>
                  <w:r>
                    <w:rPr>
                      <w:color w:val="auto"/>
                      <w:sz w:val="21"/>
                      <w:szCs w:val="21"/>
                      <w:lang w:val="en-US" w:eastAsia="zh-CN"/>
                    </w:rPr>
                    <w:t>大气环境布局敏感重点管控区：1.鼓励将老旧车辆和非道路移动机械替换为清洁能源车辆。推进新能源或清洁能源汽车使用。水环境城镇生活污染重点管控区：1.加强城镇污水收集处理设施建设与提标改造。2.城镇新区管网建设及老旧城区管网升级改造中实行雨污分流，鼓励推进初期雨水收集、处理和资源化利用，建设人工湿地水质净化工程，对处理达标后的尾水进一步净化。3.污水处理厂出水用于绿化、农灌等用途的，合理确定管控要求，确保达到相应污水再生利用标准。</w:t>
                  </w:r>
                </w:p>
              </w:tc>
              <w:tc>
                <w:tcPr>
                  <w:tcW w:w="1840" w:type="pct"/>
                  <w:vAlign w:val="top"/>
                </w:tcPr>
                <w:p w14:paraId="5EBA9782">
                  <w:pPr>
                    <w:pStyle w:val="21"/>
                    <w:numPr>
                      <w:ilvl w:val="0"/>
                      <w:numId w:val="1"/>
                    </w:numPr>
                    <w:adjustRightInd w:val="0"/>
                    <w:snapToGrid w:val="0"/>
                    <w:spacing w:before="0" w:beforeAutospacing="0" w:after="0" w:afterAutospacing="0"/>
                    <w:jc w:val="center"/>
                    <w:rPr>
                      <w:rFonts w:hint="eastAsia"/>
                      <w:color w:val="auto"/>
                      <w:sz w:val="21"/>
                      <w:szCs w:val="21"/>
                      <w:lang w:val="en-US" w:eastAsia="zh-CN"/>
                    </w:rPr>
                  </w:pPr>
                  <w:r>
                    <w:rPr>
                      <w:rFonts w:hint="eastAsia"/>
                      <w:color w:val="auto"/>
                      <w:sz w:val="21"/>
                      <w:szCs w:val="21"/>
                      <w:lang w:val="en-US" w:eastAsia="zh-CN"/>
                    </w:rPr>
                    <w:t>不涉及</w:t>
                  </w:r>
                </w:p>
                <w:p w14:paraId="49D771BF">
                  <w:pPr>
                    <w:pStyle w:val="21"/>
                    <w:numPr>
                      <w:ilvl w:val="0"/>
                      <w:numId w:val="1"/>
                    </w:numPr>
                    <w:adjustRightInd w:val="0"/>
                    <w:snapToGrid w:val="0"/>
                    <w:spacing w:before="0" w:beforeAutospacing="0" w:after="0" w:afterAutospacing="0"/>
                    <w:jc w:val="center"/>
                    <w:rPr>
                      <w:rFonts w:hint="default"/>
                      <w:color w:val="auto"/>
                      <w:sz w:val="21"/>
                      <w:szCs w:val="21"/>
                      <w:lang w:val="en-US" w:eastAsia="zh-CN"/>
                    </w:rPr>
                  </w:pPr>
                  <w:r>
                    <w:rPr>
                      <w:rFonts w:hint="eastAsia"/>
                      <w:color w:val="auto"/>
                      <w:sz w:val="21"/>
                      <w:szCs w:val="21"/>
                      <w:lang w:val="en-US" w:eastAsia="zh-CN"/>
                    </w:rPr>
                    <w:t>项目运营期废水主要为光伏板清洗废水，光伏板清洗废水自然蒸发</w:t>
                  </w:r>
                </w:p>
                <w:p w14:paraId="64614E47">
                  <w:pPr>
                    <w:pStyle w:val="21"/>
                    <w:numPr>
                      <w:ilvl w:val="0"/>
                      <w:numId w:val="1"/>
                    </w:numPr>
                    <w:adjustRightInd w:val="0"/>
                    <w:snapToGrid w:val="0"/>
                    <w:spacing w:before="0" w:beforeAutospacing="0" w:after="0" w:afterAutospacing="0"/>
                    <w:jc w:val="center"/>
                    <w:rPr>
                      <w:rFonts w:hint="default"/>
                      <w:color w:val="auto"/>
                      <w:sz w:val="21"/>
                      <w:szCs w:val="21"/>
                      <w:lang w:val="en-US" w:eastAsia="zh-CN"/>
                    </w:rPr>
                  </w:pPr>
                  <w:r>
                    <w:rPr>
                      <w:rFonts w:hint="eastAsia"/>
                      <w:color w:val="auto"/>
                      <w:sz w:val="21"/>
                      <w:szCs w:val="21"/>
                      <w:lang w:val="en-US" w:eastAsia="zh-CN"/>
                    </w:rPr>
                    <w:t>不涉及</w:t>
                  </w:r>
                </w:p>
              </w:tc>
            </w:tr>
          </w:tbl>
          <w:p w14:paraId="069C196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Cs w:val="21"/>
              </w:rPr>
            </w:pPr>
            <w:r>
              <w:rPr>
                <w:rFonts w:hint="eastAsia" w:ascii="Times New Roman" w:hAnsi="Times New Roman" w:cs="Times New Roman"/>
                <w:b/>
                <w:bCs/>
                <w:color w:val="auto"/>
                <w:sz w:val="24"/>
                <w:lang w:val="en-US" w:eastAsia="zh-CN"/>
              </w:rPr>
              <w:t>6</w:t>
            </w:r>
            <w:r>
              <w:rPr>
                <w:rFonts w:hint="default" w:ascii="Times New Roman" w:hAnsi="Times New Roman" w:cs="Times New Roman"/>
                <w:b/>
                <w:bCs/>
                <w:color w:val="auto"/>
                <w:sz w:val="24"/>
              </w:rPr>
              <w:t>、其他符合性分析</w:t>
            </w:r>
          </w:p>
          <w:p w14:paraId="2A26726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rPr>
            </w:pPr>
            <w:r>
              <w:rPr>
                <w:rFonts w:hint="default" w:ascii="Times New Roman" w:hAnsi="Times New Roman" w:cs="Times New Roman"/>
                <w:b/>
                <w:bCs/>
                <w:color w:val="auto"/>
                <w:szCs w:val="21"/>
              </w:rPr>
              <w:t>表1-3与其他相关内容的符合性分析一览表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0"/>
              <w:gridCol w:w="2995"/>
              <w:gridCol w:w="1779"/>
              <w:gridCol w:w="653"/>
            </w:tblGrid>
            <w:tr w14:paraId="1DA9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blHeader/>
                <w:jc w:val="center"/>
              </w:trPr>
              <w:tc>
                <w:tcPr>
                  <w:tcW w:w="1291" w:type="pct"/>
                  <w:noWrap w:val="0"/>
                  <w:vAlign w:val="center"/>
                </w:tcPr>
                <w:p w14:paraId="6379ACE0">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政策文件</w:t>
                  </w:r>
                </w:p>
              </w:tc>
              <w:tc>
                <w:tcPr>
                  <w:tcW w:w="2046" w:type="pct"/>
                  <w:noWrap w:val="0"/>
                  <w:vAlign w:val="center"/>
                </w:tcPr>
                <w:p w14:paraId="2B4666BE">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相关要求</w:t>
                  </w:r>
                </w:p>
              </w:tc>
              <w:tc>
                <w:tcPr>
                  <w:tcW w:w="1215" w:type="pct"/>
                  <w:noWrap w:val="0"/>
                  <w:vAlign w:val="center"/>
                </w:tcPr>
                <w:p w14:paraId="3EF133A7">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本项目情况</w:t>
                  </w:r>
                </w:p>
              </w:tc>
              <w:tc>
                <w:tcPr>
                  <w:tcW w:w="446" w:type="pct"/>
                  <w:noWrap w:val="0"/>
                  <w:vAlign w:val="center"/>
                </w:tcPr>
                <w:p w14:paraId="1D854CD8">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符合性</w:t>
                  </w:r>
                </w:p>
              </w:tc>
            </w:tr>
            <w:tr w14:paraId="1D84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blHeader/>
                <w:jc w:val="center"/>
              </w:trPr>
              <w:tc>
                <w:tcPr>
                  <w:tcW w:w="1291" w:type="pct"/>
                  <w:noWrap w:val="0"/>
                  <w:vAlign w:val="top"/>
                </w:tcPr>
                <w:p w14:paraId="746BE902">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《陕西省国民经济和社会发展第十四个五年规划和二〇三五年远景目标纲要》（陕政发〔2021〕3号）</w:t>
                  </w:r>
                </w:p>
              </w:tc>
              <w:tc>
                <w:tcPr>
                  <w:tcW w:w="2046" w:type="pct"/>
                  <w:noWrap w:val="0"/>
                  <w:vAlign w:val="top"/>
                </w:tcPr>
                <w:p w14:paraId="37B51E52">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建设清洁能源保障供应基地。大力发展风电和光伏，有序开发建设水电和生物质能，扩大地热能综合利用，提高清洁能源占比。</w:t>
                  </w:r>
                </w:p>
              </w:tc>
              <w:tc>
                <w:tcPr>
                  <w:tcW w:w="1215" w:type="pct"/>
                  <w:noWrap w:val="0"/>
                  <w:vAlign w:val="top"/>
                </w:tcPr>
                <w:p w14:paraId="1CAADC5B">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本项目为太阳能光伏发电项目，项目</w:t>
                  </w:r>
                </w:p>
                <w:p w14:paraId="41F31FCA">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的建设有助于提高清洁能源占比。</w:t>
                  </w:r>
                </w:p>
              </w:tc>
              <w:tc>
                <w:tcPr>
                  <w:tcW w:w="446" w:type="pct"/>
                  <w:noWrap w:val="0"/>
                  <w:vAlign w:val="top"/>
                </w:tcPr>
                <w:p w14:paraId="3EBC75FD">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4CA72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blHeader/>
                <w:jc w:val="center"/>
              </w:trPr>
              <w:tc>
                <w:tcPr>
                  <w:tcW w:w="1291" w:type="pct"/>
                  <w:noWrap w:val="0"/>
                  <w:vAlign w:val="center"/>
                </w:tcPr>
                <w:p w14:paraId="0A7D6847">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汉中</w:t>
                  </w:r>
                  <w:bookmarkStart w:id="4" w:name="_GoBack"/>
                  <w:bookmarkEnd w:id="4"/>
                  <w:r>
                    <w:rPr>
                      <w:rFonts w:hint="default" w:ascii="Times New Roman" w:hAnsi="Times New Roman" w:cs="Times New Roman"/>
                      <w:color w:val="auto"/>
                      <w:sz w:val="21"/>
                      <w:szCs w:val="21"/>
                    </w:rPr>
                    <w:t>市国民经济和社会发展第十四个五年规划和二〇三五年远景目标纲要</w:t>
                  </w:r>
                </w:p>
              </w:tc>
              <w:tc>
                <w:tcPr>
                  <w:tcW w:w="2046" w:type="pct"/>
                  <w:noWrap w:val="0"/>
                  <w:vAlign w:val="center"/>
                </w:tcPr>
                <w:p w14:paraId="0B546714">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清洁能源保障供应基地。加快电源结构调整和空间布局优化，统筹城市和工业园区供热、煤矸石煤泥资源综合利用、先进载能工业协同发展，推进电源布局战略北移，严格控制关中煤电规模，加大煤电淘汰关停和升级改造。大力发展风电和光伏，有序开发建设水电和生物质能，扩大地热能源综合利用，提高清洁能源占比。</w:t>
                  </w:r>
                </w:p>
              </w:tc>
              <w:tc>
                <w:tcPr>
                  <w:tcW w:w="1215" w:type="pct"/>
                  <w:noWrap w:val="0"/>
                  <w:vAlign w:val="center"/>
                </w:tcPr>
                <w:p w14:paraId="116DB0E2">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本项目属于太阳能开发利用项目，符合《汉中市国民经济和社会发展第十四个五年规划和二〇三五年远景目标纲要》相关要求</w:t>
                  </w:r>
                </w:p>
              </w:tc>
              <w:tc>
                <w:tcPr>
                  <w:tcW w:w="446" w:type="pct"/>
                  <w:noWrap w:val="0"/>
                  <w:vAlign w:val="center"/>
                </w:tcPr>
                <w:p w14:paraId="3AB6C876">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0D0E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blHeader/>
                <w:jc w:val="center"/>
              </w:trPr>
              <w:tc>
                <w:tcPr>
                  <w:tcW w:w="1291" w:type="pct"/>
                  <w:noWrap w:val="0"/>
                  <w:vAlign w:val="center"/>
                </w:tcPr>
                <w:p w14:paraId="12C920DB">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《洋县国民经济和社会发展第十四个五年规划和二〇三五年远景目标</w:t>
                  </w:r>
                </w:p>
                <w:p w14:paraId="3E75FEBE">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en-US"/>
                    </w:rPr>
                  </w:pPr>
                  <w:r>
                    <w:rPr>
                      <w:rFonts w:hint="default" w:ascii="Times New Roman" w:hAnsi="Times New Roman" w:cs="Times New Roman"/>
                      <w:color w:val="auto"/>
                      <w:sz w:val="21"/>
                      <w:szCs w:val="21"/>
                    </w:rPr>
                    <w:t>纲要》</w:t>
                  </w:r>
                </w:p>
              </w:tc>
              <w:tc>
                <w:tcPr>
                  <w:tcW w:w="2046" w:type="pct"/>
                  <w:noWrap w:val="0"/>
                  <w:vAlign w:val="center"/>
                </w:tcPr>
                <w:p w14:paraId="447E3F6D">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en-US"/>
                    </w:rPr>
                  </w:pPr>
                  <w:r>
                    <w:rPr>
                      <w:rFonts w:hint="default" w:ascii="Times New Roman" w:hAnsi="Times New Roman" w:cs="Times New Roman"/>
                      <w:color w:val="auto"/>
                      <w:sz w:val="21"/>
                      <w:szCs w:val="21"/>
                    </w:rPr>
                    <w:t>加强能源设施建设。优化对水力发电、太阳能发电的基础设施布局，减少环境污染，构建环保高效的电力资源供应体系</w:t>
                  </w:r>
                </w:p>
              </w:tc>
              <w:tc>
                <w:tcPr>
                  <w:tcW w:w="1215" w:type="pct"/>
                  <w:noWrap w:val="0"/>
                  <w:vAlign w:val="center"/>
                </w:tcPr>
                <w:p w14:paraId="54BB804A">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en-US"/>
                    </w:rPr>
                  </w:pPr>
                  <w:r>
                    <w:rPr>
                      <w:rFonts w:hint="default" w:ascii="Times New Roman" w:hAnsi="Times New Roman" w:cs="Times New Roman"/>
                      <w:color w:val="auto"/>
                      <w:sz w:val="21"/>
                      <w:szCs w:val="21"/>
                    </w:rPr>
                    <w:t>本项目</w:t>
                  </w:r>
                  <w:r>
                    <w:rPr>
                      <w:rFonts w:hint="eastAsia" w:ascii="Times New Roman" w:hAnsi="Times New Roman" w:cs="Times New Roman"/>
                      <w:color w:val="auto"/>
                      <w:sz w:val="21"/>
                      <w:szCs w:val="21"/>
                      <w:lang w:val="en-US" w:eastAsia="zh-CN"/>
                    </w:rPr>
                    <w:t>为光伏发电</w:t>
                  </w:r>
                  <w:r>
                    <w:rPr>
                      <w:rFonts w:hint="default" w:ascii="Times New Roman" w:hAnsi="Times New Roman" w:cs="Times New Roman"/>
                      <w:color w:val="auto"/>
                      <w:sz w:val="21"/>
                      <w:szCs w:val="21"/>
                    </w:rPr>
                    <w:t>类项目，项目内容为太阳能发电，有利于构建环保高效的电力资源供应体系。</w:t>
                  </w:r>
                </w:p>
              </w:tc>
              <w:tc>
                <w:tcPr>
                  <w:tcW w:w="446" w:type="pct"/>
                  <w:noWrap w:val="0"/>
                  <w:vAlign w:val="center"/>
                </w:tcPr>
                <w:p w14:paraId="22ECD84A">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en-US"/>
                    </w:rPr>
                  </w:pPr>
                  <w:r>
                    <w:rPr>
                      <w:rFonts w:hint="default" w:ascii="Times New Roman" w:hAnsi="Times New Roman" w:cs="Times New Roman"/>
                      <w:color w:val="auto"/>
                      <w:sz w:val="21"/>
                      <w:szCs w:val="21"/>
                    </w:rPr>
                    <w:t>符合</w:t>
                  </w:r>
                </w:p>
              </w:tc>
            </w:tr>
            <w:tr w14:paraId="45F9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blHeader/>
                <w:jc w:val="center"/>
              </w:trPr>
              <w:tc>
                <w:tcPr>
                  <w:tcW w:w="1291" w:type="pct"/>
                  <w:noWrap w:val="0"/>
                  <w:vAlign w:val="center"/>
                </w:tcPr>
                <w:p w14:paraId="180F30DD">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《陕西省“十四五”生态环境保护规划》</w:t>
                  </w:r>
                </w:p>
              </w:tc>
              <w:tc>
                <w:tcPr>
                  <w:tcW w:w="2046" w:type="pct"/>
                  <w:noWrap w:val="0"/>
                  <w:vAlign w:val="center"/>
                </w:tcPr>
                <w:p w14:paraId="28F4638C">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速能源体系清洁低碳发展进程，壮大风电、太阳能、氢能、生物质能、地热能等可再生能源产业，继续开发陕北长城沿线风电资源，支持陕北、关中地区光伏基地建设、有序发展水电项目，建成旬阳水电站、黄金峡水电站和镇安抽水蓄能电站，推动非化石能源成为能源消费增量的主体。</w:t>
                  </w:r>
                </w:p>
              </w:tc>
              <w:tc>
                <w:tcPr>
                  <w:tcW w:w="1215" w:type="pct"/>
                  <w:noWrap w:val="0"/>
                  <w:vAlign w:val="center"/>
                </w:tcPr>
                <w:p w14:paraId="283888E1">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本项目属于陕西省“十四五”生态环境保护规划中鼓励发展的太阳能可再生能源产业，项目建设加速了能源体系清洁低碳发展进程</w:t>
                  </w:r>
                </w:p>
              </w:tc>
              <w:tc>
                <w:tcPr>
                  <w:tcW w:w="446" w:type="pct"/>
                  <w:noWrap w:val="0"/>
                  <w:vAlign w:val="center"/>
                </w:tcPr>
                <w:p w14:paraId="7E9FE796">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52F8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blHeader/>
                <w:jc w:val="center"/>
              </w:trPr>
              <w:tc>
                <w:tcPr>
                  <w:tcW w:w="1291" w:type="pct"/>
                  <w:noWrap w:val="0"/>
                  <w:vAlign w:val="center"/>
                </w:tcPr>
                <w:p w14:paraId="16D19351">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汉中市</w:t>
                  </w:r>
                  <w:r>
                    <w:rPr>
                      <w:rFonts w:hint="default" w:ascii="Times New Roman" w:hAnsi="Times New Roman" w:cs="Times New Roman"/>
                      <w:color w:val="auto"/>
                      <w:sz w:val="21"/>
                      <w:szCs w:val="21"/>
                    </w:rPr>
                    <w:t>“十四五”生态环境保护规划》</w:t>
                  </w:r>
                </w:p>
              </w:tc>
              <w:tc>
                <w:tcPr>
                  <w:tcW w:w="2046" w:type="pct"/>
                  <w:noWrap w:val="0"/>
                  <w:vAlign w:val="center"/>
                </w:tcPr>
                <w:p w14:paraId="1249A830">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大力推进清洁能源替代工程。以汉台区、南郑区为重点，逐步推进</w:t>
                  </w:r>
                  <w:r>
                    <w:rPr>
                      <w:rFonts w:hint="eastAsia" w:ascii="Times New Roman" w:hAnsi="Times New Roman" w:cs="Times New Roman"/>
                      <w:color w:val="auto"/>
                      <w:sz w:val="21"/>
                      <w:szCs w:val="21"/>
                      <w:lang w:val="en-US" w:eastAsia="zh-CN"/>
                    </w:rPr>
                    <w:t>平川县区</w:t>
                  </w:r>
                  <w:r>
                    <w:rPr>
                      <w:rFonts w:hint="default" w:ascii="Times New Roman" w:hAnsi="Times New Roman" w:cs="Times New Roman"/>
                      <w:color w:val="auto"/>
                      <w:sz w:val="21"/>
                      <w:szCs w:val="21"/>
                      <w:lang w:eastAsia="zh-CN"/>
                    </w:rPr>
                    <w:t>区开展散煤连片治理和清洁能源替代工作。在高污染燃煤禁燃区内，逐步实现“煤改气”“煤改电”全覆盖。推进能源体系清洁低碳发展，壮大太阳能、氢能、生物质能、抽水蓄能等可再生能源产业，推动非化石能源成为能源消费增量的主体。加大天然气保供力度，落实取暖用电优惠政策。强化散煤综合治理，对高污染燃料禁燃区内煤炭销售网点坚持“发现一家、取缔一家”；采取定点值守和机动巡查等方式，依法严厉打击“禁燃区”流动售煤违法行为。</w:t>
                  </w:r>
                </w:p>
              </w:tc>
              <w:tc>
                <w:tcPr>
                  <w:tcW w:w="1215" w:type="pct"/>
                  <w:noWrap w:val="0"/>
                  <w:vAlign w:val="center"/>
                </w:tcPr>
                <w:p w14:paraId="00E14D8D">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本项目属于</w:t>
                  </w:r>
                  <w:r>
                    <w:rPr>
                      <w:rFonts w:hint="default" w:ascii="Times New Roman" w:hAnsi="Times New Roman" w:cs="Times New Roman"/>
                      <w:color w:val="auto"/>
                      <w:sz w:val="21"/>
                      <w:szCs w:val="21"/>
                      <w:lang w:eastAsia="zh-CN"/>
                    </w:rPr>
                    <w:t>汉中市</w:t>
                  </w:r>
                  <w:r>
                    <w:rPr>
                      <w:rFonts w:hint="default" w:ascii="Times New Roman" w:hAnsi="Times New Roman" w:cs="Times New Roman"/>
                      <w:color w:val="auto"/>
                      <w:sz w:val="21"/>
                      <w:szCs w:val="21"/>
                    </w:rPr>
                    <w:t>“十四五”生态环境保护规划中太阳能可再生能源产业，项目建设加速</w:t>
                  </w:r>
                  <w:r>
                    <w:rPr>
                      <w:rFonts w:hint="default" w:ascii="Times New Roman" w:hAnsi="Times New Roman" w:cs="Times New Roman"/>
                      <w:color w:val="auto"/>
                      <w:sz w:val="21"/>
                      <w:szCs w:val="21"/>
                      <w:lang w:eastAsia="zh-CN"/>
                    </w:rPr>
                    <w:t>推进了清洁能源替代工程</w:t>
                  </w:r>
                </w:p>
              </w:tc>
              <w:tc>
                <w:tcPr>
                  <w:tcW w:w="446" w:type="pct"/>
                  <w:noWrap w:val="0"/>
                  <w:vAlign w:val="center"/>
                </w:tcPr>
                <w:p w14:paraId="69F80228">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41E9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jc w:val="center"/>
              </w:trPr>
              <w:tc>
                <w:tcPr>
                  <w:tcW w:w="1291" w:type="pct"/>
                  <w:noWrap w:val="0"/>
                  <w:vAlign w:val="top"/>
                </w:tcPr>
                <w:p w14:paraId="1727B352">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《陕西省发展和改革委员会关于进一步加强可再生能源项目建设管理的通知》（陕发改能新能源〔2021〕921号）</w:t>
                  </w:r>
                </w:p>
              </w:tc>
              <w:tc>
                <w:tcPr>
                  <w:tcW w:w="2046" w:type="pct"/>
                  <w:noWrap w:val="0"/>
                  <w:vAlign w:val="top"/>
                </w:tcPr>
                <w:p w14:paraId="304C5878">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促进项目开发和生态协调发展。各地要积极探索生态立体利用发展可再生能源，在保护生态的前提下，结合土地综合利用，充分发挥光伏发电与沙漠治理、农林牧渔业发展协同优势，依托种植、养殖、生态修复等，因地制宜探索“光伏+”综合利用商业模式，推动林光互补、农光互补、促进光伏与多种产业融合发展。</w:t>
                  </w:r>
                </w:p>
              </w:tc>
              <w:tc>
                <w:tcPr>
                  <w:tcW w:w="1215" w:type="pct"/>
                  <w:noWrap w:val="0"/>
                  <w:vAlign w:val="top"/>
                </w:tcPr>
                <w:p w14:paraId="17D7C50E">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本项目属于光伏发电项目。</w:t>
                  </w:r>
                </w:p>
              </w:tc>
              <w:tc>
                <w:tcPr>
                  <w:tcW w:w="446" w:type="pct"/>
                  <w:noWrap w:val="0"/>
                  <w:vAlign w:val="top"/>
                </w:tcPr>
                <w:p w14:paraId="1E563B00">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符合</w:t>
                  </w:r>
                </w:p>
              </w:tc>
            </w:tr>
            <w:tr w14:paraId="62B02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jc w:val="center"/>
              </w:trPr>
              <w:tc>
                <w:tcPr>
                  <w:tcW w:w="1291" w:type="pct"/>
                  <w:vMerge w:val="restart"/>
                  <w:noWrap w:val="0"/>
                  <w:vAlign w:val="top"/>
                </w:tcPr>
                <w:p w14:paraId="737BB80E">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《关于规范光伏</w:t>
                  </w:r>
                </w:p>
                <w:p w14:paraId="5D0B0598">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复合项目用地管</w:t>
                  </w:r>
                </w:p>
                <w:p w14:paraId="0617A1B5">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理的通知》（陕发改新能源〔2020〕933号）</w:t>
                  </w:r>
                </w:p>
              </w:tc>
              <w:tc>
                <w:tcPr>
                  <w:tcW w:w="2046" w:type="pct"/>
                  <w:noWrap w:val="0"/>
                  <w:vAlign w:val="top"/>
                </w:tcPr>
                <w:p w14:paraId="408B510A">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禁止以任何方式占用永久基本农田，严禁在国家相关法律法规和规划明确禁止的区域开发建</w:t>
                  </w:r>
                </w:p>
                <w:p w14:paraId="4AB3DC92">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设光伏项目。</w:t>
                  </w:r>
                </w:p>
              </w:tc>
              <w:tc>
                <w:tcPr>
                  <w:tcW w:w="1215" w:type="pct"/>
                  <w:noWrap w:val="0"/>
                  <w:vAlign w:val="top"/>
                </w:tcPr>
                <w:p w14:paraId="4B09FF77">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本项目光伏</w:t>
                  </w:r>
                  <w:r>
                    <w:rPr>
                      <w:rFonts w:hint="eastAsia" w:ascii="Times New Roman" w:hAnsi="Times New Roman" w:cs="Times New Roman"/>
                      <w:color w:val="auto"/>
                      <w:sz w:val="21"/>
                      <w:szCs w:val="21"/>
                      <w:lang w:val="en-US" w:eastAsia="zh-CN"/>
                    </w:rPr>
                    <w:t>区</w:t>
                  </w:r>
                  <w:r>
                    <w:rPr>
                      <w:rFonts w:hint="default" w:ascii="Times New Roman" w:hAnsi="Times New Roman" w:cs="Times New Roman"/>
                      <w:color w:val="auto"/>
                      <w:sz w:val="21"/>
                      <w:szCs w:val="21"/>
                    </w:rPr>
                    <w:t>占地类型为园地和</w:t>
                  </w:r>
                  <w:r>
                    <w:rPr>
                      <w:rFonts w:hint="eastAsia" w:ascii="Times New Roman" w:hAnsi="Times New Roman" w:cs="Times New Roman"/>
                      <w:color w:val="auto"/>
                      <w:sz w:val="21"/>
                      <w:szCs w:val="21"/>
                      <w:lang w:val="en-US" w:eastAsia="zh-CN"/>
                    </w:rPr>
                    <w:t>其他园地</w:t>
                  </w:r>
                  <w:r>
                    <w:rPr>
                      <w:rFonts w:hint="default" w:ascii="Times New Roman" w:hAnsi="Times New Roman" w:cs="Times New Roman"/>
                      <w:color w:val="auto"/>
                      <w:sz w:val="21"/>
                      <w:szCs w:val="21"/>
                    </w:rPr>
                    <w:t>，不占用耕地，项目用地范围内不涉及永久基本农田及生态保</w:t>
                  </w:r>
                </w:p>
                <w:p w14:paraId="05050BAA">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护红线。项目选址也不涉及国家禁止建设区域。</w:t>
                  </w:r>
                </w:p>
              </w:tc>
              <w:tc>
                <w:tcPr>
                  <w:tcW w:w="446" w:type="pct"/>
                  <w:noWrap w:val="0"/>
                  <w:vAlign w:val="top"/>
                </w:tcPr>
                <w:p w14:paraId="634AFB78">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4AA6B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jc w:val="center"/>
              </w:trPr>
              <w:tc>
                <w:tcPr>
                  <w:tcW w:w="1291" w:type="pct"/>
                  <w:vMerge w:val="continue"/>
                  <w:noWrap w:val="0"/>
                  <w:vAlign w:val="top"/>
                </w:tcPr>
                <w:p w14:paraId="17E3FC0C">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c>
                <w:tcPr>
                  <w:tcW w:w="2046" w:type="pct"/>
                  <w:noWrap w:val="0"/>
                  <w:vAlign w:val="top"/>
                </w:tcPr>
                <w:p w14:paraId="6AAD3EBC">
                  <w:pPr>
                    <w:pStyle w:val="34"/>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各类自然保护区、森林公园（含同类型国家公园）、濒危物种栖息地、已享受天然林资源保护工程相关资金的林地，为禁止光伏发电建设区域。其他生态区位重要、生态脆弱、地形破碎区域，为限制光伏建设区域。光伏电站的组件阵列禁止使用有林地、疏林地、未成林造林地、采伐迹地、火烧迹地，以及常年降雨量400毫米以下区域覆盖度高于30%的灌木林地和常年降雨量400毫米以上区域覆盖度高于50%的灌木林地。</w:t>
                  </w:r>
                </w:p>
              </w:tc>
              <w:tc>
                <w:tcPr>
                  <w:tcW w:w="1215" w:type="pct"/>
                  <w:noWrap w:val="0"/>
                  <w:vAlign w:val="top"/>
                </w:tcPr>
                <w:p w14:paraId="611933C8">
                  <w:pPr>
                    <w:pStyle w:val="34"/>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项目占地类型为园地和</w:t>
                  </w:r>
                  <w:r>
                    <w:rPr>
                      <w:rFonts w:hint="eastAsia" w:ascii="Times New Roman" w:hAnsi="Times New Roman" w:cs="Times New Roman"/>
                      <w:color w:val="auto"/>
                      <w:sz w:val="21"/>
                      <w:szCs w:val="21"/>
                      <w:lang w:val="en-US" w:eastAsia="zh-CN"/>
                    </w:rPr>
                    <w:t>其他园地</w:t>
                  </w:r>
                  <w:r>
                    <w:rPr>
                      <w:rFonts w:hint="default" w:ascii="Times New Roman" w:hAnsi="Times New Roman" w:cs="Times New Roman"/>
                      <w:color w:val="auto"/>
                      <w:sz w:val="21"/>
                      <w:szCs w:val="21"/>
                    </w:rPr>
                    <w:t>，不涉及各类自然保护区、森林公园、濒危物种栖息地、已享受天然林资源保护工程相关资金的林地以及有林地、疏林地、未成林造林地、采伐迹地、火烧迹地，以及常年降雨量400毫米以下区域覆盖度高于30%的灌木林地和常年降雨量400毫米以上区域覆盖度高于50%的灌木林地。</w:t>
                  </w:r>
                </w:p>
              </w:tc>
              <w:tc>
                <w:tcPr>
                  <w:tcW w:w="446" w:type="pct"/>
                  <w:noWrap w:val="0"/>
                  <w:vAlign w:val="top"/>
                </w:tcPr>
                <w:p w14:paraId="5E1B4408">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1D199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jc w:val="center"/>
              </w:trPr>
              <w:tc>
                <w:tcPr>
                  <w:tcW w:w="1291" w:type="pct"/>
                  <w:vMerge w:val="continue"/>
                  <w:noWrap w:val="0"/>
                  <w:vAlign w:val="top"/>
                </w:tcPr>
                <w:p w14:paraId="48DD7675">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c>
                <w:tcPr>
                  <w:tcW w:w="2046" w:type="pct"/>
                  <w:noWrap w:val="0"/>
                  <w:vAlign w:val="top"/>
                </w:tcPr>
                <w:p w14:paraId="7CCF50A6">
                  <w:pPr>
                    <w:pStyle w:val="34"/>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光伏发电站项目用地中按农用地、未利用地管理的，除桩基础用地外，不得硬化地面、破坏耕作层，否则，应当依法办理建设用地审批手续，未办理审批手续的，按违法用地查处</w:t>
                  </w:r>
                </w:p>
              </w:tc>
              <w:tc>
                <w:tcPr>
                  <w:tcW w:w="1215" w:type="pct"/>
                  <w:noWrap w:val="0"/>
                  <w:vAlign w:val="top"/>
                </w:tcPr>
                <w:p w14:paraId="37AA9144">
                  <w:pPr>
                    <w:pStyle w:val="34"/>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项目为光伏发电项目，除箱式变压器基础用地外，项目不进行硬化地面</w:t>
                  </w:r>
                </w:p>
              </w:tc>
              <w:tc>
                <w:tcPr>
                  <w:tcW w:w="446" w:type="pct"/>
                  <w:noWrap w:val="0"/>
                  <w:vAlign w:val="top"/>
                </w:tcPr>
                <w:p w14:paraId="0BF387F6">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74FDF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jc w:val="center"/>
              </w:trPr>
              <w:tc>
                <w:tcPr>
                  <w:tcW w:w="1291" w:type="pct"/>
                  <w:vMerge w:val="continue"/>
                  <w:noWrap w:val="0"/>
                  <w:vAlign w:val="top"/>
                </w:tcPr>
                <w:p w14:paraId="0B5187A9">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c>
                <w:tcPr>
                  <w:tcW w:w="2046" w:type="pct"/>
                  <w:noWrap w:val="0"/>
                  <w:vAlign w:val="top"/>
                </w:tcPr>
                <w:p w14:paraId="5BFCD074">
                  <w:pPr>
                    <w:pStyle w:val="34"/>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固定安装方式：组件最低点距地不小于2.5米，建议基础采用单排桩形式，桩基础东西向间距不小于4.5米，桩基础南北向间距不小于8米。</w:t>
                  </w:r>
                </w:p>
              </w:tc>
              <w:tc>
                <w:tcPr>
                  <w:tcW w:w="1215" w:type="pct"/>
                  <w:noWrap w:val="0"/>
                  <w:vAlign w:val="top"/>
                </w:tcPr>
                <w:p w14:paraId="7F682364">
                  <w:pPr>
                    <w:pStyle w:val="34"/>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本项目光伏组件组串南北向中心桩间距不小于8m，光伏组串东西向桩间距不小于4.5m，光伏支架最低点高于地面2.5m</w:t>
                  </w:r>
                </w:p>
              </w:tc>
              <w:tc>
                <w:tcPr>
                  <w:tcW w:w="446" w:type="pct"/>
                  <w:noWrap w:val="0"/>
                  <w:vAlign w:val="top"/>
                </w:tcPr>
                <w:p w14:paraId="77D3517C">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4A5A9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jc w:val="center"/>
              </w:trPr>
              <w:tc>
                <w:tcPr>
                  <w:tcW w:w="1291" w:type="pct"/>
                  <w:vMerge w:val="restart"/>
                  <w:noWrap w:val="0"/>
                  <w:vAlign w:val="top"/>
                </w:tcPr>
                <w:p w14:paraId="06E57DD8">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《陕西省自然资源厅陕西省发展和改革委员会陕西省农业农村厅陕西省林业局关于加强用地服务保障支持光伏发电产业发展的通知》（陕自</w:t>
                  </w:r>
                </w:p>
                <w:p w14:paraId="0D1E3682">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然资发〔2023〕</w:t>
                  </w:r>
                </w:p>
                <w:p w14:paraId="6A33A576">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40号）</w:t>
                  </w:r>
                </w:p>
              </w:tc>
              <w:tc>
                <w:tcPr>
                  <w:tcW w:w="2046" w:type="pct"/>
                  <w:noWrap w:val="0"/>
                  <w:vAlign w:val="top"/>
                </w:tcPr>
                <w:p w14:paraId="5B8513BF">
                  <w:pPr>
                    <w:pStyle w:val="34"/>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一、积极引导项目合理布局</w:t>
                  </w:r>
                </w:p>
                <w:p w14:paraId="07C38AFB">
                  <w:pPr>
                    <w:pStyle w:val="34"/>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严格准入管理。新建、扩建光伏发电项目，一律不得占用永久基本农田、高标准农田、基本草原、Ⅰ级保护林地、河道、湖泊、水库。项目选址应当避让耕地、生态保护红线、历史文化保护线、特殊自然景观价值和文化标识区域、天然林地、国家沙化土地封禁保护区等；涉及自然保护地的，还应当符合自然保护地相关法规和政策要求。</w:t>
                  </w:r>
                </w:p>
                <w:p w14:paraId="1BA30514">
                  <w:pPr>
                    <w:pStyle w:val="34"/>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（二）鼓励使用未利用地和存量建设用地。</w:t>
                  </w:r>
                </w:p>
              </w:tc>
              <w:tc>
                <w:tcPr>
                  <w:tcW w:w="1215" w:type="pct"/>
                  <w:noWrap w:val="0"/>
                  <w:vAlign w:val="top"/>
                </w:tcPr>
                <w:p w14:paraId="20859398">
                  <w:pPr>
                    <w:pStyle w:val="34"/>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项目占地类型为园地和</w:t>
                  </w:r>
                  <w:r>
                    <w:rPr>
                      <w:rFonts w:hint="eastAsia" w:ascii="Times New Roman" w:hAnsi="Times New Roman" w:cs="Times New Roman"/>
                      <w:color w:val="auto"/>
                      <w:sz w:val="21"/>
                      <w:szCs w:val="21"/>
                      <w:lang w:val="en-US" w:eastAsia="zh-CN"/>
                    </w:rPr>
                    <w:t>其他园地</w:t>
                  </w:r>
                  <w:r>
                    <w:rPr>
                      <w:rFonts w:hint="default" w:ascii="Times New Roman" w:hAnsi="Times New Roman" w:cs="Times New Roman"/>
                      <w:color w:val="auto"/>
                      <w:sz w:val="21"/>
                      <w:szCs w:val="21"/>
                    </w:rPr>
                    <w:t>，不涉及永久基本农田、高标准农田、基本草原、Ⅰ级保护林地、河道、湖泊、水库。项目选址不涉及耕地、生态保护红线、历史文化保护线、特殊自然景观价值和文化标识区域、天然林地、国家沙化土地封禁保护区。</w:t>
                  </w:r>
                </w:p>
              </w:tc>
              <w:tc>
                <w:tcPr>
                  <w:tcW w:w="446" w:type="pct"/>
                  <w:noWrap w:val="0"/>
                  <w:vAlign w:val="top"/>
                </w:tcPr>
                <w:p w14:paraId="24F66ED8">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313BC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jc w:val="center"/>
              </w:trPr>
              <w:tc>
                <w:tcPr>
                  <w:tcW w:w="1291" w:type="pct"/>
                  <w:vMerge w:val="continue"/>
                  <w:noWrap w:val="0"/>
                  <w:vAlign w:val="top"/>
                </w:tcPr>
                <w:p w14:paraId="2B1E8737">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c>
                <w:tcPr>
                  <w:tcW w:w="2046" w:type="pct"/>
                  <w:noWrap w:val="0"/>
                  <w:vAlign w:val="top"/>
                </w:tcPr>
                <w:p w14:paraId="391034A1">
                  <w:pPr>
                    <w:pStyle w:val="34"/>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二、实行项目用地分类管理</w:t>
                  </w:r>
                </w:p>
                <w:p w14:paraId="3F3AF5D6">
                  <w:pPr>
                    <w:pStyle w:val="34"/>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光伏方阵用地。光伏方阵用地不得占用耕地，应尽量少占除耕地以外的其他农用地，市县政府应按照节约集约原则，结合当地土地资源禀赋和耕地保护任务，组织发展改革、自然资源、农业农村、林业等部门开展科学选址，合理控制用地范围，尽量避免对生态和农业生产造成影响。</w:t>
                  </w:r>
                </w:p>
              </w:tc>
              <w:tc>
                <w:tcPr>
                  <w:tcW w:w="1215" w:type="pct"/>
                  <w:noWrap w:val="0"/>
                  <w:vAlign w:val="top"/>
                </w:tcPr>
                <w:p w14:paraId="4036BBF4">
                  <w:pPr>
                    <w:pStyle w:val="34"/>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本项目光伏场区选址占地类型为园地和</w:t>
                  </w:r>
                  <w:r>
                    <w:rPr>
                      <w:rFonts w:hint="eastAsia" w:ascii="Times New Roman" w:hAnsi="Times New Roman" w:cs="Times New Roman"/>
                      <w:color w:val="auto"/>
                      <w:sz w:val="21"/>
                      <w:szCs w:val="21"/>
                      <w:lang w:val="en-US" w:eastAsia="zh-CN"/>
                    </w:rPr>
                    <w:t>其他园地</w:t>
                  </w:r>
                  <w:r>
                    <w:rPr>
                      <w:rFonts w:hint="default" w:ascii="Times New Roman" w:hAnsi="Times New Roman" w:cs="Times New Roman"/>
                      <w:color w:val="auto"/>
                      <w:sz w:val="21"/>
                      <w:szCs w:val="21"/>
                    </w:rPr>
                    <w:t>，不占用耕地。</w:t>
                  </w:r>
                </w:p>
              </w:tc>
              <w:tc>
                <w:tcPr>
                  <w:tcW w:w="446" w:type="pct"/>
                  <w:noWrap w:val="0"/>
                  <w:vAlign w:val="top"/>
                </w:tcPr>
                <w:p w14:paraId="727C230F">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1620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jc w:val="center"/>
              </w:trPr>
              <w:tc>
                <w:tcPr>
                  <w:tcW w:w="1291" w:type="pct"/>
                  <w:vMerge w:val="continue"/>
                  <w:noWrap w:val="0"/>
                  <w:vAlign w:val="top"/>
                </w:tcPr>
                <w:p w14:paraId="16A874CC">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c>
                <w:tcPr>
                  <w:tcW w:w="2046" w:type="pct"/>
                  <w:noWrap w:val="0"/>
                  <w:vAlign w:val="top"/>
                </w:tcPr>
                <w:p w14:paraId="783B8415">
                  <w:pPr>
                    <w:pStyle w:val="34"/>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光伏方阵用地涉及使用园地的，市县政府应组织发改、农业农村、自然资源部门对复合利用方案进行审核，对种植产量进行评估验收，光伏板铺设覆盖率应满足农作物生长光照需求与空间需求，或采用补光方式满足，确保农业产量不低于相邻地类最低产量，光伏支架最低点应高于地面2.5米以上，桩基东西间距不小于4.5米，桩基南北间距不小于8米，保障大中型农机可以进场作</w:t>
                  </w:r>
                </w:p>
                <w:p w14:paraId="373F3DC4">
                  <w:pPr>
                    <w:pStyle w:val="34"/>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业。</w:t>
                  </w:r>
                </w:p>
              </w:tc>
              <w:tc>
                <w:tcPr>
                  <w:tcW w:w="1215" w:type="pct"/>
                  <w:noWrap w:val="0"/>
                  <w:vAlign w:val="top"/>
                </w:tcPr>
                <w:p w14:paraId="5B925791">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本项目光伏场区选址占地类型为园地和</w:t>
                  </w:r>
                  <w:r>
                    <w:rPr>
                      <w:rFonts w:hint="eastAsia" w:ascii="Times New Roman" w:hAnsi="Times New Roman" w:cs="Times New Roman"/>
                      <w:color w:val="auto"/>
                      <w:sz w:val="21"/>
                      <w:szCs w:val="21"/>
                      <w:lang w:val="en-US" w:eastAsia="zh-CN"/>
                    </w:rPr>
                    <w:t>其他园地</w:t>
                  </w:r>
                  <w:r>
                    <w:rPr>
                      <w:rFonts w:hint="default" w:ascii="Times New Roman" w:hAnsi="Times New Roman" w:cs="Times New Roman"/>
                      <w:color w:val="auto"/>
                      <w:sz w:val="21"/>
                      <w:szCs w:val="21"/>
                    </w:rPr>
                    <w:t>，不占用耕地。项目光伏场地光伏阵列桩基础南北向间距8m，东西向间距不小于4.5m，组件最低点距地面2.5m，满足</w:t>
                  </w:r>
                </w:p>
                <w:p w14:paraId="62E2DF60">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文件要求。</w:t>
                  </w:r>
                </w:p>
              </w:tc>
              <w:tc>
                <w:tcPr>
                  <w:tcW w:w="446" w:type="pct"/>
                  <w:noWrap w:val="0"/>
                  <w:vAlign w:val="top"/>
                </w:tcPr>
                <w:p w14:paraId="3C887859">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5092E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jc w:val="center"/>
              </w:trPr>
              <w:tc>
                <w:tcPr>
                  <w:tcW w:w="1291" w:type="pct"/>
                  <w:vMerge w:val="continue"/>
                  <w:noWrap w:val="0"/>
                  <w:vAlign w:val="top"/>
                </w:tcPr>
                <w:p w14:paraId="01D402EA">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c>
                <w:tcPr>
                  <w:tcW w:w="2046" w:type="pct"/>
                  <w:noWrap w:val="0"/>
                  <w:vAlign w:val="top"/>
                </w:tcPr>
                <w:p w14:paraId="0C52BF06">
                  <w:pPr>
                    <w:pStyle w:val="34"/>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光伏方阵用地不得改变地表形态，以第三次全国国土调查及后续开展的年度国土变更调查成果为底版科学确定地类，依法依规进行管理。实行用地备案，不需按非农建设用地审批。</w:t>
                  </w:r>
                </w:p>
              </w:tc>
              <w:tc>
                <w:tcPr>
                  <w:tcW w:w="1215" w:type="pct"/>
                  <w:noWrap w:val="0"/>
                  <w:vAlign w:val="top"/>
                </w:tcPr>
                <w:p w14:paraId="0482FC93">
                  <w:pPr>
                    <w:pStyle w:val="34"/>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本项目光伏场区占地为农用地中的果园及其他园地。本项目</w:t>
                  </w:r>
                  <w:r>
                    <w:rPr>
                      <w:rFonts w:hint="eastAsia" w:ascii="Times New Roman" w:hAnsi="Times New Roman" w:cs="Times New Roman"/>
                      <w:color w:val="auto"/>
                      <w:sz w:val="21"/>
                      <w:szCs w:val="21"/>
                      <w:lang w:val="en-US" w:eastAsia="zh-CN"/>
                    </w:rPr>
                    <w:t>建设</w:t>
                  </w:r>
                  <w:r>
                    <w:rPr>
                      <w:rFonts w:hint="default" w:ascii="Times New Roman" w:hAnsi="Times New Roman" w:cs="Times New Roman"/>
                      <w:color w:val="auto"/>
                      <w:sz w:val="21"/>
                      <w:szCs w:val="21"/>
                    </w:rPr>
                    <w:t>不改变地表形态。</w:t>
                  </w:r>
                </w:p>
                <w:p w14:paraId="2BA2B6C8">
                  <w:pPr>
                    <w:pStyle w:val="34"/>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建设单位正在办理用地备案手续。</w:t>
                  </w:r>
                </w:p>
              </w:tc>
              <w:tc>
                <w:tcPr>
                  <w:tcW w:w="446" w:type="pct"/>
                  <w:noWrap w:val="0"/>
                  <w:vAlign w:val="top"/>
                </w:tcPr>
                <w:p w14:paraId="7C68670F">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0B4E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jc w:val="center"/>
              </w:trPr>
              <w:tc>
                <w:tcPr>
                  <w:tcW w:w="1291" w:type="pct"/>
                  <w:vMerge w:val="restart"/>
                  <w:noWrap w:val="0"/>
                  <w:vAlign w:val="center"/>
                </w:tcPr>
                <w:p w14:paraId="4474D723">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陕西省蓝天保卫战2022年工作方案</w:t>
                  </w:r>
                </w:p>
              </w:tc>
              <w:tc>
                <w:tcPr>
                  <w:tcW w:w="2046" w:type="pct"/>
                  <w:noWrap w:val="0"/>
                  <w:vAlign w:val="center"/>
                </w:tcPr>
                <w:p w14:paraId="65B834A8">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优化产业结构布局。严格执行《产业结构调整指导目录》。坚决遏制“两高”项目盲目发展，严格落实国家产业规划、产业政策、“三线一单”、规划环评，以及产能置换、煤炭消费减量替代、区域污染物削减等要求，对不符合规定的项目坚决停批停建。严格实施节能审查制度，加强节能审查事中事后监管。</w:t>
                  </w:r>
                </w:p>
              </w:tc>
              <w:tc>
                <w:tcPr>
                  <w:tcW w:w="1215" w:type="pct"/>
                  <w:vMerge w:val="restart"/>
                  <w:noWrap w:val="0"/>
                  <w:vAlign w:val="center"/>
                </w:tcPr>
                <w:p w14:paraId="41E30908">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本项目属于太阳能开发利用项目，不属于“两高”行业，符合“产业政策、三线一单”相关要求；本环评要求施工时，严格落实施工工地扬尘管控责任，严格落实工地“六个百分之百”</w:t>
                  </w:r>
                </w:p>
              </w:tc>
              <w:tc>
                <w:tcPr>
                  <w:tcW w:w="446" w:type="pct"/>
                  <w:vMerge w:val="restart"/>
                  <w:noWrap w:val="0"/>
                  <w:vAlign w:val="center"/>
                </w:tcPr>
                <w:p w14:paraId="1525236E">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14:paraId="10F6C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291" w:type="pct"/>
                  <w:vMerge w:val="continue"/>
                  <w:noWrap w:val="0"/>
                  <w:vAlign w:val="center"/>
                </w:tcPr>
                <w:p w14:paraId="2054AA11">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c>
                <w:tcPr>
                  <w:tcW w:w="2046" w:type="pct"/>
                  <w:noWrap w:val="0"/>
                  <w:vAlign w:val="center"/>
                </w:tcPr>
                <w:p w14:paraId="797C069F">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推进建筑施工扬尘精细化管控。严格落实施工工地扬尘管控责任，建立施工工地动态管理清单，在工地公示具体防治措施及负责人信息，防治扬尘污染费用纳入工程造价。严格落实工地“六个百分之百”，将建筑施工扬尘防治落实情况纳入企业信用评价。</w:t>
                  </w:r>
                </w:p>
              </w:tc>
              <w:tc>
                <w:tcPr>
                  <w:tcW w:w="1215" w:type="pct"/>
                  <w:vMerge w:val="continue"/>
                  <w:noWrap w:val="0"/>
                  <w:vAlign w:val="center"/>
                </w:tcPr>
                <w:p w14:paraId="25F34184">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p>
              </w:tc>
              <w:tc>
                <w:tcPr>
                  <w:tcW w:w="446" w:type="pct"/>
                  <w:vMerge w:val="continue"/>
                  <w:noWrap w:val="0"/>
                  <w:vAlign w:val="center"/>
                </w:tcPr>
                <w:p w14:paraId="11628449">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r>
            <w:tr w14:paraId="41FC2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4" w:hRule="atLeast"/>
                <w:jc w:val="center"/>
              </w:trPr>
              <w:tc>
                <w:tcPr>
                  <w:tcW w:w="1291" w:type="pct"/>
                  <w:vMerge w:val="restart"/>
                  <w:noWrap w:val="0"/>
                  <w:vAlign w:val="center"/>
                </w:tcPr>
                <w:p w14:paraId="36A9D4FD">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汉中市蓝天保卫战2022年工作方案</w:t>
                  </w:r>
                </w:p>
              </w:tc>
              <w:tc>
                <w:tcPr>
                  <w:tcW w:w="2046" w:type="pct"/>
                  <w:noWrap w:val="0"/>
                  <w:vAlign w:val="center"/>
                </w:tcPr>
                <w:p w14:paraId="464BC957">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优化产业结构布局。严格执行《产业结构调整指导目录》。坚决遏制“两高”项目盲目发展，严格落实国家产业规划、产业政策以及产能置换、煤炭消费减量替代等要求，对不符合规定的项目坚决停批停建。严格实施节能审查制度，加强节能审查事中事后监管。</w:t>
                  </w:r>
                </w:p>
              </w:tc>
              <w:tc>
                <w:tcPr>
                  <w:tcW w:w="1215" w:type="pct"/>
                  <w:vMerge w:val="restart"/>
                  <w:noWrap w:val="0"/>
                  <w:vAlign w:val="center"/>
                </w:tcPr>
                <w:p w14:paraId="20424A4B">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本项目属于太阳能开发利用项目，不属于“两高”行业，符合“产业政策、三线一单”相关要求；本环评要求施工时，严格落实施工工地扬尘管控责任，严格落实工地“六个百分之百”</w:t>
                  </w:r>
                </w:p>
              </w:tc>
              <w:tc>
                <w:tcPr>
                  <w:tcW w:w="446" w:type="pct"/>
                  <w:vMerge w:val="restart"/>
                  <w:noWrap w:val="0"/>
                  <w:vAlign w:val="center"/>
                </w:tcPr>
                <w:p w14:paraId="77CB4864">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14:paraId="2037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291" w:type="pct"/>
                  <w:vMerge w:val="continue"/>
                  <w:noWrap w:val="0"/>
                  <w:vAlign w:val="center"/>
                </w:tcPr>
                <w:p w14:paraId="2179F90A">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c>
                <w:tcPr>
                  <w:tcW w:w="2046" w:type="pct"/>
                  <w:noWrap w:val="0"/>
                  <w:vAlign w:val="center"/>
                </w:tcPr>
                <w:p w14:paraId="25F5101C">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推进建筑施工扬尘精细化管控。严格落实建筑工地、拆迁工地、市政工程等施工工地扬尘管控责任，建立施工工地动态管理清单，在工地公示具体防治措施及负责人信息，防治扬尘污染费用纳入工程造价；严格落实建筑工地、拆迁工地、市政工程“六个百分之百”，将建筑施工扬尘防治落实情况纳入企业信用评价（市住建局牵头，市城管局配合）</w:t>
                  </w:r>
                </w:p>
              </w:tc>
              <w:tc>
                <w:tcPr>
                  <w:tcW w:w="1215" w:type="pct"/>
                  <w:vMerge w:val="continue"/>
                  <w:noWrap w:val="0"/>
                  <w:vAlign w:val="center"/>
                </w:tcPr>
                <w:p w14:paraId="29330126">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p>
              </w:tc>
              <w:tc>
                <w:tcPr>
                  <w:tcW w:w="446" w:type="pct"/>
                  <w:vMerge w:val="continue"/>
                  <w:noWrap w:val="0"/>
                  <w:vAlign w:val="center"/>
                </w:tcPr>
                <w:p w14:paraId="26860C24">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r>
            <w:tr w14:paraId="0E9A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1291" w:type="pct"/>
                  <w:noWrap w:val="0"/>
                  <w:vAlign w:val="center"/>
                </w:tcPr>
                <w:p w14:paraId="3DD86A87">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《国土资源部国务院扶贫办国家能源局关于支持光伏扶贫和规范光伏发电产业用地的意见》(国土资规(2017)8号)</w:t>
                  </w:r>
                </w:p>
              </w:tc>
              <w:tc>
                <w:tcPr>
                  <w:tcW w:w="2046" w:type="pct"/>
                  <w:noWrap w:val="0"/>
                  <w:vAlign w:val="center"/>
                </w:tcPr>
                <w:p w14:paraId="65FB25B1">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除本文件确定的光伏扶贫项目及利用农用地复合建设的光伏发电站项目（以下简称光伏复合项目）外，其他光伏发电站项目用地应严格执行国土资规〔2015〕5号文件规定，使用未利用地的，光伏方阵用地部分可按原地类认定，不改变土地用途，用地允许以租赁等方式取得，双方签订补偿协议，报当地县级国土资源主管部门备案，其他用地部分应当办理建设用地审批手续；使用农用地的，所有用地均应当办理建设用地审批手续。新建、改建和扩建地面光伏发电站工程项目，按建设用地和未利用地管理的，应严格执行《光伏发电站工程项目用地控制指标》（国土资规〔2015〕11号）要求，合理利用土地。</w:t>
                  </w:r>
                </w:p>
              </w:tc>
              <w:tc>
                <w:tcPr>
                  <w:tcW w:w="1215" w:type="pct"/>
                  <w:noWrap w:val="0"/>
                  <w:vAlign w:val="center"/>
                </w:tcPr>
                <w:p w14:paraId="08562F52">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项目位于</w:t>
                  </w:r>
                  <w:r>
                    <w:rPr>
                      <w:rFonts w:hint="eastAsia" w:ascii="Times New Roman" w:hAnsi="Times New Roman" w:cs="Times New Roman"/>
                      <w:color w:val="auto"/>
                      <w:sz w:val="21"/>
                      <w:szCs w:val="21"/>
                      <w:lang w:eastAsia="zh-CN"/>
                    </w:rPr>
                    <w:t>陕西省汉中市洋县磨子桥镇</w:t>
                  </w:r>
                </w:p>
              </w:tc>
              <w:tc>
                <w:tcPr>
                  <w:tcW w:w="446" w:type="pct"/>
                  <w:noWrap w:val="0"/>
                  <w:vAlign w:val="center"/>
                </w:tcPr>
                <w:p w14:paraId="21854863">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符合</w:t>
                  </w:r>
                </w:p>
              </w:tc>
            </w:tr>
            <w:tr w14:paraId="3806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291" w:type="pct"/>
                  <w:vMerge w:val="restart"/>
                  <w:noWrap w:val="0"/>
                  <w:vAlign w:val="center"/>
                </w:tcPr>
                <w:p w14:paraId="485E8FA4">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《陕西省太阳能光伏发电项目建设用地管理办法（试行）》陕国土资发〔2015〕</w:t>
                  </w:r>
                </w:p>
              </w:tc>
              <w:tc>
                <w:tcPr>
                  <w:tcW w:w="2046" w:type="pct"/>
                  <w:noWrap w:val="0"/>
                  <w:vAlign w:val="center"/>
                </w:tcPr>
                <w:p w14:paraId="45955BFB">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太阳能光伏发电工程项目建设用地，应符合国家供地政策和土地开发利用规划要求，使用荒山、荒滩、荒漠及未利用地，尽量不毁坏原有林草植被，尽量不占或少占耕地，不得占用基本农田。鼓励太阳能光伏发电企业利用现有屋顶、设施农业顶棚、煤矿采空区、荒滩荒草地，以及具有压覆矿产备采区等建设太阳能光伏发电项目。</w:t>
                  </w:r>
                </w:p>
              </w:tc>
              <w:tc>
                <w:tcPr>
                  <w:tcW w:w="1215" w:type="pct"/>
                  <w:noWrap w:val="0"/>
                  <w:vAlign w:val="center"/>
                </w:tcPr>
                <w:p w14:paraId="73ECB7BB">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项目位于</w:t>
                  </w:r>
                  <w:r>
                    <w:rPr>
                      <w:rFonts w:hint="eastAsia" w:ascii="Times New Roman" w:hAnsi="Times New Roman" w:cs="Times New Roman"/>
                      <w:color w:val="auto"/>
                      <w:sz w:val="21"/>
                      <w:szCs w:val="21"/>
                      <w:lang w:eastAsia="zh-CN"/>
                    </w:rPr>
                    <w:t>陕西省汉中市洋县磨子桥镇</w:t>
                  </w:r>
                  <w:r>
                    <w:rPr>
                      <w:rFonts w:hint="default" w:ascii="Times New Roman" w:hAnsi="Times New Roman" w:cs="Times New Roman"/>
                      <w:color w:val="auto"/>
                      <w:sz w:val="21"/>
                      <w:szCs w:val="21"/>
                      <w:lang w:eastAsia="zh-CN"/>
                    </w:rPr>
                    <w:t>，项目用地性质</w:t>
                  </w:r>
                  <w:r>
                    <w:rPr>
                      <w:rFonts w:hint="eastAsia" w:ascii="Times New Roman" w:hAnsi="Times New Roman" w:cs="Times New Roman"/>
                      <w:color w:val="auto"/>
                      <w:sz w:val="21"/>
                      <w:szCs w:val="21"/>
                      <w:lang w:val="en-US" w:eastAsia="zh-CN"/>
                    </w:rPr>
                    <w:t>为农用地、建设用地</w:t>
                  </w:r>
                  <w:r>
                    <w:rPr>
                      <w:rFonts w:hint="eastAsia" w:ascii="Times New Roman" w:hAnsi="Times New Roman" w:cs="Times New Roman"/>
                      <w:color w:val="auto"/>
                      <w:sz w:val="21"/>
                      <w:szCs w:val="21"/>
                      <w:lang w:val="zh-CN" w:eastAsia="zh-CN"/>
                    </w:rPr>
                    <w:t>以及未利用地</w:t>
                  </w:r>
                  <w:r>
                    <w:rPr>
                      <w:rFonts w:hint="default" w:ascii="Times New Roman" w:hAnsi="Times New Roman" w:cs="Times New Roman"/>
                      <w:color w:val="auto"/>
                      <w:sz w:val="21"/>
                      <w:szCs w:val="21"/>
                      <w:lang w:eastAsia="zh-CN"/>
                    </w:rPr>
                    <w:t>。不毁坏</w:t>
                  </w:r>
                  <w:r>
                    <w:rPr>
                      <w:rFonts w:hint="default" w:ascii="Times New Roman" w:hAnsi="Times New Roman" w:cs="Times New Roman"/>
                      <w:color w:val="auto"/>
                      <w:sz w:val="21"/>
                      <w:szCs w:val="21"/>
                    </w:rPr>
                    <w:t>原有林草植被，不占</w:t>
                  </w:r>
                  <w:r>
                    <w:rPr>
                      <w:rFonts w:hint="default" w:ascii="Times New Roman" w:hAnsi="Times New Roman" w:cs="Times New Roman"/>
                      <w:color w:val="auto"/>
                      <w:sz w:val="21"/>
                      <w:szCs w:val="21"/>
                      <w:lang w:eastAsia="zh-CN"/>
                    </w:rPr>
                    <w:t>用</w:t>
                  </w:r>
                  <w:r>
                    <w:rPr>
                      <w:rFonts w:hint="default" w:ascii="Times New Roman" w:hAnsi="Times New Roman" w:cs="Times New Roman"/>
                      <w:color w:val="auto"/>
                      <w:sz w:val="21"/>
                      <w:szCs w:val="21"/>
                    </w:rPr>
                    <w:t>耕地，不占用基本农田</w:t>
                  </w:r>
                </w:p>
              </w:tc>
              <w:tc>
                <w:tcPr>
                  <w:tcW w:w="446" w:type="pct"/>
                  <w:noWrap w:val="0"/>
                  <w:vAlign w:val="center"/>
                </w:tcPr>
                <w:p w14:paraId="3E133F77">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rPr>
                    <w:t>符合</w:t>
                  </w:r>
                </w:p>
              </w:tc>
            </w:tr>
            <w:tr w14:paraId="3B2D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291" w:type="pct"/>
                  <w:vMerge w:val="continue"/>
                  <w:noWrap w:val="0"/>
                  <w:vAlign w:val="center"/>
                </w:tcPr>
                <w:p w14:paraId="0E7EBF0F">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c>
                <w:tcPr>
                  <w:tcW w:w="2046" w:type="pct"/>
                  <w:noWrap w:val="0"/>
                  <w:vAlign w:val="center"/>
                </w:tcPr>
                <w:p w14:paraId="19DB3BAA">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建设太阳能光伏发电项目，需转为建设用地的部分，依法办理用地手续，涉及林地的，依法办理林地审核审批手续。不改变原有利用类型、不影响原有林草植被的非建设用地部分，由用地单位与土地权利人协商补偿，或以多种方式有偿使用。</w:t>
                  </w:r>
                </w:p>
              </w:tc>
              <w:tc>
                <w:tcPr>
                  <w:tcW w:w="1215" w:type="pct"/>
                  <w:noWrap w:val="0"/>
                  <w:vAlign w:val="center"/>
                </w:tcPr>
                <w:p w14:paraId="786C2382">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项目位于</w:t>
                  </w:r>
                  <w:r>
                    <w:rPr>
                      <w:rFonts w:hint="eastAsia" w:ascii="Times New Roman" w:hAnsi="Times New Roman" w:cs="Times New Roman"/>
                      <w:color w:val="auto"/>
                      <w:sz w:val="21"/>
                      <w:szCs w:val="21"/>
                      <w:lang w:eastAsia="zh-CN"/>
                    </w:rPr>
                    <w:t>陕西省汉中市洋县磨子桥镇</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项目用地性质</w:t>
                  </w:r>
                  <w:r>
                    <w:rPr>
                      <w:rFonts w:hint="default" w:ascii="Times New Roman" w:hAnsi="Times New Roman" w:cs="Times New Roman"/>
                      <w:color w:val="auto"/>
                      <w:sz w:val="21"/>
                      <w:szCs w:val="21"/>
                      <w:lang w:val="en-US" w:eastAsia="zh-CN"/>
                    </w:rPr>
                    <w:t>为</w:t>
                  </w:r>
                  <w:r>
                    <w:rPr>
                      <w:rFonts w:hint="eastAsia" w:ascii="Times New Roman" w:hAnsi="Times New Roman" w:cs="Times New Roman"/>
                      <w:color w:val="auto"/>
                      <w:sz w:val="21"/>
                      <w:szCs w:val="21"/>
                      <w:lang w:val="en-US" w:eastAsia="zh-CN"/>
                    </w:rPr>
                    <w:t>农用地</w:t>
                  </w:r>
                  <w:r>
                    <w:rPr>
                      <w:rFonts w:hint="default" w:ascii="Times New Roman" w:hAnsi="Times New Roman" w:cs="Times New Roman"/>
                      <w:color w:val="auto"/>
                      <w:sz w:val="21"/>
                      <w:szCs w:val="21"/>
                      <w:lang w:eastAsia="zh-CN"/>
                    </w:rPr>
                    <w:t>。</w:t>
                  </w:r>
                </w:p>
              </w:tc>
              <w:tc>
                <w:tcPr>
                  <w:tcW w:w="446" w:type="pct"/>
                  <w:noWrap w:val="0"/>
                  <w:vAlign w:val="center"/>
                </w:tcPr>
                <w:p w14:paraId="4CE2864B">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符合</w:t>
                  </w:r>
                </w:p>
              </w:tc>
            </w:tr>
            <w:tr w14:paraId="28AB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291" w:type="pct"/>
                  <w:vMerge w:val="continue"/>
                  <w:noWrap w:val="0"/>
                  <w:vAlign w:val="center"/>
                </w:tcPr>
                <w:p w14:paraId="3DFDC132">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eastAsia="zh-CN"/>
                    </w:rPr>
                  </w:pPr>
                </w:p>
              </w:tc>
              <w:tc>
                <w:tcPr>
                  <w:tcW w:w="2046" w:type="pct"/>
                  <w:noWrap w:val="0"/>
                  <w:vAlign w:val="center"/>
                </w:tcPr>
                <w:p w14:paraId="6F155606">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太阳能光伏发电改建、扩建工程项目应充分利用原有的场地和设施，以减少征收、征用土地。施工期施工道路尽可能利用已有道路，或与运行期检修道路相结合。</w:t>
                  </w:r>
                </w:p>
              </w:tc>
              <w:tc>
                <w:tcPr>
                  <w:tcW w:w="1215" w:type="pct"/>
                  <w:noWrap w:val="0"/>
                  <w:vAlign w:val="center"/>
                </w:tcPr>
                <w:p w14:paraId="65FBC11F">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本光伏场区可利用</w:t>
                  </w:r>
                  <w:r>
                    <w:rPr>
                      <w:rFonts w:hint="default" w:ascii="Times New Roman" w:hAnsi="Times New Roman" w:cs="Times New Roman"/>
                      <w:color w:val="auto"/>
                      <w:sz w:val="21"/>
                      <w:szCs w:val="21"/>
                      <w:lang w:val="en-US" w:eastAsia="zh-CN"/>
                    </w:rPr>
                    <w:t>场址周围高速路（G5）、县道（X101）、乡村道路通过</w:t>
                  </w:r>
                  <w:r>
                    <w:rPr>
                      <w:rFonts w:hint="default" w:ascii="Times New Roman" w:hAnsi="Times New Roman" w:cs="Times New Roman"/>
                      <w:color w:val="auto"/>
                      <w:sz w:val="21"/>
                      <w:szCs w:val="21"/>
                    </w:rPr>
                    <w:t>，可以直通光伏场地，本工程不再新建场内道路</w:t>
                  </w:r>
                </w:p>
              </w:tc>
              <w:tc>
                <w:tcPr>
                  <w:tcW w:w="446" w:type="pct"/>
                  <w:noWrap w:val="0"/>
                  <w:vAlign w:val="center"/>
                </w:tcPr>
                <w:p w14:paraId="234E5FE4">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符合</w:t>
                  </w:r>
                </w:p>
              </w:tc>
            </w:tr>
            <w:tr w14:paraId="38E5F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291" w:type="pct"/>
                  <w:vMerge w:val="continue"/>
                  <w:noWrap w:val="0"/>
                  <w:vAlign w:val="center"/>
                </w:tcPr>
                <w:p w14:paraId="303011D2">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eastAsia="zh-CN"/>
                    </w:rPr>
                  </w:pPr>
                </w:p>
              </w:tc>
              <w:tc>
                <w:tcPr>
                  <w:tcW w:w="2046" w:type="pct"/>
                  <w:noWrap w:val="0"/>
                  <w:vAlign w:val="center"/>
                </w:tcPr>
                <w:p w14:paraId="40286626">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太阳能光伏发电项目进场道路宽度不得大于6.0m，检修道路宽度不得大于4.5m，用地面积按实际需要核定。</w:t>
                  </w:r>
                </w:p>
              </w:tc>
              <w:tc>
                <w:tcPr>
                  <w:tcW w:w="1215" w:type="pct"/>
                  <w:noWrap w:val="0"/>
                  <w:vAlign w:val="center"/>
                </w:tcPr>
                <w:p w14:paraId="03A5377A">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不新建进场道路；</w:t>
                  </w:r>
                  <w:r>
                    <w:rPr>
                      <w:rFonts w:hint="default" w:ascii="Times New Roman" w:hAnsi="Times New Roman" w:cs="Times New Roman"/>
                      <w:color w:val="auto"/>
                      <w:sz w:val="21"/>
                      <w:szCs w:val="21"/>
                    </w:rPr>
                    <w:t>场内改造道路长度约为5.54km，道路路基宽为4.5m，路面宽为3.5m，路面结构采用15cm泥结碎石路面</w:t>
                  </w:r>
                  <w:r>
                    <w:rPr>
                      <w:rFonts w:hint="eastAsia" w:ascii="Times New Roman" w:hAnsi="Times New Roman" w:cs="Times New Roman"/>
                      <w:color w:val="auto"/>
                      <w:sz w:val="21"/>
                      <w:szCs w:val="21"/>
                      <w:lang w:val="en-US" w:eastAsia="zh-CN"/>
                    </w:rPr>
                    <w:t>；</w:t>
                  </w:r>
                </w:p>
              </w:tc>
              <w:tc>
                <w:tcPr>
                  <w:tcW w:w="446" w:type="pct"/>
                  <w:noWrap w:val="0"/>
                  <w:vAlign w:val="center"/>
                </w:tcPr>
                <w:p w14:paraId="138A425E">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符合</w:t>
                  </w:r>
                </w:p>
              </w:tc>
            </w:tr>
            <w:tr w14:paraId="5D0A8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291" w:type="pct"/>
                  <w:vMerge w:val="restart"/>
                  <w:noWrap w:val="0"/>
                  <w:vAlign w:val="center"/>
                </w:tcPr>
                <w:p w14:paraId="6C9BF7BD">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《陕西省发展和改革委员会、陕西省自然资源厅关于规范光伏复合项目用地管理的通知》（陕发改能新能源【2020】933号）</w:t>
                  </w:r>
                </w:p>
              </w:tc>
              <w:tc>
                <w:tcPr>
                  <w:tcW w:w="2046" w:type="pct"/>
                  <w:noWrap w:val="0"/>
                  <w:vAlign w:val="center"/>
                </w:tcPr>
                <w:p w14:paraId="6586F929">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禁止以任何方式占用永久基本农田，严禁在国家相关法律法规和规划明确禁止的区域开发建设光伏项目</w:t>
                  </w:r>
                </w:p>
              </w:tc>
              <w:tc>
                <w:tcPr>
                  <w:tcW w:w="1215" w:type="pct"/>
                  <w:noWrap w:val="0"/>
                  <w:vAlign w:val="center"/>
                </w:tcPr>
                <w:p w14:paraId="4319C6D4">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经洋县自然资源局核查，本项目不占用基本农田，不涉及法律法规和规划明确禁止的区域。</w:t>
                  </w:r>
                </w:p>
              </w:tc>
              <w:tc>
                <w:tcPr>
                  <w:tcW w:w="446" w:type="pct"/>
                  <w:noWrap w:val="0"/>
                  <w:vAlign w:val="center"/>
                </w:tcPr>
                <w:p w14:paraId="309C73E5">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符合</w:t>
                  </w:r>
                </w:p>
              </w:tc>
            </w:tr>
            <w:tr w14:paraId="1BF60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291" w:type="pct"/>
                  <w:vMerge w:val="continue"/>
                  <w:noWrap w:val="0"/>
                  <w:vAlign w:val="center"/>
                </w:tcPr>
                <w:p w14:paraId="4667EF1A">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c>
                <w:tcPr>
                  <w:tcW w:w="2046" w:type="pct"/>
                  <w:noWrap w:val="0"/>
                  <w:vAlign w:val="center"/>
                </w:tcPr>
                <w:p w14:paraId="655F44CE">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各类自然保护区、森林公园、（含同类型国家公园）、濒危物种栖息地、已享受天然林资源保护工程相关资金的林地，为禁止光伏发电建设区域。其他生态区位重要、生态脆弱、地形破碎</w:t>
                  </w:r>
                  <w:r>
                    <w:rPr>
                      <w:rFonts w:hint="eastAsia" w:ascii="Times New Roman" w:hAnsi="Times New Roman" w:cs="Times New Roman"/>
                      <w:color w:val="auto"/>
                      <w:sz w:val="21"/>
                      <w:szCs w:val="21"/>
                      <w:lang w:val="en-US" w:eastAsia="zh-CN"/>
                    </w:rPr>
                    <w:t>的</w:t>
                  </w:r>
                  <w:r>
                    <w:rPr>
                      <w:rFonts w:hint="default" w:ascii="Times New Roman" w:hAnsi="Times New Roman" w:cs="Times New Roman"/>
                      <w:color w:val="auto"/>
                      <w:sz w:val="21"/>
                      <w:szCs w:val="21"/>
                      <w:lang w:eastAsia="zh-CN"/>
                    </w:rPr>
                    <w:t>区域，为限制光伏建设区域。光伏电站的组件阵列禁止使用有林地、疏林地、未成林造林地、采伐迹地、火烧迹地，以及常年降雨量400毫米以下区域覆盖度高于30%的灌木林地和常年降雨量400毫米以上区域覆盖度高于50%的灌木林地。</w:t>
                  </w:r>
                </w:p>
              </w:tc>
              <w:tc>
                <w:tcPr>
                  <w:tcW w:w="1215" w:type="pct"/>
                  <w:noWrap w:val="0"/>
                  <w:vAlign w:val="center"/>
                </w:tcPr>
                <w:p w14:paraId="5923D05C">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项目主要用地类型为</w:t>
                  </w:r>
                  <w:r>
                    <w:rPr>
                      <w:rFonts w:hint="eastAsia" w:ascii="Times New Roman" w:hAnsi="Times New Roman" w:cs="Times New Roman"/>
                      <w:color w:val="auto"/>
                      <w:sz w:val="21"/>
                      <w:szCs w:val="21"/>
                      <w:lang w:val="en-US" w:eastAsia="zh-CN"/>
                    </w:rPr>
                    <w:t>园地</w:t>
                  </w:r>
                  <w:r>
                    <w:rPr>
                      <w:rFonts w:hint="default" w:ascii="Times New Roman" w:hAnsi="Times New Roman" w:cs="Times New Roman"/>
                      <w:color w:val="auto"/>
                      <w:sz w:val="21"/>
                      <w:szCs w:val="21"/>
                      <w:lang w:eastAsia="zh-CN"/>
                    </w:rPr>
                    <w:t>，经洋县林业局核查，本项目用地不占用有林地、疏林地、未成林造林地、采伐迹地、火烧迹地，以及常年降雨量400毫米以下区域覆盖度高于30%的灌木林地和常年降雨量400毫米以上区域覆盖度高于50%的灌木林地，占用部分宜林地，会在宜林地下方布设光伏组件，不会改变林地性质。</w:t>
                  </w:r>
                </w:p>
              </w:tc>
              <w:tc>
                <w:tcPr>
                  <w:tcW w:w="446" w:type="pct"/>
                  <w:noWrap w:val="0"/>
                  <w:vAlign w:val="center"/>
                </w:tcPr>
                <w:p w14:paraId="595F19F6">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符合</w:t>
                  </w:r>
                </w:p>
              </w:tc>
            </w:tr>
            <w:tr w14:paraId="07B4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291" w:type="pct"/>
                  <w:vMerge w:val="continue"/>
                  <w:noWrap w:val="0"/>
                  <w:vAlign w:val="center"/>
                </w:tcPr>
                <w:p w14:paraId="775329D9">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c>
                <w:tcPr>
                  <w:tcW w:w="2046" w:type="pct"/>
                  <w:noWrap w:val="0"/>
                  <w:vAlign w:val="center"/>
                </w:tcPr>
                <w:p w14:paraId="2C871D8A">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光伏发电站项目用地中按农用地、未利用地管理的，除桩基础用地外，不得硬化地面、破坏耕作层，否则，应当依法办理建设用地审批手续。对于光伏阵列等设施架设在农用地上，在对土地不造成实际占压，不改变地表形态，不影响农业生产的前提下，可按原地类认定，不改变土地用途。对于使用永久基本农田以外的耕地布设光伏方阵的情形，应当从严提出要求，采用直埋电缆方式敷设集电线路用地，可按原地类、原用途管理。光伏复合项目的</w:t>
                  </w:r>
                  <w:r>
                    <w:rPr>
                      <w:rFonts w:hint="eastAsia" w:ascii="Times New Roman" w:hAnsi="Times New Roman" w:cs="Times New Roman"/>
                      <w:color w:val="auto"/>
                      <w:sz w:val="21"/>
                      <w:szCs w:val="21"/>
                      <w:lang w:eastAsia="zh-CN"/>
                    </w:rPr>
                    <w:t>升压站</w:t>
                  </w:r>
                  <w:r>
                    <w:rPr>
                      <w:rFonts w:hint="default" w:ascii="Times New Roman" w:hAnsi="Times New Roman" w:cs="Times New Roman"/>
                      <w:color w:val="auto"/>
                      <w:sz w:val="21"/>
                      <w:szCs w:val="21"/>
                      <w:lang w:eastAsia="zh-CN"/>
                    </w:rPr>
                    <w:t>及运行管理中心、集电线路杆塔基础设施用地，按建设用地管理，依法办理建设用地审批手续。</w:t>
                  </w:r>
                </w:p>
              </w:tc>
              <w:tc>
                <w:tcPr>
                  <w:tcW w:w="1215" w:type="pct"/>
                  <w:noWrap w:val="0"/>
                  <w:vAlign w:val="center"/>
                </w:tcPr>
                <w:p w14:paraId="1D765F8A">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eastAsia="zh-CN"/>
                    </w:rPr>
                    <w:t>本项目除桩基础及设备基础用地外，不对地面进行硬化。</w:t>
                  </w:r>
                  <w:r>
                    <w:rPr>
                      <w:rFonts w:hint="eastAsia" w:ascii="Times New Roman" w:hAnsi="Times New Roman" w:cs="Times New Roman"/>
                      <w:color w:val="auto"/>
                      <w:sz w:val="21"/>
                      <w:szCs w:val="21"/>
                      <w:lang w:val="en-US" w:eastAsia="zh-CN"/>
                    </w:rPr>
                    <w:t>本次环评不评价升压站</w:t>
                  </w:r>
                </w:p>
              </w:tc>
              <w:tc>
                <w:tcPr>
                  <w:tcW w:w="446" w:type="pct"/>
                  <w:noWrap w:val="0"/>
                  <w:vAlign w:val="center"/>
                </w:tcPr>
                <w:p w14:paraId="2B7E7708">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符合</w:t>
                  </w:r>
                </w:p>
              </w:tc>
            </w:tr>
            <w:tr w14:paraId="1139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291" w:type="pct"/>
                  <w:vMerge w:val="continue"/>
                  <w:noWrap w:val="0"/>
                  <w:vAlign w:val="center"/>
                </w:tcPr>
                <w:p w14:paraId="0BC7A66C">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c>
                <w:tcPr>
                  <w:tcW w:w="2046" w:type="pct"/>
                  <w:noWrap w:val="0"/>
                  <w:vAlign w:val="center"/>
                </w:tcPr>
                <w:p w14:paraId="1F5F90C1">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固定安装方式：光伏组件最低点距地不小于2.5米，建议基础采用单排桩形式，桩基础东西向间距不小于4.5米，桩基础南北向间距不小于8米；固定可调安装方式：除最大调节角度外（非耕种季节），其余调节角度下组件最低点距地不小于2.5米，桩基础东西向间距不小于4.5米，桩基础南北向间距不小于8米；</w:t>
                  </w:r>
                </w:p>
              </w:tc>
              <w:tc>
                <w:tcPr>
                  <w:tcW w:w="1215" w:type="pct"/>
                  <w:noWrap w:val="0"/>
                  <w:vAlign w:val="center"/>
                </w:tcPr>
                <w:p w14:paraId="25B8CE8E">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项目采用固定安装方式，桩基础采用双排桩形式，光伏组件离地高度最小为2.5m，桩基础东西向间距4.8m，桩基础南北向间距最小为8m。</w:t>
                  </w:r>
                </w:p>
              </w:tc>
              <w:tc>
                <w:tcPr>
                  <w:tcW w:w="446" w:type="pct"/>
                  <w:noWrap w:val="0"/>
                  <w:vAlign w:val="center"/>
                </w:tcPr>
                <w:p w14:paraId="1C871792">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符合</w:t>
                  </w:r>
                </w:p>
              </w:tc>
            </w:tr>
            <w:tr w14:paraId="03E00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291" w:type="pct"/>
                  <w:vMerge w:val="continue"/>
                  <w:noWrap w:val="0"/>
                  <w:vAlign w:val="center"/>
                </w:tcPr>
                <w:p w14:paraId="69AA41C2">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c>
                <w:tcPr>
                  <w:tcW w:w="2046" w:type="pct"/>
                  <w:noWrap w:val="0"/>
                  <w:vAlign w:val="center"/>
                </w:tcPr>
                <w:p w14:paraId="17613789">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鼓励各类光伏复合项目种植经济作物，建设设施农业，开展农业产品深加工，延伸农业产业链，提高产品附加值，提升土地综合利用效益。不得种植牧草等经济价值相对较低的作物。光伏复合项目农业年收益不得低于当地同类土地最低收益。</w:t>
                  </w:r>
                </w:p>
              </w:tc>
              <w:tc>
                <w:tcPr>
                  <w:tcW w:w="1215" w:type="pct"/>
                  <w:noWrap w:val="0"/>
                  <w:vAlign w:val="center"/>
                </w:tcPr>
                <w:p w14:paraId="2531F8EA">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本项目属于</w:t>
                  </w:r>
                  <w:r>
                    <w:rPr>
                      <w:rFonts w:hint="eastAsia" w:ascii="Times New Roman" w:hAnsi="Times New Roman" w:cs="Times New Roman"/>
                      <w:color w:val="auto"/>
                      <w:sz w:val="21"/>
                      <w:szCs w:val="21"/>
                      <w:lang w:val="en-US" w:eastAsia="zh-CN"/>
                    </w:rPr>
                    <w:t>光伏发电</w:t>
                  </w:r>
                  <w:r>
                    <w:rPr>
                      <w:rFonts w:hint="default" w:ascii="Times New Roman" w:hAnsi="Times New Roman" w:cs="Times New Roman"/>
                      <w:color w:val="auto"/>
                      <w:sz w:val="21"/>
                      <w:szCs w:val="21"/>
                      <w:lang w:eastAsia="zh-CN"/>
                    </w:rPr>
                    <w:t>项目，采用高支架方案，利用光伏组件支架与地面的高度</w:t>
                  </w:r>
                  <w:r>
                    <w:rPr>
                      <w:rFonts w:hint="default" w:ascii="Times New Roman" w:hAnsi="Times New Roman" w:cs="Times New Roman"/>
                      <w:color w:val="auto"/>
                      <w:sz w:val="21"/>
                      <w:szCs w:val="21"/>
                      <w:lang w:val="en-US" w:eastAsia="zh-CN"/>
                    </w:rPr>
                    <w:t>。</w:t>
                  </w:r>
                </w:p>
              </w:tc>
              <w:tc>
                <w:tcPr>
                  <w:tcW w:w="446" w:type="pct"/>
                  <w:noWrap w:val="0"/>
                  <w:vAlign w:val="center"/>
                </w:tcPr>
                <w:p w14:paraId="7A280CDD">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符合</w:t>
                  </w:r>
                </w:p>
              </w:tc>
            </w:tr>
            <w:tr w14:paraId="4C2AB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291" w:type="pct"/>
                  <w:noWrap w:val="0"/>
                  <w:vAlign w:val="center"/>
                </w:tcPr>
                <w:p w14:paraId="4593DE99">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《自然资源部办公厅国家林业和草原局办公室国家能源局综合司关于支持光伏发电产业发展规范用地管理有关工作的通知》</w:t>
                  </w:r>
                </w:p>
                <w:p w14:paraId="5FF8F077">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（自然资办发〔2023〕12号）</w:t>
                  </w:r>
                </w:p>
              </w:tc>
              <w:tc>
                <w:tcPr>
                  <w:tcW w:w="2046" w:type="pct"/>
                  <w:noWrap w:val="0"/>
                  <w:vAlign w:val="top"/>
                </w:tcPr>
                <w:p w14:paraId="032BD5CB">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新建、扩建光伏发电项目，一律不得占用永久基本农田、基本草原、Ⅰ级保护林地和东北内蒙古重点国有林区。</w:t>
                  </w:r>
                </w:p>
              </w:tc>
              <w:tc>
                <w:tcPr>
                  <w:tcW w:w="1215" w:type="pct"/>
                  <w:noWrap w:val="0"/>
                  <w:vAlign w:val="top"/>
                </w:tcPr>
                <w:p w14:paraId="3EC7E880">
                  <w:pPr>
                    <w:pStyle w:val="34"/>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eastAsia="zh-CN"/>
                    </w:rPr>
                    <w:t>项目主要用地类型为</w:t>
                  </w:r>
                  <w:r>
                    <w:rPr>
                      <w:rFonts w:hint="eastAsia" w:ascii="Times New Roman" w:hAnsi="Times New Roman" w:cs="Times New Roman"/>
                      <w:color w:val="auto"/>
                      <w:sz w:val="21"/>
                      <w:szCs w:val="21"/>
                      <w:lang w:val="en-US" w:eastAsia="zh-CN"/>
                    </w:rPr>
                    <w:t>园地</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不涉及永久基本农田、基本草原、Ⅰ级保护林地和东北内蒙古</w:t>
                  </w:r>
                </w:p>
              </w:tc>
              <w:tc>
                <w:tcPr>
                  <w:tcW w:w="446" w:type="pct"/>
                  <w:noWrap w:val="0"/>
                  <w:vAlign w:val="top"/>
                </w:tcPr>
                <w:p w14:paraId="52488C30">
                  <w:pPr>
                    <w:pStyle w:val="34"/>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lang w:eastAsia="zh-CN"/>
                    </w:rPr>
                  </w:pPr>
                </w:p>
              </w:tc>
            </w:tr>
            <w:tr w14:paraId="5309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atLeast"/>
                <w:jc w:val="center"/>
              </w:trPr>
              <w:tc>
                <w:tcPr>
                  <w:tcW w:w="1291" w:type="pct"/>
                  <w:noWrap w:val="0"/>
                  <w:vAlign w:val="center"/>
                </w:tcPr>
                <w:p w14:paraId="3B55D84E">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c>
                <w:tcPr>
                  <w:tcW w:w="2046" w:type="pct"/>
                  <w:noWrap w:val="0"/>
                  <w:vAlign w:val="top"/>
                </w:tcPr>
                <w:p w14:paraId="531BBB58">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（一）光伏方阵用地。光伏方阵用地不得占用耕地，占用其他农用地的，应根据实际合理控制，节约集约用地，尽量避免对生态和农业生</w:t>
                  </w:r>
                </w:p>
                <w:p w14:paraId="39B994DF">
                  <w:pPr>
                    <w:pStyle w:val="34"/>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产造成影响。</w:t>
                  </w:r>
                </w:p>
                <w:p w14:paraId="2557163F">
                  <w:pPr>
                    <w:pStyle w:val="34"/>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配套设施用地管理。光伏发电项目配套设施用地，按建设用地进行管理，依法依规办理建设用地审批手续。其中，涉及占用耕地的，按规定落实占补平衡。符合光伏用地标准，位于方阵内部和四周，直接配套光伏方阵的道路，可按农村道路用地管理，涉及占用耕地的，按规定落实进出平衡。</w:t>
                  </w:r>
                </w:p>
              </w:tc>
              <w:tc>
                <w:tcPr>
                  <w:tcW w:w="1215" w:type="pct"/>
                  <w:noWrap w:val="0"/>
                  <w:vAlign w:val="top"/>
                </w:tcPr>
                <w:p w14:paraId="625C1B64">
                  <w:pPr>
                    <w:pStyle w:val="34"/>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eastAsia="zh-CN"/>
                    </w:rPr>
                    <w:t>项目主要用地类型为</w:t>
                  </w:r>
                  <w:r>
                    <w:rPr>
                      <w:rFonts w:hint="eastAsia" w:ascii="Times New Roman" w:hAnsi="Times New Roman" w:cs="Times New Roman"/>
                      <w:color w:val="auto"/>
                      <w:sz w:val="21"/>
                      <w:szCs w:val="21"/>
                      <w:lang w:val="en-US" w:eastAsia="zh-CN"/>
                    </w:rPr>
                    <w:t>园地</w:t>
                  </w: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不涉及耕地</w:t>
                  </w:r>
                </w:p>
              </w:tc>
              <w:tc>
                <w:tcPr>
                  <w:tcW w:w="446" w:type="pct"/>
                  <w:noWrap w:val="0"/>
                  <w:vAlign w:val="top"/>
                </w:tcPr>
                <w:p w14:paraId="19A0BB98">
                  <w:pPr>
                    <w:pStyle w:val="34"/>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bl>
          <w:p w14:paraId="61636E9E">
            <w:pPr>
              <w:autoSpaceDE w:val="0"/>
              <w:autoSpaceDN w:val="0"/>
              <w:adjustRightInd w:val="0"/>
              <w:snapToGrid w:val="0"/>
              <w:spacing w:line="360" w:lineRule="auto"/>
              <w:jc w:val="left"/>
              <w:rPr>
                <w:rFonts w:hint="default" w:ascii="Times New Roman" w:hAnsi="Times New Roman" w:cs="Times New Roman"/>
                <w:color w:val="auto"/>
                <w:kern w:val="0"/>
                <w:szCs w:val="21"/>
                <w:lang w:val="en-US" w:eastAsia="zh-CN"/>
              </w:rPr>
            </w:pPr>
          </w:p>
        </w:tc>
      </w:tr>
    </w:tbl>
    <w:p w14:paraId="200A1C8B">
      <w:pPr>
        <w:pStyle w:val="34"/>
        <w:rPr>
          <w:rFonts w:hint="eastAsia"/>
          <w:color w:val="auto"/>
        </w:rPr>
        <w:sectPr>
          <w:pgSz w:w="11906" w:h="16838"/>
          <w:pgMar w:top="1440" w:right="1800" w:bottom="1440" w:left="1800" w:header="1304" w:footer="1304" w:gutter="0"/>
          <w:pgBorders>
            <w:top w:val="none" w:sz="0" w:space="0"/>
            <w:left w:val="none" w:sz="0" w:space="0"/>
            <w:bottom w:val="none" w:sz="0" w:space="0"/>
            <w:right w:val="none" w:sz="0" w:space="0"/>
          </w:pgBorders>
          <w:cols w:space="720" w:num="1"/>
          <w:docGrid w:linePitch="312" w:charSpace="0"/>
        </w:sectPr>
      </w:pPr>
    </w:p>
    <w:p w14:paraId="495DA8CC">
      <w:pPr>
        <w:pStyle w:val="21"/>
        <w:jc w:val="center"/>
        <w:outlineLvl w:val="0"/>
        <w:rPr>
          <w:rFonts w:ascii="Times New Roman" w:hAnsi="Times New Roman" w:eastAsia="黑体" w:cs="Times New Roman"/>
          <w:snapToGrid w:val="0"/>
          <w:color w:val="auto"/>
          <w:sz w:val="30"/>
          <w:szCs w:val="30"/>
          <w:highlight w:val="none"/>
        </w:rPr>
      </w:pPr>
      <w:r>
        <w:rPr>
          <w:rFonts w:ascii="Times New Roman" w:hAnsi="Times New Roman" w:eastAsia="黑体" w:cs="Times New Roman"/>
          <w:snapToGrid w:val="0"/>
          <w:color w:val="auto"/>
          <w:sz w:val="30"/>
          <w:szCs w:val="30"/>
          <w:highlight w:val="none"/>
        </w:rPr>
        <w:t>二、建设内容</w:t>
      </w:r>
    </w:p>
    <w:tbl>
      <w:tblPr>
        <w:tblStyle w:val="24"/>
        <w:tblW w:w="91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163"/>
      </w:tblGrid>
      <w:tr w14:paraId="669D4B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456" w:type="dxa"/>
            <w:noWrap w:val="0"/>
            <w:vAlign w:val="center"/>
          </w:tcPr>
          <w:p w14:paraId="2EFDBF52">
            <w:pPr>
              <w:adjustRightInd w:val="0"/>
              <w:snapToGrid w:val="0"/>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地理位置</w:t>
            </w:r>
          </w:p>
        </w:tc>
        <w:tc>
          <w:tcPr>
            <w:tcW w:w="8725" w:type="dxa"/>
            <w:noWrap w:val="0"/>
            <w:vAlign w:val="center"/>
          </w:tcPr>
          <w:p w14:paraId="06722462">
            <w:pPr>
              <w:adjustRightInd w:val="0"/>
              <w:snapToGrid w:val="0"/>
              <w:spacing w:line="360" w:lineRule="auto"/>
              <w:ind w:firstLine="480" w:firstLineChars="200"/>
              <w:rPr>
                <w:rFonts w:hint="eastAsia" w:ascii="Times New Roman" w:hAnsi="Times New Roman" w:eastAsia="宋体" w:cs="Times New Roman"/>
                <w:color w:val="auto"/>
                <w:kern w:val="0"/>
                <w:szCs w:val="21"/>
                <w:highlight w:val="none"/>
                <w:lang w:eastAsia="zh-CN"/>
              </w:rPr>
            </w:pPr>
            <w:r>
              <w:rPr>
                <w:rFonts w:hint="eastAsia" w:ascii="Times New Roman" w:hAnsi="Times New Roman" w:cs="Times New Roman"/>
                <w:color w:val="auto"/>
                <w:sz w:val="24"/>
                <w:lang w:val="en-US" w:eastAsia="zh-CN"/>
              </w:rPr>
              <w:t>大唐洋县60MW光伏发电项目位于陕西省汉中市洋县磨子桥镇境内，与白河村、张山下村、朗顶村、牛家砭村相邻。场区位于东经107°29′32"~107°31′50"，北纬33°10′6"~33°11′22"之间。场区总用地面积约1043562.34m</w:t>
            </w:r>
            <w:r>
              <w:rPr>
                <w:rFonts w:hint="eastAsia" w:ascii="Times New Roman" w:hAnsi="Times New Roman" w:cs="Times New Roman"/>
                <w:color w:val="auto"/>
                <w:sz w:val="24"/>
                <w:vertAlign w:val="superscript"/>
                <w:lang w:val="en-US" w:eastAsia="zh-CN"/>
              </w:rPr>
              <w:t>2</w:t>
            </w:r>
            <w:r>
              <w:rPr>
                <w:rFonts w:hint="eastAsia" w:ascii="Times New Roman" w:hAnsi="Times New Roman" w:cs="Times New Roman"/>
                <w:color w:val="auto"/>
                <w:sz w:val="24"/>
                <w:lang w:val="en-US" w:eastAsia="zh-CN"/>
              </w:rPr>
              <w:t>，工程规划总装机容量60MW。场址距洋县直线距离6km，距汉中市直线距离47km，场址周围有高速路（G5）、县道（X101）、乡村道路通过，对外交通运输条件较便利。</w:t>
            </w:r>
            <w:r>
              <w:rPr>
                <w:rFonts w:hint="default" w:ascii="Times New Roman" w:hAnsi="Times New Roman" w:cs="Times New Roman"/>
                <w:color w:val="auto"/>
                <w:sz w:val="24"/>
                <w:highlight w:val="none"/>
                <w:lang w:eastAsia="zh-CN"/>
              </w:rPr>
              <w:t>本项目地理位置图见附图</w:t>
            </w:r>
            <w:r>
              <w:rPr>
                <w:rFonts w:hint="default" w:ascii="Times New Roman" w:hAnsi="Times New Roman" w:cs="Times New Roman"/>
                <w:color w:val="auto"/>
                <w:sz w:val="24"/>
                <w:highlight w:val="none"/>
                <w:lang w:val="en-US" w:eastAsia="zh-CN"/>
              </w:rPr>
              <w:t>2。</w:t>
            </w:r>
          </w:p>
        </w:tc>
      </w:tr>
      <w:tr w14:paraId="242FD8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456" w:type="dxa"/>
            <w:noWrap w:val="0"/>
            <w:vAlign w:val="center"/>
          </w:tcPr>
          <w:p w14:paraId="482E0F00">
            <w:pPr>
              <w:adjustRightInd w:val="0"/>
              <w:snapToGrid w:val="0"/>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项目组成及规模</w:t>
            </w:r>
          </w:p>
        </w:tc>
        <w:tc>
          <w:tcPr>
            <w:tcW w:w="8725" w:type="dxa"/>
            <w:noWrap w:val="0"/>
            <w:vAlign w:val="center"/>
          </w:tcPr>
          <w:p w14:paraId="74D3F77A">
            <w:pPr>
              <w:adjustRightInd w:val="0"/>
              <w:snapToGrid w:val="0"/>
              <w:spacing w:line="360" w:lineRule="auto"/>
              <w:ind w:firstLine="482" w:firstLineChars="200"/>
              <w:jc w:val="left"/>
              <w:rPr>
                <w:rFonts w:hint="default"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 xml:space="preserve">1、项目由来 </w:t>
            </w:r>
          </w:p>
          <w:p w14:paraId="77218251">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近年来，随着国家和陕西省大力倡导风电、光电等新能源建设的深入发展，也促进了区域经济的发展。根据陕西省资源特点和国家大力发展新能源的政策，光伏发电工程是今后新能源发展的重点之一。 </w:t>
            </w:r>
          </w:p>
          <w:p w14:paraId="3AFD4A3E">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s="Times New Roman"/>
                <w:b/>
                <w:bCs/>
                <w:color w:val="auto"/>
                <w:sz w:val="24"/>
              </w:rPr>
            </w:pPr>
            <w:r>
              <w:rPr>
                <w:rFonts w:hint="eastAsia" w:ascii="Times New Roman" w:hAnsi="Times New Roman" w:eastAsia="宋体" w:cs="Times New Roman"/>
                <w:color w:val="auto"/>
                <w:kern w:val="0"/>
                <w:sz w:val="24"/>
                <w:szCs w:val="24"/>
                <w:highlight w:val="none"/>
                <w:lang w:val="en-US" w:eastAsia="zh-CN" w:bidi="ar-SA"/>
              </w:rPr>
              <w:t>依据《建设项目环境影响评价分类管理名录（2021年版）》要求，本项目属于“四十一、电力、热力生产与供应业 90、太阳能发电 4416 ，应编制环境影响报告表。我单位接受委托后，立即组织技术人员进行现场踏勘和收集有关资料，并依照《中华人民共和国环境影响评价法》等相关规定编制了本项目环境影响报告表，供建设单位报环保主管部门审批和作为环境管理的依据。</w:t>
            </w:r>
          </w:p>
          <w:p w14:paraId="4F816038">
            <w:pPr>
              <w:adjustRightInd w:val="0"/>
              <w:snapToGrid w:val="0"/>
              <w:spacing w:line="360" w:lineRule="auto"/>
              <w:ind w:firstLine="482" w:firstLineChars="200"/>
              <w:jc w:val="left"/>
              <w:rPr>
                <w:rFonts w:hint="default"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2</w:t>
            </w:r>
            <w:r>
              <w:rPr>
                <w:rFonts w:hint="default" w:ascii="Times New Roman" w:hAnsi="Times New Roman" w:cs="Times New Roman"/>
                <w:b/>
                <w:bCs/>
                <w:color w:val="auto"/>
                <w:sz w:val="24"/>
                <w:lang w:val="en-US" w:eastAsia="zh-CN"/>
              </w:rPr>
              <w:t>、项目基本情况</w:t>
            </w:r>
          </w:p>
          <w:p w14:paraId="1AB352DB">
            <w:pPr>
              <w:pStyle w:val="30"/>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（1）项目名称：</w:t>
            </w:r>
            <w:r>
              <w:rPr>
                <w:rFonts w:hint="eastAsia" w:ascii="Times New Roman" w:hAnsi="Times New Roman" w:eastAsia="宋体" w:cs="Times New Roman"/>
                <w:color w:val="auto"/>
                <w:kern w:val="0"/>
                <w:sz w:val="24"/>
                <w:szCs w:val="24"/>
                <w:highlight w:val="none"/>
                <w:lang w:val="en-US" w:eastAsia="zh-CN"/>
              </w:rPr>
              <w:t>大唐洋县60MW光伏发电项目</w:t>
            </w:r>
          </w:p>
          <w:p w14:paraId="3FF5338E">
            <w:pPr>
              <w:pStyle w:val="30"/>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rPr>
              <w:t>建设性质：新建</w:t>
            </w:r>
          </w:p>
          <w:p w14:paraId="3B6392C2">
            <w:pPr>
              <w:pStyle w:val="30"/>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rPr>
              <w:t>（3）建</w:t>
            </w:r>
            <w:r>
              <w:rPr>
                <w:rFonts w:hint="default" w:ascii="Times New Roman" w:hAnsi="Times New Roman" w:eastAsia="宋体" w:cs="Times New Roman"/>
                <w:color w:val="auto"/>
                <w:kern w:val="0"/>
                <w:sz w:val="24"/>
                <w:szCs w:val="24"/>
                <w:highlight w:val="none"/>
                <w:lang w:val="en-US" w:eastAsia="zh-CN"/>
              </w:rPr>
              <w:t>设单位：</w:t>
            </w:r>
            <w:r>
              <w:rPr>
                <w:rFonts w:hint="eastAsia" w:ascii="Times New Roman" w:hAnsi="Times New Roman" w:eastAsia="宋体" w:cs="Times New Roman"/>
                <w:color w:val="auto"/>
                <w:kern w:val="0"/>
                <w:sz w:val="24"/>
                <w:szCs w:val="24"/>
                <w:highlight w:val="none"/>
                <w:lang w:val="en-US" w:eastAsia="zh-CN"/>
              </w:rPr>
              <w:t>大唐（洋县）新能源有限责任公司</w:t>
            </w:r>
          </w:p>
          <w:p w14:paraId="139ACDFB">
            <w:pPr>
              <w:pStyle w:val="30"/>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（4）项目投资：</w:t>
            </w:r>
            <w:r>
              <w:rPr>
                <w:rFonts w:hint="eastAsia" w:ascii="Times New Roman" w:hAnsi="Times New Roman" w:eastAsia="宋体" w:cs="Times New Roman"/>
                <w:color w:val="auto"/>
                <w:sz w:val="24"/>
                <w:szCs w:val="24"/>
                <w:lang w:val="en-US" w:eastAsia="zh-CN"/>
              </w:rPr>
              <w:t>24294.55</w:t>
            </w:r>
            <w:r>
              <w:rPr>
                <w:rFonts w:hint="default" w:ascii="Times New Roman" w:hAnsi="Times New Roman" w:eastAsia="宋体" w:cs="Times New Roman"/>
                <w:color w:val="auto"/>
                <w:sz w:val="24"/>
                <w:szCs w:val="24"/>
                <w:lang w:val="en-US" w:eastAsia="zh-CN"/>
              </w:rPr>
              <w:t>万元</w:t>
            </w:r>
          </w:p>
          <w:p w14:paraId="327D7FB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cs="Times New Roman"/>
                <w:b/>
                <w:bCs/>
                <w:color w:val="auto"/>
                <w:sz w:val="24"/>
                <w:lang w:val="en-US" w:eastAsia="zh-CN"/>
              </w:rPr>
            </w:pPr>
            <w:r>
              <w:rPr>
                <w:rFonts w:hint="default" w:ascii="Times New Roman" w:hAnsi="Times New Roman" w:eastAsia="宋体" w:cs="Times New Roman"/>
                <w:color w:val="auto"/>
                <w:kern w:val="0"/>
                <w:sz w:val="24"/>
                <w:szCs w:val="24"/>
                <w:highlight w:val="none"/>
              </w:rPr>
              <w:t>（5）建设地点</w:t>
            </w:r>
            <w:r>
              <w:rPr>
                <w:rFonts w:hint="default"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sz w:val="24"/>
                <w:szCs w:val="24"/>
                <w:lang w:val="en-US" w:eastAsia="zh-CN"/>
              </w:rPr>
              <w:t>陕西省汉中市洋县磨子桥镇</w:t>
            </w:r>
          </w:p>
          <w:p w14:paraId="08BDBCC0">
            <w:pPr>
              <w:adjustRightInd w:val="0"/>
              <w:snapToGrid w:val="0"/>
              <w:spacing w:line="360" w:lineRule="auto"/>
              <w:ind w:firstLine="482" w:firstLineChars="200"/>
              <w:jc w:val="left"/>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3</w:t>
            </w:r>
            <w:r>
              <w:rPr>
                <w:rFonts w:hint="default" w:ascii="Times New Roman" w:hAnsi="Times New Roman" w:cs="Times New Roman"/>
                <w:b/>
                <w:bCs/>
                <w:color w:val="auto"/>
                <w:sz w:val="24"/>
              </w:rPr>
              <w:t>、项目组成及建设内容</w:t>
            </w:r>
          </w:p>
          <w:p w14:paraId="1473DA04">
            <w:pPr>
              <w:adjustRightInd w:val="0"/>
              <w:snapToGrid w:val="0"/>
              <w:spacing w:line="360" w:lineRule="auto"/>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cs="Times New Roman"/>
                <w:color w:val="auto"/>
                <w:sz w:val="24"/>
              </w:rPr>
              <w:t>建设容量为60MW光伏发电站，采用分块发电、集中并网方案；光伏电池采用680Wp规格单晶双面双玻电池组件，安装于固定支架下，选用</w:t>
            </w:r>
            <w:r>
              <w:rPr>
                <w:rFonts w:hint="eastAsia" w:ascii="Times New Roman" w:hAnsi="Times New Roman" w:cs="Times New Roman"/>
                <w:color w:val="auto"/>
                <w:sz w:val="24"/>
                <w:lang w:eastAsia="zh-CN"/>
              </w:rPr>
              <w:t>300kW</w:t>
            </w:r>
            <w:r>
              <w:rPr>
                <w:rFonts w:hint="default" w:ascii="Times New Roman" w:hAnsi="Times New Roman" w:cs="Times New Roman"/>
                <w:color w:val="auto"/>
                <w:sz w:val="24"/>
              </w:rPr>
              <w:t>的组串式逆变器，分3回集电线路接至升压站；</w:t>
            </w:r>
            <w:r>
              <w:rPr>
                <w:rFonts w:hint="eastAsia" w:ascii="Times New Roman" w:hAnsi="Times New Roman" w:cs="Times New Roman"/>
                <w:color w:val="auto"/>
                <w:sz w:val="24"/>
                <w:lang w:val="en-US" w:eastAsia="zh-CN"/>
              </w:rPr>
              <w:t>升压站设一台60MVA主变压器。</w:t>
            </w:r>
          </w:p>
          <w:p w14:paraId="48E3C5B1">
            <w:pPr>
              <w:adjustRightInd w:val="0"/>
              <w:snapToGrid w:val="0"/>
              <w:spacing w:line="360" w:lineRule="auto"/>
              <w:ind w:firstLine="480" w:firstLineChars="200"/>
              <w:rPr>
                <w:rFonts w:hint="default" w:ascii="Times New Roman" w:hAnsi="Times New Roman" w:cs="Times New Roman"/>
                <w:b/>
                <w:bCs/>
                <w:color w:val="auto"/>
                <w:sz w:val="24"/>
                <w:highlight w:val="none"/>
              </w:rPr>
            </w:pPr>
            <w:r>
              <w:rPr>
                <w:rFonts w:hint="eastAsia" w:ascii="Times New Roman" w:hAnsi="Times New Roman" w:cs="Times New Roman"/>
                <w:color w:val="auto"/>
                <w:sz w:val="24"/>
                <w:lang w:val="en-US" w:eastAsia="zh-CN"/>
              </w:rPr>
              <w:t>本环评仅评价光伏区域，升压站尚处于选址阶段，</w:t>
            </w:r>
            <w:r>
              <w:rPr>
                <w:rFonts w:hint="default" w:ascii="Times New Roman" w:hAnsi="Times New Roman" w:cs="Times New Roman"/>
                <w:color w:val="auto"/>
                <w:sz w:val="24"/>
              </w:rPr>
              <w:t>主要建设内容组成详见表2-1。</w:t>
            </w:r>
          </w:p>
          <w:p w14:paraId="48CB77E5">
            <w:pPr>
              <w:adjustRightInd w:val="0"/>
              <w:snapToGrid w:val="0"/>
              <w:spacing w:line="360" w:lineRule="auto"/>
              <w:jc w:val="center"/>
              <w:textAlignment w:val="baseline"/>
              <w:rPr>
                <w:rFonts w:hint="default" w:ascii="Times New Roman" w:hAnsi="Times New Roman" w:cs="Times New Roman"/>
                <w:b/>
                <w:bCs/>
                <w:color w:val="auto"/>
              </w:rPr>
            </w:pPr>
          </w:p>
          <w:p w14:paraId="2A2E70C3">
            <w:pPr>
              <w:adjustRightInd w:val="0"/>
              <w:snapToGrid w:val="0"/>
              <w:spacing w:line="360" w:lineRule="auto"/>
              <w:jc w:val="center"/>
              <w:textAlignment w:val="baseline"/>
              <w:rPr>
                <w:rFonts w:hint="default" w:ascii="Times New Roman" w:hAnsi="Times New Roman" w:cs="Times New Roman"/>
                <w:b/>
                <w:bCs/>
                <w:color w:val="auto"/>
              </w:rPr>
            </w:pPr>
          </w:p>
          <w:p w14:paraId="23316D72">
            <w:pPr>
              <w:adjustRightInd w:val="0"/>
              <w:snapToGrid w:val="0"/>
              <w:spacing w:line="360" w:lineRule="auto"/>
              <w:jc w:val="center"/>
              <w:textAlignment w:val="baseline"/>
              <w:rPr>
                <w:rFonts w:hint="default" w:ascii="Times New Roman" w:hAnsi="Times New Roman" w:cs="Times New Roman"/>
                <w:b/>
                <w:bCs/>
                <w:color w:val="auto"/>
              </w:rPr>
            </w:pPr>
            <w:r>
              <w:rPr>
                <w:rFonts w:hint="default" w:ascii="Times New Roman" w:hAnsi="Times New Roman" w:cs="Times New Roman"/>
                <w:b/>
                <w:bCs/>
                <w:color w:val="auto"/>
              </w:rPr>
              <w:t>表2-1    项目组成一览表</w:t>
            </w:r>
          </w:p>
          <w:tbl>
            <w:tblPr>
              <w:tblStyle w:val="24"/>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1" w:type="dxa"/>
                <w:bottom w:w="0" w:type="dxa"/>
                <w:right w:w="51" w:type="dxa"/>
              </w:tblCellMar>
            </w:tblPr>
            <w:tblGrid>
              <w:gridCol w:w="636"/>
              <w:gridCol w:w="900"/>
              <w:gridCol w:w="7386"/>
            </w:tblGrid>
            <w:tr w14:paraId="0FA3E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357" w:type="pct"/>
                  <w:noWrap w:val="0"/>
                  <w:vAlign w:val="center"/>
                </w:tcPr>
                <w:p w14:paraId="096006C5">
                  <w:pPr>
                    <w:widowControl/>
                    <w:tabs>
                      <w:tab w:val="left" w:pos="1260"/>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504" w:type="pct"/>
                  <w:noWrap w:val="0"/>
                  <w:vAlign w:val="center"/>
                </w:tcPr>
                <w:p w14:paraId="744880A6">
                  <w:pPr>
                    <w:widowControl/>
                    <w:tabs>
                      <w:tab w:val="left" w:pos="1260"/>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4138" w:type="pct"/>
                  <w:noWrap w:val="0"/>
                  <w:vAlign w:val="center"/>
                </w:tcPr>
                <w:p w14:paraId="49AB78E4">
                  <w:pPr>
                    <w:widowControl/>
                    <w:tabs>
                      <w:tab w:val="left" w:pos="1260"/>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建设内容</w:t>
                  </w:r>
                </w:p>
              </w:tc>
            </w:tr>
            <w:tr w14:paraId="541CD7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357" w:type="pct"/>
                  <w:vMerge w:val="restart"/>
                  <w:noWrap w:val="0"/>
                  <w:vAlign w:val="center"/>
                </w:tcPr>
                <w:p w14:paraId="64829A8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主体工程</w:t>
                  </w:r>
                </w:p>
              </w:tc>
              <w:tc>
                <w:tcPr>
                  <w:tcW w:w="504" w:type="pct"/>
                  <w:noWrap w:val="0"/>
                  <w:vAlign w:val="center"/>
                </w:tcPr>
                <w:p w14:paraId="79E818DD">
                  <w:pPr>
                    <w:widowControl/>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太阳能电池阵列</w:t>
                  </w:r>
                </w:p>
              </w:tc>
              <w:tc>
                <w:tcPr>
                  <w:tcW w:w="4138" w:type="pct"/>
                  <w:noWrap w:val="0"/>
                  <w:vAlign w:val="center"/>
                </w:tcPr>
                <w:p w14:paraId="793CDBE7">
                  <w:pPr>
                    <w:widowControl/>
                    <w:adjustRightInd w:val="0"/>
                    <w:snapToGrid w:val="0"/>
                    <w:jc w:val="both"/>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本光伏电站总装机容量为60MW，全部为680Wp单晶硅双面双玻电池组件</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组件数量共计106288块。由2</w:t>
                  </w: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lang w:val="en-US" w:eastAsia="zh-CN"/>
                    </w:rPr>
                    <w:t>个单晶硅电池发电单元组成，其中3.0MW发电单元18个，2.4MW发电单元1个，1.8MW发电单元2个。</w:t>
                  </w:r>
                  <w:r>
                    <w:rPr>
                      <w:rFonts w:hint="eastAsia" w:ascii="Times New Roman" w:hAnsi="Times New Roman" w:cs="Times New Roman"/>
                      <w:color w:val="auto"/>
                      <w:szCs w:val="21"/>
                      <w:lang w:val="en-US" w:eastAsia="zh-CN"/>
                    </w:rPr>
                    <w:t>每个</w:t>
                  </w:r>
                  <w:r>
                    <w:rPr>
                      <w:rFonts w:hint="default" w:ascii="Times New Roman" w:hAnsi="Times New Roman" w:cs="Times New Roman"/>
                      <w:color w:val="auto"/>
                      <w:szCs w:val="21"/>
                      <w:lang w:val="en-US" w:eastAsia="zh-CN"/>
                    </w:rPr>
                    <w:t>3.0MW</w:t>
                  </w:r>
                  <w:r>
                    <w:rPr>
                      <w:rFonts w:hint="eastAsia" w:ascii="Times New Roman" w:hAnsi="Times New Roman" w:cs="Times New Roman"/>
                      <w:color w:val="auto"/>
                      <w:szCs w:val="21"/>
                      <w:lang w:val="en-US" w:eastAsia="zh-CN"/>
                    </w:rPr>
                    <w:t>单晶硅电池发电单元由</w:t>
                  </w:r>
                  <w:r>
                    <w:rPr>
                      <w:rFonts w:hint="default" w:ascii="Times New Roman" w:hAnsi="Times New Roman" w:cs="Times New Roman"/>
                      <w:color w:val="auto"/>
                      <w:szCs w:val="21"/>
                      <w:lang w:val="en-US" w:eastAsia="zh-CN"/>
                    </w:rPr>
                    <w:t>190</w:t>
                  </w:r>
                  <w:r>
                    <w:rPr>
                      <w:rFonts w:hint="eastAsia" w:ascii="Times New Roman" w:hAnsi="Times New Roman" w:cs="Times New Roman"/>
                      <w:color w:val="auto"/>
                      <w:szCs w:val="21"/>
                      <w:lang w:val="en-US" w:eastAsia="zh-CN"/>
                    </w:rPr>
                    <w:t>路光伏组串并联而成，每个</w:t>
                  </w:r>
                  <w:r>
                    <w:rPr>
                      <w:rFonts w:hint="default" w:ascii="Times New Roman" w:hAnsi="Times New Roman" w:cs="Times New Roman"/>
                      <w:color w:val="auto"/>
                      <w:szCs w:val="21"/>
                      <w:lang w:val="en-US" w:eastAsia="zh-CN"/>
                    </w:rPr>
                    <w:t>2.4MW</w:t>
                  </w:r>
                  <w:r>
                    <w:rPr>
                      <w:rFonts w:hint="eastAsia" w:ascii="Times New Roman" w:hAnsi="Times New Roman" w:cs="Times New Roman"/>
                      <w:color w:val="auto"/>
                      <w:szCs w:val="21"/>
                      <w:lang w:val="en-US" w:eastAsia="zh-CN"/>
                    </w:rPr>
                    <w:t>单晶硅电池发电单元由</w:t>
                  </w:r>
                  <w:r>
                    <w:rPr>
                      <w:rFonts w:hint="default" w:ascii="Times New Roman" w:hAnsi="Times New Roman" w:cs="Times New Roman"/>
                      <w:color w:val="auto"/>
                      <w:szCs w:val="21"/>
                      <w:lang w:val="en-US" w:eastAsia="zh-CN"/>
                    </w:rPr>
                    <w:t>152</w:t>
                  </w:r>
                  <w:r>
                    <w:rPr>
                      <w:rFonts w:hint="eastAsia" w:ascii="Times New Roman" w:hAnsi="Times New Roman" w:cs="Times New Roman"/>
                      <w:color w:val="auto"/>
                      <w:szCs w:val="21"/>
                      <w:lang w:val="en-US" w:eastAsia="zh-CN"/>
                    </w:rPr>
                    <w:t>路光伏组串并联而成，每个</w:t>
                  </w:r>
                  <w:r>
                    <w:rPr>
                      <w:rFonts w:hint="default" w:ascii="Times New Roman" w:hAnsi="Times New Roman" w:cs="Times New Roman"/>
                      <w:color w:val="auto"/>
                      <w:szCs w:val="21"/>
                      <w:lang w:val="en-US" w:eastAsia="zh-CN"/>
                    </w:rPr>
                    <w:t>1.8MW</w:t>
                  </w:r>
                  <w:r>
                    <w:rPr>
                      <w:rFonts w:hint="eastAsia" w:ascii="Times New Roman" w:hAnsi="Times New Roman" w:cs="Times New Roman"/>
                      <w:color w:val="auto"/>
                      <w:szCs w:val="21"/>
                      <w:lang w:val="en-US" w:eastAsia="zh-CN"/>
                    </w:rPr>
                    <w:t>单晶硅电池发电单元由</w:t>
                  </w:r>
                  <w:r>
                    <w:rPr>
                      <w:rFonts w:hint="default" w:ascii="Times New Roman" w:hAnsi="Times New Roman" w:cs="Times New Roman"/>
                      <w:color w:val="auto"/>
                      <w:szCs w:val="21"/>
                      <w:lang w:val="en-US" w:eastAsia="zh-CN"/>
                    </w:rPr>
                    <w:t>114</w:t>
                  </w:r>
                  <w:r>
                    <w:rPr>
                      <w:rFonts w:hint="eastAsia" w:ascii="Times New Roman" w:hAnsi="Times New Roman" w:cs="Times New Roman"/>
                      <w:color w:val="auto"/>
                      <w:szCs w:val="21"/>
                      <w:lang w:val="en-US" w:eastAsia="zh-CN"/>
                    </w:rPr>
                    <w:t>路光伏组串并联而成。光伏组串由</w:t>
                  </w:r>
                  <w:r>
                    <w:rPr>
                      <w:rFonts w:hint="default" w:ascii="Times New Roman" w:hAnsi="Times New Roman" w:cs="Times New Roman"/>
                      <w:color w:val="auto"/>
                      <w:szCs w:val="21"/>
                      <w:lang w:val="en-US" w:eastAsia="zh-CN"/>
                    </w:rPr>
                    <w:t>28</w:t>
                  </w:r>
                  <w:r>
                    <w:rPr>
                      <w:rFonts w:hint="eastAsia" w:ascii="Times New Roman" w:hAnsi="Times New Roman" w:cs="Times New Roman"/>
                      <w:color w:val="auto"/>
                      <w:szCs w:val="21"/>
                      <w:lang w:val="en-US" w:eastAsia="zh-CN"/>
                    </w:rPr>
                    <w:t>个光伏组件串联而成。采用固定式安装</w:t>
                  </w:r>
                </w:p>
              </w:tc>
            </w:tr>
            <w:tr w14:paraId="5FA3E4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357" w:type="pct"/>
                  <w:vMerge w:val="continue"/>
                  <w:noWrap w:val="0"/>
                  <w:vAlign w:val="center"/>
                </w:tcPr>
                <w:p w14:paraId="77EF6DAC">
                  <w:pPr>
                    <w:adjustRightInd w:val="0"/>
                    <w:snapToGrid w:val="0"/>
                    <w:jc w:val="center"/>
                    <w:rPr>
                      <w:rFonts w:hint="default" w:ascii="Times New Roman" w:hAnsi="Times New Roman" w:cs="Times New Roman"/>
                      <w:color w:val="auto"/>
                      <w:szCs w:val="21"/>
                    </w:rPr>
                  </w:pPr>
                </w:p>
              </w:tc>
              <w:tc>
                <w:tcPr>
                  <w:tcW w:w="504" w:type="pct"/>
                  <w:noWrap w:val="0"/>
                  <w:vAlign w:val="center"/>
                </w:tcPr>
                <w:p w14:paraId="0FA57173">
                  <w:pPr>
                    <w:widowControl/>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逆变器</w:t>
                  </w:r>
                </w:p>
              </w:tc>
              <w:tc>
                <w:tcPr>
                  <w:tcW w:w="4138" w:type="pct"/>
                  <w:noWrap w:val="0"/>
                  <w:vAlign w:val="center"/>
                </w:tcPr>
                <w:p w14:paraId="15F3283A">
                  <w:pPr>
                    <w:widowControl/>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逆变器选用</w:t>
                  </w:r>
                  <w:r>
                    <w:rPr>
                      <w:rFonts w:hint="eastAsia" w:ascii="Times New Roman" w:hAnsi="Times New Roman" w:cs="Times New Roman"/>
                      <w:color w:val="auto"/>
                      <w:szCs w:val="21"/>
                      <w:lang w:val="en-US" w:eastAsia="zh-CN"/>
                    </w:rPr>
                    <w:t>300kW</w:t>
                  </w:r>
                  <w:r>
                    <w:rPr>
                      <w:rFonts w:hint="default" w:ascii="Times New Roman" w:hAnsi="Times New Roman" w:cs="Times New Roman"/>
                      <w:color w:val="auto"/>
                      <w:szCs w:val="21"/>
                      <w:lang w:val="en-US" w:eastAsia="zh-CN"/>
                    </w:rPr>
                    <w:t>的组串式逆变器，共计</w:t>
                  </w:r>
                  <w:r>
                    <w:rPr>
                      <w:rFonts w:hint="eastAsia" w:ascii="Times New Roman" w:hAnsi="Times New Roman" w:cs="Times New Roman"/>
                      <w:color w:val="auto"/>
                      <w:szCs w:val="21"/>
                      <w:lang w:val="en-US" w:eastAsia="zh-CN"/>
                    </w:rPr>
                    <w:t>200</w:t>
                  </w:r>
                  <w:r>
                    <w:rPr>
                      <w:rFonts w:hint="default" w:ascii="Times New Roman" w:hAnsi="Times New Roman" w:cs="Times New Roman"/>
                      <w:color w:val="auto"/>
                      <w:szCs w:val="21"/>
                      <w:lang w:val="en-US" w:eastAsia="zh-CN"/>
                    </w:rPr>
                    <w:t>台。</w:t>
                  </w:r>
                </w:p>
              </w:tc>
            </w:tr>
            <w:tr w14:paraId="4D99FA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357" w:type="pct"/>
                  <w:vMerge w:val="continue"/>
                  <w:noWrap w:val="0"/>
                  <w:vAlign w:val="center"/>
                </w:tcPr>
                <w:p w14:paraId="1C8E1EFF">
                  <w:pPr>
                    <w:adjustRightInd w:val="0"/>
                    <w:snapToGrid w:val="0"/>
                    <w:jc w:val="center"/>
                    <w:rPr>
                      <w:rFonts w:hint="default" w:ascii="Times New Roman" w:hAnsi="Times New Roman" w:cs="Times New Roman"/>
                      <w:color w:val="auto"/>
                      <w:szCs w:val="21"/>
                    </w:rPr>
                  </w:pPr>
                </w:p>
              </w:tc>
              <w:tc>
                <w:tcPr>
                  <w:tcW w:w="504" w:type="pct"/>
                  <w:noWrap w:val="0"/>
                  <w:vAlign w:val="center"/>
                </w:tcPr>
                <w:p w14:paraId="08DC9825">
                  <w:pPr>
                    <w:widowControl/>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箱式变压器</w:t>
                  </w:r>
                </w:p>
              </w:tc>
              <w:tc>
                <w:tcPr>
                  <w:tcW w:w="4138" w:type="pct"/>
                  <w:noWrap w:val="0"/>
                  <w:vAlign w:val="center"/>
                </w:tcPr>
                <w:p w14:paraId="3972A02A">
                  <w:pPr>
                    <w:widowControl/>
                    <w:adjustRightInd w:val="0"/>
                    <w:snapToGrid w:val="0"/>
                    <w:jc w:val="both"/>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每个发电子方阵配置1台35kV油浸式箱式变压器，共配置</w:t>
                  </w:r>
                  <w:r>
                    <w:rPr>
                      <w:rFonts w:hint="eastAsia" w:ascii="Times New Roman" w:hAnsi="Times New Roman" w:cs="Times New Roman"/>
                      <w:color w:val="auto"/>
                      <w:szCs w:val="21"/>
                      <w:lang w:val="en-US" w:eastAsia="zh-CN"/>
                    </w:rPr>
                    <w:t>21</w:t>
                  </w:r>
                  <w:r>
                    <w:rPr>
                      <w:rFonts w:hint="default" w:ascii="Times New Roman" w:hAnsi="Times New Roman" w:cs="Times New Roman"/>
                      <w:color w:val="auto"/>
                      <w:szCs w:val="21"/>
                      <w:lang w:val="en-US" w:eastAsia="zh-CN"/>
                    </w:rPr>
                    <w:t>台，其中1</w:t>
                  </w:r>
                  <w:r>
                    <w:rPr>
                      <w:rFonts w:hint="eastAsia" w:ascii="Times New Roman" w:hAnsi="Times New Roman" w:cs="Times New Roman"/>
                      <w:color w:val="auto"/>
                      <w:szCs w:val="21"/>
                      <w:lang w:val="en-US" w:eastAsia="zh-CN"/>
                    </w:rPr>
                    <w:t>8</w:t>
                  </w:r>
                  <w:r>
                    <w:rPr>
                      <w:rFonts w:hint="default" w:ascii="Times New Roman" w:hAnsi="Times New Roman" w:cs="Times New Roman"/>
                      <w:color w:val="auto"/>
                      <w:szCs w:val="21"/>
                      <w:lang w:val="en-US" w:eastAsia="zh-CN"/>
                    </w:rPr>
                    <w:t>台容量</w:t>
                  </w: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MVA、</w:t>
                  </w: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lang w:val="en-US" w:eastAsia="zh-CN"/>
                    </w:rPr>
                    <w:t>台容量</w:t>
                  </w:r>
                  <w:r>
                    <w:rPr>
                      <w:rFonts w:hint="eastAsia" w:ascii="Times New Roman" w:hAnsi="Times New Roman" w:cs="Times New Roman"/>
                      <w:color w:val="auto"/>
                      <w:szCs w:val="21"/>
                      <w:lang w:val="en-US" w:eastAsia="zh-CN"/>
                    </w:rPr>
                    <w:t>2.4</w:t>
                  </w:r>
                  <w:r>
                    <w:rPr>
                      <w:rFonts w:hint="default" w:ascii="Times New Roman" w:hAnsi="Times New Roman" w:cs="Times New Roman"/>
                      <w:color w:val="auto"/>
                      <w:szCs w:val="21"/>
                      <w:lang w:val="en-US" w:eastAsia="zh-CN"/>
                    </w:rPr>
                    <w:t>MVA、</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lang w:val="en-US" w:eastAsia="zh-CN"/>
                    </w:rPr>
                    <w:t>台容量</w:t>
                  </w:r>
                  <w:r>
                    <w:rPr>
                      <w:rFonts w:hint="eastAsia" w:ascii="Times New Roman" w:hAnsi="Times New Roman" w:cs="Times New Roman"/>
                      <w:color w:val="auto"/>
                      <w:szCs w:val="21"/>
                      <w:lang w:val="en-US" w:eastAsia="zh-CN"/>
                    </w:rPr>
                    <w:t>1.8</w:t>
                  </w:r>
                  <w:r>
                    <w:rPr>
                      <w:rFonts w:hint="default" w:ascii="Times New Roman" w:hAnsi="Times New Roman" w:cs="Times New Roman"/>
                      <w:color w:val="auto"/>
                      <w:szCs w:val="21"/>
                      <w:lang w:val="en-US" w:eastAsia="zh-CN"/>
                    </w:rPr>
                    <w:t>MVA</w:t>
                  </w:r>
                </w:p>
              </w:tc>
            </w:tr>
            <w:tr w14:paraId="607229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122" w:hRule="atLeast"/>
                <w:jc w:val="center"/>
              </w:trPr>
              <w:tc>
                <w:tcPr>
                  <w:tcW w:w="357" w:type="pct"/>
                  <w:vMerge w:val="restart"/>
                  <w:noWrap w:val="0"/>
                  <w:vAlign w:val="center"/>
                </w:tcPr>
                <w:p w14:paraId="6B5BC787">
                  <w:pPr>
                    <w:adjustRightInd w:val="0"/>
                    <w:snapToGrid w:val="0"/>
                    <w:jc w:val="center"/>
                    <w:rPr>
                      <w:rFonts w:hint="default" w:ascii="Times New Roman" w:hAnsi="Times New Roman" w:cs="Times New Roman"/>
                      <w:color w:val="auto"/>
                      <w:szCs w:val="21"/>
                      <w:highlight w:val="yellow"/>
                    </w:rPr>
                  </w:pPr>
                  <w:r>
                    <w:rPr>
                      <w:rFonts w:hint="default" w:ascii="Times New Roman" w:hAnsi="Times New Roman" w:cs="Times New Roman"/>
                      <w:color w:val="auto"/>
                      <w:szCs w:val="21"/>
                    </w:rPr>
                    <w:t>辅助工程</w:t>
                  </w:r>
                </w:p>
              </w:tc>
              <w:tc>
                <w:tcPr>
                  <w:tcW w:w="504" w:type="pct"/>
                  <w:noWrap w:val="0"/>
                  <w:vAlign w:val="center"/>
                </w:tcPr>
                <w:p w14:paraId="4A235979">
                  <w:pPr>
                    <w:widowControl/>
                    <w:adjustRightInd w:val="0"/>
                    <w:snapToGrid w:val="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检修</w:t>
                  </w:r>
                  <w:r>
                    <w:rPr>
                      <w:rFonts w:hint="default" w:ascii="Times New Roman" w:hAnsi="Times New Roman" w:cs="Times New Roman"/>
                      <w:color w:val="auto"/>
                      <w:szCs w:val="21"/>
                    </w:rPr>
                    <w:t>道路</w:t>
                  </w:r>
                </w:p>
              </w:tc>
              <w:tc>
                <w:tcPr>
                  <w:tcW w:w="4138" w:type="pct"/>
                  <w:noWrap w:val="0"/>
                  <w:vAlign w:val="center"/>
                </w:tcPr>
                <w:p w14:paraId="7CBC0410">
                  <w:pPr>
                    <w:widowControl/>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场内改造道路长度约为5.54km，道路路基宽为4.5m，路面宽为3.5m，路面结构采用15cm泥结碎石路面。</w:t>
                  </w:r>
                </w:p>
              </w:tc>
            </w:tr>
            <w:tr w14:paraId="13BAC7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357" w:type="pct"/>
                  <w:vMerge w:val="continue"/>
                  <w:noWrap w:val="0"/>
                  <w:vAlign w:val="center"/>
                </w:tcPr>
                <w:p w14:paraId="7FC08099">
                  <w:pPr>
                    <w:adjustRightInd w:val="0"/>
                    <w:snapToGrid w:val="0"/>
                    <w:jc w:val="center"/>
                    <w:rPr>
                      <w:rFonts w:hint="default" w:ascii="Times New Roman" w:hAnsi="Times New Roman" w:cs="Times New Roman"/>
                      <w:color w:val="auto"/>
                      <w:szCs w:val="21"/>
                      <w:highlight w:val="yellow"/>
                    </w:rPr>
                  </w:pPr>
                </w:p>
              </w:tc>
              <w:tc>
                <w:tcPr>
                  <w:tcW w:w="504" w:type="pct"/>
                  <w:noWrap w:val="0"/>
                  <w:vAlign w:val="center"/>
                </w:tcPr>
                <w:p w14:paraId="4F7E7684">
                  <w:pPr>
                    <w:widowControl/>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围栏</w:t>
                  </w:r>
                </w:p>
              </w:tc>
              <w:tc>
                <w:tcPr>
                  <w:tcW w:w="4138" w:type="pct"/>
                  <w:noWrap w:val="0"/>
                  <w:vAlign w:val="center"/>
                </w:tcPr>
                <w:p w14:paraId="57F0CE8A">
                  <w:pPr>
                    <w:widowControl/>
                    <w:adjustRightInd w:val="0"/>
                    <w:snapToGrid w:val="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rPr>
                    <w:t>光伏阵列区采用1.8m高铁丝围栏</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总长约36km</w:t>
                  </w:r>
                </w:p>
              </w:tc>
            </w:tr>
            <w:tr w14:paraId="6D0B44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357" w:type="pct"/>
                  <w:vMerge w:val="continue"/>
                  <w:noWrap w:val="0"/>
                  <w:vAlign w:val="center"/>
                </w:tcPr>
                <w:p w14:paraId="1473F064">
                  <w:pPr>
                    <w:adjustRightInd w:val="0"/>
                    <w:snapToGrid w:val="0"/>
                    <w:jc w:val="center"/>
                    <w:rPr>
                      <w:rFonts w:hint="default" w:ascii="Times New Roman" w:hAnsi="Times New Roman" w:cs="Times New Roman"/>
                      <w:color w:val="auto"/>
                      <w:szCs w:val="21"/>
                      <w:highlight w:val="yellow"/>
                    </w:rPr>
                  </w:pPr>
                </w:p>
              </w:tc>
              <w:tc>
                <w:tcPr>
                  <w:tcW w:w="504" w:type="pct"/>
                  <w:noWrap w:val="0"/>
                  <w:vAlign w:val="center"/>
                </w:tcPr>
                <w:p w14:paraId="7B465658">
                  <w:pPr>
                    <w:widowControl/>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35kV集电线路 </w:t>
                  </w:r>
                </w:p>
              </w:tc>
              <w:tc>
                <w:tcPr>
                  <w:tcW w:w="4138" w:type="pct"/>
                  <w:noWrap w:val="0"/>
                  <w:vAlign w:val="center"/>
                </w:tcPr>
                <w:p w14:paraId="3D341F3F">
                  <w:pPr>
                    <w:widowControl/>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集电线路采用电缆直埋的敷设形式，3回</w:t>
                  </w:r>
                  <w:r>
                    <w:rPr>
                      <w:rFonts w:hint="default" w:ascii="Times New Roman" w:hAnsi="Times New Roman" w:cs="Times New Roman"/>
                      <w:color w:val="auto"/>
                      <w:szCs w:val="21"/>
                      <w:lang w:val="en-US" w:eastAsia="zh-CN"/>
                    </w:rPr>
                    <w:t>35kV</w:t>
                  </w:r>
                  <w:r>
                    <w:rPr>
                      <w:rFonts w:hint="eastAsia" w:ascii="Times New Roman" w:hAnsi="Times New Roman" w:cs="Times New Roman"/>
                      <w:color w:val="auto"/>
                      <w:szCs w:val="21"/>
                      <w:lang w:val="en-US" w:eastAsia="zh-CN"/>
                    </w:rPr>
                    <w:t>集电线路总长度27.3km。</w:t>
                  </w:r>
                </w:p>
              </w:tc>
            </w:tr>
            <w:tr w14:paraId="4AEBD7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357" w:type="pct"/>
                  <w:vMerge w:val="restart"/>
                  <w:noWrap w:val="0"/>
                  <w:vAlign w:val="center"/>
                </w:tcPr>
                <w:p w14:paraId="169AA799">
                  <w:pPr>
                    <w:widowControl/>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临时工程</w:t>
                  </w:r>
                </w:p>
              </w:tc>
              <w:tc>
                <w:tcPr>
                  <w:tcW w:w="504" w:type="pct"/>
                  <w:noWrap w:val="0"/>
                  <w:vAlign w:val="center"/>
                </w:tcPr>
                <w:p w14:paraId="21D2B108">
                  <w:pPr>
                    <w:widowControl/>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施工营地</w:t>
                  </w:r>
                </w:p>
              </w:tc>
              <w:tc>
                <w:tcPr>
                  <w:tcW w:w="4138" w:type="pct"/>
                  <w:noWrap w:val="0"/>
                  <w:vAlign w:val="center"/>
                </w:tcPr>
                <w:p w14:paraId="4737EE3D">
                  <w:pPr>
                    <w:widowControl/>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本项目不再布设施工营地，施工机械设备租用居民院落停放，使用商品混凝土，车辆无法到达区域人工小推车运输，光伏组组件安装时，设备直接运输至现场进行组装，施工人员食宿租赁附近民居，现场办公租赁附近民居。</w:t>
                  </w:r>
                </w:p>
              </w:tc>
            </w:tr>
            <w:tr w14:paraId="405C80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357" w:type="pct"/>
                  <w:vMerge w:val="continue"/>
                  <w:noWrap w:val="0"/>
                  <w:vAlign w:val="center"/>
                </w:tcPr>
                <w:p w14:paraId="0AD5FD60">
                  <w:pPr>
                    <w:adjustRightInd w:val="0"/>
                    <w:snapToGrid w:val="0"/>
                    <w:jc w:val="center"/>
                    <w:rPr>
                      <w:rFonts w:hint="eastAsia" w:ascii="Times New Roman" w:hAnsi="Times New Roman" w:cs="Times New Roman"/>
                      <w:color w:val="auto"/>
                      <w:szCs w:val="21"/>
                      <w:highlight w:val="yellow"/>
                      <w:lang w:val="en-US" w:eastAsia="zh-CN"/>
                    </w:rPr>
                  </w:pPr>
                </w:p>
              </w:tc>
              <w:tc>
                <w:tcPr>
                  <w:tcW w:w="504" w:type="pct"/>
                  <w:noWrap w:val="0"/>
                  <w:vAlign w:val="center"/>
                </w:tcPr>
                <w:p w14:paraId="79B12FCF">
                  <w:pPr>
                    <w:widowControl/>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施工道路（检修</w:t>
                  </w:r>
                  <w:r>
                    <w:rPr>
                      <w:rFonts w:hint="default" w:ascii="Times New Roman" w:hAnsi="Times New Roman" w:cs="Times New Roman"/>
                      <w:color w:val="auto"/>
                      <w:szCs w:val="21"/>
                    </w:rPr>
                    <w:t>道路</w:t>
                  </w:r>
                  <w:r>
                    <w:rPr>
                      <w:rFonts w:hint="eastAsia" w:ascii="Times New Roman" w:hAnsi="Times New Roman" w:cs="Times New Roman"/>
                      <w:color w:val="auto"/>
                      <w:szCs w:val="21"/>
                      <w:lang w:val="en-US" w:eastAsia="zh-CN"/>
                    </w:rPr>
                    <w:t>）</w:t>
                  </w:r>
                </w:p>
              </w:tc>
              <w:tc>
                <w:tcPr>
                  <w:tcW w:w="4138" w:type="pct"/>
                  <w:noWrap w:val="0"/>
                  <w:vAlign w:val="center"/>
                </w:tcPr>
                <w:p w14:paraId="6D9F2899">
                  <w:pPr>
                    <w:widowControl/>
                    <w:adjustRightInd w:val="0"/>
                    <w:snapToGrid w:val="0"/>
                    <w:jc w:val="left"/>
                    <w:rPr>
                      <w:rFonts w:hint="eastAsia" w:ascii="Times New Roman" w:hAnsi="Times New Roman" w:cs="Times New Roman"/>
                      <w:color w:val="auto"/>
                      <w:szCs w:val="21"/>
                      <w:lang w:val="en-US" w:eastAsia="zh-CN"/>
                    </w:rPr>
                  </w:pPr>
                  <w:r>
                    <w:rPr>
                      <w:rFonts w:hint="default" w:ascii="Times New Roman" w:hAnsi="Times New Roman" w:cs="Times New Roman"/>
                      <w:color w:val="auto"/>
                      <w:kern w:val="0"/>
                      <w:szCs w:val="21"/>
                      <w:lang w:bidi="ar"/>
                    </w:rPr>
                    <w:t>场内改造道路长度约为5.54km，道路路基宽为4.5m，路面宽为3.5m，路面结构采用15cm泥结碎石路面。</w:t>
                  </w:r>
                </w:p>
              </w:tc>
            </w:tr>
            <w:tr w14:paraId="0D1B0E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357" w:type="pct"/>
                  <w:vMerge w:val="restart"/>
                  <w:noWrap w:val="0"/>
                  <w:vAlign w:val="center"/>
                </w:tcPr>
                <w:p w14:paraId="6DD1DE06">
                  <w:pPr>
                    <w:adjustRightInd w:val="0"/>
                    <w:snapToGrid w:val="0"/>
                    <w:jc w:val="center"/>
                    <w:rPr>
                      <w:rFonts w:hint="default" w:ascii="Times New Roman" w:hAnsi="Times New Roman" w:cs="Times New Roman"/>
                      <w:color w:val="auto"/>
                      <w:szCs w:val="21"/>
                      <w:highlight w:val="yellow"/>
                    </w:rPr>
                  </w:pPr>
                  <w:r>
                    <w:rPr>
                      <w:rFonts w:hint="default" w:ascii="Times New Roman" w:hAnsi="Times New Roman" w:cs="Times New Roman"/>
                      <w:color w:val="auto"/>
                      <w:szCs w:val="21"/>
                    </w:rPr>
                    <w:t>公用工程</w:t>
                  </w:r>
                </w:p>
              </w:tc>
              <w:tc>
                <w:tcPr>
                  <w:tcW w:w="504" w:type="pct"/>
                  <w:noWrap w:val="0"/>
                  <w:vAlign w:val="center"/>
                </w:tcPr>
                <w:p w14:paraId="7D0C75A5">
                  <w:pPr>
                    <w:widowControl/>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供水</w:t>
                  </w:r>
                </w:p>
              </w:tc>
              <w:tc>
                <w:tcPr>
                  <w:tcW w:w="4138" w:type="pct"/>
                  <w:noWrap w:val="0"/>
                  <w:vAlign w:val="center"/>
                </w:tcPr>
                <w:p w14:paraId="78685620">
                  <w:pPr>
                    <w:widowControl/>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光伏厂区光伏板清洗用水附近村庄拉运</w:t>
                  </w:r>
                </w:p>
              </w:tc>
            </w:tr>
            <w:tr w14:paraId="4B1BAE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357" w:type="pct"/>
                  <w:vMerge w:val="continue"/>
                  <w:noWrap w:val="0"/>
                  <w:vAlign w:val="center"/>
                </w:tcPr>
                <w:p w14:paraId="7C53ED4B">
                  <w:pPr>
                    <w:adjustRightInd w:val="0"/>
                    <w:snapToGrid w:val="0"/>
                    <w:jc w:val="center"/>
                    <w:rPr>
                      <w:rFonts w:hint="default" w:ascii="Times New Roman" w:hAnsi="Times New Roman" w:cs="Times New Roman"/>
                      <w:color w:val="auto"/>
                      <w:szCs w:val="21"/>
                    </w:rPr>
                  </w:pPr>
                </w:p>
              </w:tc>
              <w:tc>
                <w:tcPr>
                  <w:tcW w:w="504" w:type="pct"/>
                  <w:noWrap w:val="0"/>
                  <w:vAlign w:val="center"/>
                </w:tcPr>
                <w:p w14:paraId="1C7805DA">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排水</w:t>
                  </w:r>
                </w:p>
              </w:tc>
              <w:tc>
                <w:tcPr>
                  <w:tcW w:w="4138" w:type="pct"/>
                  <w:noWrap w:val="0"/>
                  <w:vAlign w:val="center"/>
                </w:tcPr>
                <w:p w14:paraId="12C6D889">
                  <w:pPr>
                    <w:adjustRightInd w:val="0"/>
                    <w:snapToGrid w:val="0"/>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val="en-US" w:eastAsia="zh-CN"/>
                    </w:rPr>
                    <w:t>光伏区清洗废水自然蒸发</w:t>
                  </w:r>
                </w:p>
              </w:tc>
            </w:tr>
            <w:tr w14:paraId="4C36C2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357" w:type="pct"/>
                  <w:vMerge w:val="continue"/>
                  <w:noWrap w:val="0"/>
                  <w:vAlign w:val="center"/>
                </w:tcPr>
                <w:p w14:paraId="02D124F2">
                  <w:pPr>
                    <w:adjustRightInd w:val="0"/>
                    <w:snapToGrid w:val="0"/>
                    <w:jc w:val="center"/>
                    <w:rPr>
                      <w:rFonts w:hint="default" w:ascii="Times New Roman" w:hAnsi="Times New Roman" w:cs="Times New Roman"/>
                      <w:color w:val="auto"/>
                      <w:szCs w:val="21"/>
                    </w:rPr>
                  </w:pPr>
                </w:p>
              </w:tc>
              <w:tc>
                <w:tcPr>
                  <w:tcW w:w="504" w:type="pct"/>
                  <w:noWrap w:val="0"/>
                  <w:vAlign w:val="center"/>
                </w:tcPr>
                <w:p w14:paraId="1BFC480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供电</w:t>
                  </w:r>
                </w:p>
              </w:tc>
              <w:tc>
                <w:tcPr>
                  <w:tcW w:w="4138" w:type="pct"/>
                  <w:noWrap w:val="0"/>
                  <w:vAlign w:val="center"/>
                </w:tcPr>
                <w:p w14:paraId="5556BDF9">
                  <w:pPr>
                    <w:adjustRightInd w:val="0"/>
                    <w:snapToGrid w:val="0"/>
                    <w:jc w:val="center"/>
                    <w:rPr>
                      <w:rFonts w:hint="default" w:ascii="Times New Roman" w:hAnsi="Times New Roman" w:cs="Times New Roman"/>
                      <w:color w:val="auto"/>
                      <w:szCs w:val="21"/>
                      <w:lang w:val="en-US"/>
                    </w:rPr>
                  </w:pPr>
                  <w:r>
                    <w:rPr>
                      <w:rFonts w:hint="eastAsia" w:ascii="Times New Roman" w:hAnsi="Times New Roman" w:cs="Times New Roman"/>
                      <w:color w:val="auto"/>
                      <w:szCs w:val="21"/>
                      <w:lang w:val="en-US" w:eastAsia="zh-CN"/>
                    </w:rPr>
                    <w:t>施工期</w:t>
                  </w:r>
                  <w:r>
                    <w:rPr>
                      <w:rFonts w:hint="eastAsia" w:ascii="Times New Roman" w:hAnsi="Times New Roman" w:cs="Times New Roman"/>
                      <w:color w:val="auto"/>
                      <w:szCs w:val="21"/>
                      <w:lang w:eastAsia="zh-CN"/>
                    </w:rPr>
                    <w:t>可引接附近村庄10kV农网，引接长度约2km。另备用4台75kW柴油发电机作为施工备用电源。</w:t>
                  </w:r>
                </w:p>
              </w:tc>
            </w:tr>
            <w:tr w14:paraId="138F49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357" w:type="pct"/>
                  <w:vMerge w:val="continue"/>
                  <w:noWrap w:val="0"/>
                  <w:vAlign w:val="center"/>
                </w:tcPr>
                <w:p w14:paraId="4F48F8A1">
                  <w:pPr>
                    <w:adjustRightInd w:val="0"/>
                    <w:snapToGrid w:val="0"/>
                    <w:jc w:val="center"/>
                    <w:rPr>
                      <w:rFonts w:hint="default" w:ascii="Times New Roman" w:hAnsi="Times New Roman" w:cs="Times New Roman"/>
                      <w:color w:val="auto"/>
                      <w:szCs w:val="21"/>
                    </w:rPr>
                  </w:pPr>
                </w:p>
              </w:tc>
              <w:tc>
                <w:tcPr>
                  <w:tcW w:w="504" w:type="pct"/>
                  <w:noWrap w:val="0"/>
                  <w:vAlign w:val="center"/>
                </w:tcPr>
                <w:p w14:paraId="29F89F2B">
                  <w:pPr>
                    <w:adjustRightInd w:val="0"/>
                    <w:snapToGrid w:val="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消防</w:t>
                  </w:r>
                </w:p>
              </w:tc>
              <w:tc>
                <w:tcPr>
                  <w:tcW w:w="4138" w:type="pct"/>
                  <w:noWrap w:val="0"/>
                  <w:vAlign w:val="center"/>
                </w:tcPr>
                <w:p w14:paraId="14AC86E9">
                  <w:pPr>
                    <w:adjustRightInd w:val="0"/>
                    <w:snapToGrid w:val="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光伏厂区每台箱变配备2台手提式干粉灭火器；</w:t>
                  </w:r>
                </w:p>
              </w:tc>
            </w:tr>
            <w:tr w14:paraId="31FB9A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357" w:type="pct"/>
                  <w:vMerge w:val="continue"/>
                  <w:noWrap w:val="0"/>
                  <w:vAlign w:val="center"/>
                </w:tcPr>
                <w:p w14:paraId="0D4B230A">
                  <w:pPr>
                    <w:adjustRightInd w:val="0"/>
                    <w:snapToGrid w:val="0"/>
                    <w:jc w:val="center"/>
                    <w:rPr>
                      <w:rFonts w:hint="default" w:ascii="Times New Roman" w:hAnsi="Times New Roman" w:cs="Times New Roman"/>
                      <w:color w:val="auto"/>
                      <w:szCs w:val="21"/>
                    </w:rPr>
                  </w:pPr>
                </w:p>
              </w:tc>
              <w:tc>
                <w:tcPr>
                  <w:tcW w:w="504" w:type="pct"/>
                  <w:noWrap w:val="0"/>
                  <w:vAlign w:val="center"/>
                </w:tcPr>
                <w:p w14:paraId="407DC25D">
                  <w:pPr>
                    <w:adjustRightInd w:val="0"/>
                    <w:snapToGrid w:val="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供暖</w:t>
                  </w:r>
                </w:p>
              </w:tc>
              <w:tc>
                <w:tcPr>
                  <w:tcW w:w="4138" w:type="pct"/>
                  <w:noWrap w:val="0"/>
                  <w:vAlign w:val="center"/>
                </w:tcPr>
                <w:p w14:paraId="409C8AA9">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项目无需供暖</w:t>
                  </w:r>
                </w:p>
              </w:tc>
            </w:tr>
            <w:tr w14:paraId="00BD8B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357" w:type="pct"/>
                  <w:vMerge w:val="restart"/>
                  <w:noWrap w:val="0"/>
                  <w:vAlign w:val="center"/>
                </w:tcPr>
                <w:p w14:paraId="094AC7C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环保工程</w:t>
                  </w:r>
                </w:p>
              </w:tc>
              <w:tc>
                <w:tcPr>
                  <w:tcW w:w="504" w:type="pct"/>
                  <w:noWrap w:val="0"/>
                  <w:vAlign w:val="center"/>
                </w:tcPr>
                <w:p w14:paraId="58E996B8">
                  <w:pPr>
                    <w:adjustRightInd w:val="0"/>
                    <w:snapToGrid w:val="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lang w:val="en-US" w:eastAsia="zh-CN"/>
                    </w:rPr>
                    <w:t>废水</w:t>
                  </w:r>
                </w:p>
              </w:tc>
              <w:tc>
                <w:tcPr>
                  <w:tcW w:w="4138" w:type="pct"/>
                  <w:noWrap w:val="0"/>
                  <w:vAlign w:val="center"/>
                </w:tcPr>
                <w:p w14:paraId="45FB1A30">
                  <w:pPr>
                    <w:adjustRightInd w:val="0"/>
                    <w:snapToGrid w:val="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光伏区清洗废水自然蒸发</w:t>
                  </w:r>
                </w:p>
              </w:tc>
            </w:tr>
            <w:tr w14:paraId="4E89CD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666" w:hRule="atLeast"/>
                <w:jc w:val="center"/>
              </w:trPr>
              <w:tc>
                <w:tcPr>
                  <w:tcW w:w="357" w:type="pct"/>
                  <w:vMerge w:val="continue"/>
                  <w:noWrap w:val="0"/>
                  <w:vAlign w:val="center"/>
                </w:tcPr>
                <w:p w14:paraId="5AD0AFDD">
                  <w:pPr>
                    <w:adjustRightInd w:val="0"/>
                    <w:snapToGrid w:val="0"/>
                    <w:jc w:val="center"/>
                    <w:rPr>
                      <w:rFonts w:hint="default" w:ascii="Times New Roman" w:hAnsi="Times New Roman" w:cs="Times New Roman"/>
                      <w:color w:val="auto"/>
                      <w:szCs w:val="21"/>
                      <w:highlight w:val="yellow"/>
                    </w:rPr>
                  </w:pPr>
                </w:p>
              </w:tc>
              <w:tc>
                <w:tcPr>
                  <w:tcW w:w="504" w:type="pct"/>
                  <w:noWrap w:val="0"/>
                  <w:vAlign w:val="center"/>
                </w:tcPr>
                <w:p w14:paraId="4693649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固废</w:t>
                  </w:r>
                </w:p>
              </w:tc>
              <w:tc>
                <w:tcPr>
                  <w:tcW w:w="4138" w:type="pct"/>
                  <w:noWrap w:val="0"/>
                  <w:vAlign w:val="center"/>
                </w:tcPr>
                <w:p w14:paraId="11B7D29D">
                  <w:pPr>
                    <w:adjustRightInd w:val="0"/>
                    <w:snapToGrid w:val="0"/>
                    <w:jc w:val="left"/>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rPr>
                    <w:t>一般固废：废光伏组件</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废逆变器等由专业厂家更换，更换后由厂家收集并带走，不在光伏场区暂存，光伏区域箱式变压器下方设置2m</w:t>
                  </w:r>
                  <w:r>
                    <w:rPr>
                      <w:rFonts w:hint="eastAsia" w:ascii="Times New Roman" w:hAnsi="Times New Roman" w:cs="Times New Roman"/>
                      <w:color w:val="auto"/>
                      <w:szCs w:val="21"/>
                      <w:highlight w:val="none"/>
                      <w:vertAlign w:val="superscript"/>
                      <w:lang w:val="en-US" w:eastAsia="zh-CN"/>
                    </w:rPr>
                    <w:t>3</w:t>
                  </w:r>
                  <w:r>
                    <w:rPr>
                      <w:rFonts w:hint="eastAsia" w:ascii="Times New Roman" w:hAnsi="Times New Roman" w:cs="Times New Roman"/>
                      <w:color w:val="auto"/>
                      <w:szCs w:val="21"/>
                      <w:highlight w:val="none"/>
                      <w:lang w:val="en-US" w:eastAsia="zh-CN"/>
                    </w:rPr>
                    <w:t>事故油池，箱变废油产生后暂存箱变下方事故油池，由有资质单位收集处置</w:t>
                  </w:r>
                  <w:r>
                    <w:rPr>
                      <w:rFonts w:hint="eastAsia" w:ascii="Times New Roman" w:hAnsi="Times New Roman" w:cs="Times New Roman"/>
                      <w:color w:val="auto"/>
                      <w:szCs w:val="21"/>
                      <w:highlight w:val="none"/>
                      <w:lang w:eastAsia="zh-CN"/>
                    </w:rPr>
                    <w:t>；</w:t>
                  </w:r>
                </w:p>
              </w:tc>
            </w:tr>
            <w:tr w14:paraId="28FDE4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357" w:type="pct"/>
                  <w:vMerge w:val="continue"/>
                  <w:noWrap w:val="0"/>
                  <w:vAlign w:val="center"/>
                </w:tcPr>
                <w:p w14:paraId="269DB166">
                  <w:pPr>
                    <w:adjustRightInd w:val="0"/>
                    <w:snapToGrid w:val="0"/>
                    <w:jc w:val="center"/>
                    <w:rPr>
                      <w:rFonts w:hint="default" w:ascii="Times New Roman" w:hAnsi="Times New Roman" w:cs="Times New Roman"/>
                      <w:color w:val="auto"/>
                      <w:szCs w:val="21"/>
                      <w:highlight w:val="yellow"/>
                    </w:rPr>
                  </w:pPr>
                </w:p>
              </w:tc>
              <w:tc>
                <w:tcPr>
                  <w:tcW w:w="504" w:type="pct"/>
                  <w:noWrap w:val="0"/>
                  <w:vAlign w:val="center"/>
                </w:tcPr>
                <w:p w14:paraId="3687605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4138" w:type="pct"/>
                  <w:noWrap w:val="0"/>
                  <w:vAlign w:val="center"/>
                </w:tcPr>
                <w:p w14:paraId="5892FE4B">
                  <w:pPr>
                    <w:adjustRightInd w:val="0"/>
                    <w:snapToGrid w:val="0"/>
                    <w:jc w:val="left"/>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箱式变压器采用基础减震，布置在远离居民的区域</w:t>
                  </w:r>
                  <w:r>
                    <w:rPr>
                      <w:rFonts w:hint="default" w:ascii="Times New Roman" w:hAnsi="Times New Roman" w:cs="Times New Roman"/>
                      <w:color w:val="auto"/>
                      <w:szCs w:val="21"/>
                    </w:rPr>
                    <w:t>；加强进出入项目区车辆管理，禁止长时间鸣笛，控制车速</w:t>
                  </w:r>
                </w:p>
              </w:tc>
            </w:tr>
            <w:tr w14:paraId="657B92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439" w:hRule="atLeast"/>
                <w:jc w:val="center"/>
              </w:trPr>
              <w:tc>
                <w:tcPr>
                  <w:tcW w:w="357" w:type="pct"/>
                  <w:vMerge w:val="continue"/>
                  <w:noWrap w:val="0"/>
                  <w:vAlign w:val="center"/>
                </w:tcPr>
                <w:p w14:paraId="22BE886F">
                  <w:pPr>
                    <w:adjustRightInd w:val="0"/>
                    <w:snapToGrid w:val="0"/>
                    <w:jc w:val="center"/>
                    <w:rPr>
                      <w:rFonts w:hint="default" w:ascii="Times New Roman" w:hAnsi="Times New Roman" w:cs="Times New Roman"/>
                      <w:color w:val="auto"/>
                      <w:szCs w:val="21"/>
                      <w:highlight w:val="yellow"/>
                    </w:rPr>
                  </w:pPr>
                </w:p>
              </w:tc>
              <w:tc>
                <w:tcPr>
                  <w:tcW w:w="504" w:type="pct"/>
                  <w:noWrap w:val="0"/>
                  <w:vAlign w:val="center"/>
                </w:tcPr>
                <w:p w14:paraId="4C72853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生态保护</w:t>
                  </w:r>
                </w:p>
              </w:tc>
              <w:tc>
                <w:tcPr>
                  <w:tcW w:w="4138" w:type="pct"/>
                  <w:noWrap w:val="0"/>
                  <w:vAlign w:val="center"/>
                </w:tcPr>
                <w:p w14:paraId="337FEF8D">
                  <w:pPr>
                    <w:adjustRightInd w:val="0"/>
                    <w:snapToGrid w:val="0"/>
                    <w:jc w:val="left"/>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rPr>
                    <w:t>施工不得超出项目占地范围，减少施工开挖面积，施工结束后</w:t>
                  </w:r>
                  <w:r>
                    <w:rPr>
                      <w:rFonts w:hint="eastAsia" w:ascii="Times New Roman" w:hAnsi="Times New Roman" w:cs="Times New Roman"/>
                      <w:color w:val="auto"/>
                      <w:szCs w:val="21"/>
                      <w:lang w:eastAsia="zh-CN"/>
                    </w:rPr>
                    <w:t>裸露地面进行植被恢复</w:t>
                  </w:r>
                </w:p>
              </w:tc>
            </w:tr>
            <w:tr w14:paraId="44FE2F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561" w:hRule="atLeast"/>
                <w:jc w:val="center"/>
              </w:trPr>
              <w:tc>
                <w:tcPr>
                  <w:tcW w:w="357" w:type="pct"/>
                  <w:vMerge w:val="continue"/>
                  <w:noWrap w:val="0"/>
                  <w:vAlign w:val="center"/>
                </w:tcPr>
                <w:p w14:paraId="7BA1A491">
                  <w:pPr>
                    <w:adjustRightInd w:val="0"/>
                    <w:snapToGrid w:val="0"/>
                    <w:jc w:val="center"/>
                    <w:rPr>
                      <w:rFonts w:hint="default" w:ascii="Times New Roman" w:hAnsi="Times New Roman" w:cs="Times New Roman"/>
                      <w:color w:val="auto"/>
                      <w:szCs w:val="21"/>
                      <w:highlight w:val="yellow"/>
                    </w:rPr>
                  </w:pPr>
                </w:p>
              </w:tc>
              <w:tc>
                <w:tcPr>
                  <w:tcW w:w="504" w:type="pct"/>
                  <w:noWrap w:val="0"/>
                  <w:vAlign w:val="center"/>
                </w:tcPr>
                <w:p w14:paraId="0CA31C4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服务期满后固废</w:t>
                  </w:r>
                </w:p>
              </w:tc>
              <w:tc>
                <w:tcPr>
                  <w:tcW w:w="4138" w:type="pct"/>
                  <w:noWrap w:val="0"/>
                  <w:vAlign w:val="center"/>
                </w:tcPr>
                <w:p w14:paraId="04258D47">
                  <w:pPr>
                    <w:adjustRightInd w:val="0"/>
                    <w:snapToGrid w:val="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太阳能组件由有资质单位回收；</w:t>
                  </w:r>
                  <w:r>
                    <w:rPr>
                      <w:rFonts w:hint="eastAsia" w:ascii="Times New Roman" w:hAnsi="Times New Roman" w:cs="Times New Roman"/>
                      <w:color w:val="auto"/>
                      <w:szCs w:val="21"/>
                      <w:highlight w:val="none"/>
                      <w:lang w:val="en-US" w:eastAsia="zh-CN"/>
                    </w:rPr>
                    <w:t>箱式</w:t>
                  </w:r>
                  <w:r>
                    <w:rPr>
                      <w:rFonts w:hint="default" w:ascii="Times New Roman" w:hAnsi="Times New Roman" w:cs="Times New Roman"/>
                      <w:color w:val="auto"/>
                      <w:szCs w:val="21"/>
                      <w:highlight w:val="none"/>
                    </w:rPr>
                    <w:t>变压器、逆变器等由有资质单位回收拆解并处置</w:t>
                  </w:r>
                </w:p>
              </w:tc>
            </w:tr>
          </w:tbl>
          <w:p w14:paraId="360295D9">
            <w:pPr>
              <w:adjustRightInd w:val="0"/>
              <w:snapToGrid w:val="0"/>
              <w:spacing w:line="360" w:lineRule="auto"/>
              <w:ind w:firstLine="482" w:firstLineChars="200"/>
              <w:jc w:val="left"/>
              <w:rPr>
                <w:rFonts w:hint="default"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4、设计方案</w:t>
            </w:r>
          </w:p>
          <w:p w14:paraId="3AA4CF3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4.1光伏场</w:t>
            </w:r>
          </w:p>
          <w:p w14:paraId="77A4CBC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（1）规模容量：本光伏电站工程直流侧容量72.27584MWp，输出容量60MW。</w:t>
            </w:r>
          </w:p>
          <w:p w14:paraId="3391E36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光伏方阵：光伏场区共包括21个发电子方阵（其中18个3.0MW方阵、1个2.4MW方阵、2个1.8MW方阵），安装106288块680Wp单晶硅光伏组件，每28块光伏组件为一串，每21~26路组串接入1台300kW组串式逆变器，每个3.0MW单晶硅电池发电单元由190路光伏组串并联而成，每个2.4MW单晶硅电池发电单元由152路光伏组串并联而成，每个1.8MW单晶硅电池发电单元由114路光伏组串并联而成。光伏组串由28个光伏组件串联而成。接入35kV箱式变压器，将逆变器输出的低压交流电升压至35kV，共21个组串式子方阵，每个子方阵设置1台35kV箱式变压器，共计21个箱式变压器。</w:t>
            </w:r>
          </w:p>
          <w:p w14:paraId="1086EB3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本项目以3回35kV集电线路接入配套新建110kV升压站。</w:t>
            </w:r>
          </w:p>
          <w:p w14:paraId="76E7B01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（3）组件选型：光伏组件单块容量为680Wp，光伏组件尺寸为2384mm×1303mm×33mm。组件使用寿命不低于25年。</w:t>
            </w:r>
          </w:p>
          <w:p w14:paraId="173C40E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4）支架布设：本项目光伏组件组串南北向中心桩间距不小于8m，光伏组串东西向桩间距不小于4.5m，光伏支架最低点高于地面2.5m本工程的光伏组串单元的排列方式为横排布置：将1组光伏组串（每串28块组件）的每块组件竖向放置，排成2行14列，为减少风压，组件与组件之间留有20mm空隙。</w:t>
            </w:r>
          </w:p>
          <w:p w14:paraId="5F5FA31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光伏支架基础采用PHC-300-AB-70混凝土预制管桩基础。</w:t>
            </w:r>
          </w:p>
          <w:p w14:paraId="4F6467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（5）组串式逆变器：200台300kW组串式逆变器安装于光伏组件支架立柱上，户外安装。</w:t>
            </w:r>
          </w:p>
          <w:p w14:paraId="5F91D07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（6）35kV箱式变压器：每个光伏方阵配置一台35kV箱式变压器，本项目采用35kV三相双绕组无励磁调压变压器，共布设21台（其中18台容量3MVA、1台容量2.4MVA、2台容量1.8MVA）。</w:t>
            </w:r>
          </w:p>
          <w:p w14:paraId="5E4FB17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（7）集电线路</w:t>
            </w:r>
          </w:p>
          <w:p w14:paraId="1EE5249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本项目以3回35kV集电线路接入配套新建110kV升压站。</w:t>
            </w:r>
            <w:r>
              <w:rPr>
                <w:rFonts w:hint="eastAsia" w:ascii="Times New Roman" w:hAnsi="Times New Roman" w:eastAsia="宋体" w:cs="Times New Roman"/>
                <w:color w:val="auto"/>
                <w:kern w:val="0"/>
                <w:sz w:val="24"/>
                <w:szCs w:val="24"/>
                <w:lang w:val="en-US" w:eastAsia="zh-CN" w:bidi="ar"/>
              </w:rPr>
              <w:t>集电线路采用电缆直埋的敷设形式，3回</w:t>
            </w:r>
            <w:r>
              <w:rPr>
                <w:rFonts w:hint="default" w:ascii="Times New Roman" w:hAnsi="Times New Roman" w:eastAsia="宋体" w:cs="Times New Roman"/>
                <w:color w:val="auto"/>
                <w:kern w:val="0"/>
                <w:sz w:val="24"/>
                <w:szCs w:val="24"/>
                <w:lang w:val="en-US" w:eastAsia="zh-CN" w:bidi="ar"/>
              </w:rPr>
              <w:t>35kV</w:t>
            </w:r>
            <w:r>
              <w:rPr>
                <w:rFonts w:hint="eastAsia" w:ascii="Times New Roman" w:hAnsi="Times New Roman" w:eastAsia="宋体" w:cs="Times New Roman"/>
                <w:color w:val="auto"/>
                <w:kern w:val="0"/>
                <w:sz w:val="24"/>
                <w:szCs w:val="24"/>
                <w:lang w:val="en-US" w:eastAsia="zh-CN" w:bidi="ar"/>
              </w:rPr>
              <w:t>集电线路总长度27.3km。</w:t>
            </w:r>
          </w:p>
          <w:p w14:paraId="2F4AEB2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（8）道路工程</w:t>
            </w:r>
          </w:p>
          <w:p w14:paraId="3B93BE8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光伏场区进场道路从当地附近乡村混凝土道路引接，场内改造道路长度约为5.54km，道路路基宽为4.5m，路面宽为3.5m，路面结构采用15cm泥结碎石路面。</w:t>
            </w:r>
          </w:p>
          <w:p w14:paraId="5CF810DE">
            <w:pPr>
              <w:adjustRightInd w:val="0"/>
              <w:snapToGrid w:val="0"/>
              <w:spacing w:line="360" w:lineRule="auto"/>
              <w:ind w:firstLine="482" w:firstLineChars="200"/>
              <w:jc w:val="left"/>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5、项目地块分区</w:t>
            </w:r>
          </w:p>
          <w:p w14:paraId="0BAF0126">
            <w:pPr>
              <w:adjustRightInd w:val="0"/>
              <w:snapToGrid w:val="0"/>
              <w:spacing w:line="360" w:lineRule="auto"/>
              <w:jc w:val="center"/>
              <w:textAlignment w:val="baseline"/>
              <w:rPr>
                <w:rFonts w:hint="default" w:ascii="Times New Roman" w:hAnsi="Times New Roman" w:eastAsia="宋体" w:cs="Times New Roman"/>
                <w:b/>
                <w:color w:val="auto"/>
                <w:sz w:val="24"/>
                <w:szCs w:val="32"/>
                <w:highlight w:val="none"/>
                <w:lang w:val="en-US" w:eastAsia="zh-CN"/>
              </w:rPr>
            </w:pPr>
            <w:r>
              <w:rPr>
                <w:rFonts w:hint="eastAsia" w:ascii="Times New Roman" w:hAnsi="Times New Roman" w:cs="Times New Roman"/>
                <w:b/>
                <w:bCs/>
                <w:color w:val="auto"/>
                <w:lang w:val="en-US" w:eastAsia="zh-CN"/>
              </w:rPr>
              <w:t>表2-2项目地块分区一览表</w:t>
            </w:r>
          </w:p>
          <w:tbl>
            <w:tblPr>
              <w:tblStyle w:val="2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67"/>
              <w:gridCol w:w="4628"/>
              <w:gridCol w:w="1056"/>
              <w:gridCol w:w="1109"/>
              <w:gridCol w:w="1266"/>
            </w:tblGrid>
            <w:tr w14:paraId="61C1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pct"/>
                  <w:shd w:val="clear" w:color="auto" w:fill="auto"/>
                  <w:noWrap/>
                  <w:vAlign w:val="center"/>
                </w:tcPr>
                <w:p w14:paraId="0E0CCAD5">
                  <w:pPr>
                    <w:widowControl/>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区域</w:t>
                  </w:r>
                </w:p>
              </w:tc>
              <w:tc>
                <w:tcPr>
                  <w:tcW w:w="2593" w:type="pct"/>
                  <w:shd w:val="clear" w:color="auto" w:fill="auto"/>
                  <w:noWrap/>
                  <w:vAlign w:val="center"/>
                </w:tcPr>
                <w:p w14:paraId="16A86A5E">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序号</w:t>
                  </w:r>
                </w:p>
              </w:tc>
              <w:tc>
                <w:tcPr>
                  <w:tcW w:w="589" w:type="pct"/>
                  <w:shd w:val="clear" w:color="auto" w:fill="auto"/>
                  <w:noWrap/>
                  <w:vAlign w:val="center"/>
                </w:tcPr>
                <w:p w14:paraId="23B713AB">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占地类型</w:t>
                  </w:r>
                </w:p>
              </w:tc>
              <w:tc>
                <w:tcPr>
                  <w:tcW w:w="619" w:type="pct"/>
                  <w:shd w:val="clear" w:color="auto" w:fill="auto"/>
                  <w:noWrap/>
                  <w:vAlign w:val="center"/>
                </w:tcPr>
                <w:p w14:paraId="05482BE5">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占地面积</w:t>
                  </w:r>
                </w:p>
              </w:tc>
              <w:tc>
                <w:tcPr>
                  <w:tcW w:w="707" w:type="pct"/>
                  <w:shd w:val="clear" w:color="auto" w:fill="auto"/>
                  <w:noWrap/>
                  <w:vAlign w:val="center"/>
                </w:tcPr>
                <w:p w14:paraId="0DED1F91">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所属村庄</w:t>
                  </w:r>
                </w:p>
              </w:tc>
            </w:tr>
            <w:tr w14:paraId="600A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pct"/>
                  <w:vMerge w:val="restart"/>
                  <w:shd w:val="clear" w:color="auto" w:fill="auto"/>
                  <w:vAlign w:val="center"/>
                </w:tcPr>
                <w:p w14:paraId="23754B1E">
                  <w:pPr>
                    <w:widowControl/>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光伏场</w:t>
                  </w:r>
                </w:p>
              </w:tc>
              <w:tc>
                <w:tcPr>
                  <w:tcW w:w="2593" w:type="pct"/>
                  <w:shd w:val="clear" w:color="auto" w:fill="auto"/>
                  <w:vAlign w:val="center"/>
                </w:tcPr>
                <w:p w14:paraId="4B42D5AC">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0、1、2、3、4、5、6、7、8、9、10、11、12、13、14、15、16、134、135、136、137、138、139、140、141</w:t>
                  </w:r>
                </w:p>
              </w:tc>
              <w:tc>
                <w:tcPr>
                  <w:tcW w:w="589" w:type="pct"/>
                  <w:shd w:val="clear" w:color="auto" w:fill="auto"/>
                  <w:noWrap/>
                  <w:vAlign w:val="center"/>
                </w:tcPr>
                <w:p w14:paraId="6EC642C7">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果园</w:t>
                  </w:r>
                </w:p>
              </w:tc>
              <w:tc>
                <w:tcPr>
                  <w:tcW w:w="619" w:type="pct"/>
                  <w:shd w:val="clear" w:color="auto" w:fill="auto"/>
                  <w:noWrap/>
                  <w:vAlign w:val="center"/>
                </w:tcPr>
                <w:p w14:paraId="2302FCE5">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166.4315</w:t>
                  </w:r>
                </w:p>
              </w:tc>
              <w:tc>
                <w:tcPr>
                  <w:tcW w:w="707" w:type="pct"/>
                  <w:shd w:val="clear" w:color="auto" w:fill="auto"/>
                  <w:noWrap/>
                  <w:vAlign w:val="center"/>
                </w:tcPr>
                <w:p w14:paraId="7C8AB20A">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白河村</w:t>
                  </w:r>
                </w:p>
              </w:tc>
            </w:tr>
            <w:tr w14:paraId="0AB28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pct"/>
                  <w:vMerge w:val="continue"/>
                  <w:shd w:val="clear" w:color="auto" w:fill="auto"/>
                  <w:vAlign w:val="center"/>
                </w:tcPr>
                <w:p w14:paraId="02B1C48B">
                  <w:pPr>
                    <w:widowControl/>
                    <w:adjustRightInd w:val="0"/>
                    <w:snapToGrid w:val="0"/>
                    <w:jc w:val="center"/>
                    <w:rPr>
                      <w:rFonts w:hint="eastAsia" w:ascii="Times New Roman" w:hAnsi="Times New Roman" w:cs="Times New Roman"/>
                      <w:color w:val="auto"/>
                      <w:szCs w:val="21"/>
                      <w:lang w:val="en-US" w:eastAsia="zh-CN"/>
                    </w:rPr>
                  </w:pPr>
                </w:p>
              </w:tc>
              <w:tc>
                <w:tcPr>
                  <w:tcW w:w="2593" w:type="pct"/>
                  <w:shd w:val="clear" w:color="auto" w:fill="auto"/>
                  <w:vAlign w:val="center"/>
                </w:tcPr>
                <w:p w14:paraId="1B2A11E6">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17、18、19、142、143、144、145、146、147、148、149</w:t>
                  </w:r>
                </w:p>
              </w:tc>
              <w:tc>
                <w:tcPr>
                  <w:tcW w:w="589" w:type="pct"/>
                  <w:shd w:val="clear" w:color="auto" w:fill="auto"/>
                  <w:noWrap/>
                  <w:vAlign w:val="center"/>
                </w:tcPr>
                <w:p w14:paraId="07B1F17F">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果园</w:t>
                  </w:r>
                </w:p>
              </w:tc>
              <w:tc>
                <w:tcPr>
                  <w:tcW w:w="619" w:type="pct"/>
                  <w:shd w:val="clear" w:color="auto" w:fill="auto"/>
                  <w:noWrap/>
                  <w:vAlign w:val="center"/>
                </w:tcPr>
                <w:p w14:paraId="439B7C13">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4.1247</w:t>
                  </w:r>
                </w:p>
              </w:tc>
              <w:tc>
                <w:tcPr>
                  <w:tcW w:w="707" w:type="pct"/>
                  <w:shd w:val="clear" w:color="auto" w:fill="auto"/>
                  <w:noWrap/>
                  <w:vAlign w:val="center"/>
                </w:tcPr>
                <w:p w14:paraId="25309136">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张山下村</w:t>
                  </w:r>
                </w:p>
              </w:tc>
            </w:tr>
            <w:tr w14:paraId="74DF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pct"/>
                  <w:vMerge w:val="continue"/>
                  <w:shd w:val="clear" w:color="auto" w:fill="auto"/>
                  <w:vAlign w:val="center"/>
                </w:tcPr>
                <w:p w14:paraId="70C90EE7">
                  <w:pPr>
                    <w:widowControl/>
                    <w:adjustRightInd w:val="0"/>
                    <w:snapToGrid w:val="0"/>
                    <w:jc w:val="center"/>
                    <w:rPr>
                      <w:rFonts w:hint="eastAsia" w:ascii="Times New Roman" w:hAnsi="Times New Roman" w:cs="Times New Roman"/>
                      <w:color w:val="auto"/>
                      <w:szCs w:val="21"/>
                      <w:lang w:val="en-US" w:eastAsia="zh-CN"/>
                    </w:rPr>
                  </w:pPr>
                </w:p>
              </w:tc>
              <w:tc>
                <w:tcPr>
                  <w:tcW w:w="2593" w:type="pct"/>
                  <w:shd w:val="clear" w:color="auto" w:fill="auto"/>
                  <w:vAlign w:val="center"/>
                </w:tcPr>
                <w:p w14:paraId="52620ABF">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20、21、22、23、24、25、26、27、28、29、30、31、32、33、34、38、39、40、41、42、43、44、45、46、47、48、49、50、51、52、53、54、55、56、57、58、59、60、61、62、63、64、65、66、67、68、69、70、71、72、73、74、75、76、77、78、79、80、81、82、83、84、85、86、87、88、89、90、91、92、93、94、95、96、97、98、100、101、102、103、104、105、106、107、108、109、110、111、112、113、114、115、116、117、118、120、121、122</w:t>
                  </w:r>
                </w:p>
              </w:tc>
              <w:tc>
                <w:tcPr>
                  <w:tcW w:w="589" w:type="pct"/>
                  <w:shd w:val="clear" w:color="auto" w:fill="auto"/>
                  <w:noWrap/>
                  <w:vAlign w:val="center"/>
                </w:tcPr>
                <w:p w14:paraId="18F10ED3">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果园</w:t>
                  </w:r>
                </w:p>
              </w:tc>
              <w:tc>
                <w:tcPr>
                  <w:tcW w:w="619" w:type="pct"/>
                  <w:shd w:val="clear" w:color="auto" w:fill="auto"/>
                  <w:noWrap/>
                  <w:vAlign w:val="center"/>
                </w:tcPr>
                <w:p w14:paraId="6B52557F">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1712.8472</w:t>
                  </w:r>
                </w:p>
              </w:tc>
              <w:tc>
                <w:tcPr>
                  <w:tcW w:w="707" w:type="pct"/>
                  <w:shd w:val="clear" w:color="auto" w:fill="auto"/>
                  <w:noWrap/>
                  <w:vAlign w:val="center"/>
                </w:tcPr>
                <w:p w14:paraId="6D8AACE9">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袁寨村</w:t>
                  </w:r>
                </w:p>
              </w:tc>
            </w:tr>
            <w:tr w14:paraId="7B8B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488" w:type="pct"/>
                  <w:vMerge w:val="continue"/>
                  <w:shd w:val="clear" w:color="auto" w:fill="auto"/>
                  <w:vAlign w:val="center"/>
                </w:tcPr>
                <w:p w14:paraId="3492AA5F">
                  <w:pPr>
                    <w:widowControl/>
                    <w:adjustRightInd w:val="0"/>
                    <w:snapToGrid w:val="0"/>
                    <w:jc w:val="center"/>
                    <w:rPr>
                      <w:rFonts w:hint="eastAsia" w:ascii="Times New Roman" w:hAnsi="Times New Roman" w:cs="Times New Roman"/>
                      <w:color w:val="auto"/>
                      <w:szCs w:val="21"/>
                      <w:lang w:val="en-US" w:eastAsia="zh-CN"/>
                    </w:rPr>
                  </w:pPr>
                </w:p>
              </w:tc>
              <w:tc>
                <w:tcPr>
                  <w:tcW w:w="2593" w:type="pct"/>
                  <w:shd w:val="clear" w:color="auto" w:fill="auto"/>
                  <w:vAlign w:val="center"/>
                </w:tcPr>
                <w:p w14:paraId="4290942D">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35、36、37、99、123、124、125、119、</w:t>
                  </w:r>
                </w:p>
              </w:tc>
              <w:tc>
                <w:tcPr>
                  <w:tcW w:w="589" w:type="pct"/>
                  <w:shd w:val="clear" w:color="auto" w:fill="auto"/>
                  <w:noWrap/>
                  <w:vAlign w:val="center"/>
                </w:tcPr>
                <w:p w14:paraId="72C9CD29">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其他园地</w:t>
                  </w:r>
                </w:p>
              </w:tc>
              <w:tc>
                <w:tcPr>
                  <w:tcW w:w="619" w:type="pct"/>
                  <w:shd w:val="clear" w:color="auto" w:fill="auto"/>
                  <w:noWrap/>
                  <w:vAlign w:val="center"/>
                </w:tcPr>
                <w:p w14:paraId="6763A067">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54.4684</w:t>
                  </w:r>
                </w:p>
              </w:tc>
              <w:tc>
                <w:tcPr>
                  <w:tcW w:w="707" w:type="pct"/>
                  <w:shd w:val="clear" w:color="auto" w:fill="auto"/>
                  <w:noWrap/>
                  <w:vAlign w:val="center"/>
                </w:tcPr>
                <w:p w14:paraId="7ADBB387">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袁寨村</w:t>
                  </w:r>
                </w:p>
              </w:tc>
            </w:tr>
            <w:tr w14:paraId="76C1A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pct"/>
                  <w:vMerge w:val="continue"/>
                  <w:shd w:val="clear" w:color="auto" w:fill="auto"/>
                  <w:noWrap/>
                  <w:vAlign w:val="center"/>
                </w:tcPr>
                <w:p w14:paraId="3C8A3C18">
                  <w:pPr>
                    <w:widowControl/>
                    <w:adjustRightInd w:val="0"/>
                    <w:snapToGrid w:val="0"/>
                    <w:jc w:val="center"/>
                    <w:rPr>
                      <w:rFonts w:hint="eastAsia" w:ascii="Times New Roman" w:hAnsi="Times New Roman" w:cs="Times New Roman"/>
                      <w:color w:val="auto"/>
                      <w:szCs w:val="21"/>
                      <w:lang w:val="en-US" w:eastAsia="zh-CN"/>
                    </w:rPr>
                  </w:pPr>
                </w:p>
              </w:tc>
              <w:tc>
                <w:tcPr>
                  <w:tcW w:w="2593" w:type="pct"/>
                  <w:shd w:val="clear" w:color="auto" w:fill="auto"/>
                  <w:noWrap/>
                  <w:vAlign w:val="center"/>
                </w:tcPr>
                <w:p w14:paraId="5B8D1E76">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126</w:t>
                  </w:r>
                </w:p>
              </w:tc>
              <w:tc>
                <w:tcPr>
                  <w:tcW w:w="589" w:type="pct"/>
                  <w:shd w:val="clear" w:color="auto" w:fill="auto"/>
                  <w:noWrap/>
                  <w:vAlign w:val="center"/>
                </w:tcPr>
                <w:p w14:paraId="3F9064BF">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果园</w:t>
                  </w:r>
                </w:p>
              </w:tc>
              <w:tc>
                <w:tcPr>
                  <w:tcW w:w="619" w:type="pct"/>
                  <w:shd w:val="clear" w:color="auto" w:fill="auto"/>
                  <w:noWrap/>
                  <w:vAlign w:val="center"/>
                </w:tcPr>
                <w:p w14:paraId="5BBB8814">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0.0204</w:t>
                  </w:r>
                </w:p>
              </w:tc>
              <w:tc>
                <w:tcPr>
                  <w:tcW w:w="707" w:type="pct"/>
                  <w:shd w:val="clear" w:color="auto" w:fill="auto"/>
                  <w:noWrap/>
                  <w:vAlign w:val="center"/>
                </w:tcPr>
                <w:p w14:paraId="17EE468F">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磨子桥社区</w:t>
                  </w:r>
                </w:p>
              </w:tc>
            </w:tr>
            <w:tr w14:paraId="6023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pct"/>
                  <w:vMerge w:val="continue"/>
                  <w:shd w:val="clear" w:color="auto" w:fill="auto"/>
                  <w:vAlign w:val="center"/>
                </w:tcPr>
                <w:p w14:paraId="757D5657">
                  <w:pPr>
                    <w:widowControl/>
                    <w:adjustRightInd w:val="0"/>
                    <w:snapToGrid w:val="0"/>
                    <w:jc w:val="center"/>
                    <w:rPr>
                      <w:rFonts w:hint="eastAsia" w:ascii="Times New Roman" w:hAnsi="Times New Roman" w:cs="Times New Roman"/>
                      <w:color w:val="auto"/>
                      <w:szCs w:val="21"/>
                      <w:lang w:val="en-US" w:eastAsia="zh-CN"/>
                    </w:rPr>
                  </w:pPr>
                </w:p>
              </w:tc>
              <w:tc>
                <w:tcPr>
                  <w:tcW w:w="2593" w:type="pct"/>
                  <w:shd w:val="clear" w:color="auto" w:fill="auto"/>
                  <w:vAlign w:val="center"/>
                </w:tcPr>
                <w:p w14:paraId="6610C2C4">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127、128、129、130</w:t>
                  </w:r>
                </w:p>
              </w:tc>
              <w:tc>
                <w:tcPr>
                  <w:tcW w:w="589" w:type="pct"/>
                  <w:shd w:val="clear" w:color="auto" w:fill="auto"/>
                  <w:noWrap/>
                  <w:vAlign w:val="center"/>
                </w:tcPr>
                <w:p w14:paraId="27B30725">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果园</w:t>
                  </w:r>
                </w:p>
              </w:tc>
              <w:tc>
                <w:tcPr>
                  <w:tcW w:w="619" w:type="pct"/>
                  <w:shd w:val="clear" w:color="auto" w:fill="auto"/>
                  <w:noWrap/>
                  <w:vAlign w:val="center"/>
                </w:tcPr>
                <w:p w14:paraId="1CA1B9B2">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21.4981</w:t>
                  </w:r>
                </w:p>
              </w:tc>
              <w:tc>
                <w:tcPr>
                  <w:tcW w:w="707" w:type="pct"/>
                  <w:shd w:val="clear" w:color="auto" w:fill="auto"/>
                  <w:noWrap/>
                  <w:vAlign w:val="center"/>
                </w:tcPr>
                <w:p w14:paraId="6415F542">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水田坝村</w:t>
                  </w:r>
                </w:p>
              </w:tc>
            </w:tr>
            <w:tr w14:paraId="0DFE7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8" w:type="pct"/>
                  <w:vMerge w:val="continue"/>
                  <w:shd w:val="clear" w:color="auto" w:fill="auto"/>
                  <w:vAlign w:val="center"/>
                </w:tcPr>
                <w:p w14:paraId="033C1B23">
                  <w:pPr>
                    <w:widowControl/>
                    <w:adjustRightInd w:val="0"/>
                    <w:snapToGrid w:val="0"/>
                    <w:jc w:val="center"/>
                    <w:rPr>
                      <w:rFonts w:hint="eastAsia" w:ascii="Times New Roman" w:hAnsi="Times New Roman" w:cs="Times New Roman"/>
                      <w:color w:val="auto"/>
                      <w:szCs w:val="21"/>
                      <w:lang w:val="en-US" w:eastAsia="zh-CN"/>
                    </w:rPr>
                  </w:pPr>
                </w:p>
              </w:tc>
              <w:tc>
                <w:tcPr>
                  <w:tcW w:w="2593" w:type="pct"/>
                  <w:shd w:val="clear" w:color="auto" w:fill="auto"/>
                  <w:vAlign w:val="center"/>
                </w:tcPr>
                <w:p w14:paraId="7EBEA3B2">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131、132、133</w:t>
                  </w:r>
                </w:p>
              </w:tc>
              <w:tc>
                <w:tcPr>
                  <w:tcW w:w="589" w:type="pct"/>
                  <w:shd w:val="clear" w:color="auto" w:fill="auto"/>
                  <w:noWrap/>
                  <w:vAlign w:val="center"/>
                </w:tcPr>
                <w:p w14:paraId="6A67D99C">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果园</w:t>
                  </w:r>
                </w:p>
              </w:tc>
              <w:tc>
                <w:tcPr>
                  <w:tcW w:w="619" w:type="pct"/>
                  <w:shd w:val="clear" w:color="auto" w:fill="auto"/>
                  <w:noWrap/>
                  <w:vAlign w:val="center"/>
                </w:tcPr>
                <w:p w14:paraId="377AF81F">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18.1475</w:t>
                  </w:r>
                </w:p>
              </w:tc>
              <w:tc>
                <w:tcPr>
                  <w:tcW w:w="707" w:type="pct"/>
                  <w:shd w:val="clear" w:color="auto" w:fill="auto"/>
                  <w:noWrap/>
                  <w:vAlign w:val="center"/>
                </w:tcPr>
                <w:p w14:paraId="7B2F9791">
                  <w:pPr>
                    <w:widowControl/>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冯杨村</w:t>
                  </w:r>
                </w:p>
              </w:tc>
            </w:tr>
          </w:tbl>
          <w:p w14:paraId="1BBAAC6B">
            <w:pPr>
              <w:adjustRightInd w:val="0"/>
              <w:snapToGrid w:val="0"/>
              <w:spacing w:line="360" w:lineRule="auto"/>
              <w:ind w:firstLine="482" w:firstLineChars="200"/>
              <w:rPr>
                <w:rFonts w:hint="default" w:ascii="Times New Roman" w:hAnsi="Times New Roman" w:cs="Times New Roman"/>
                <w:b/>
                <w:bCs/>
                <w:color w:val="auto"/>
                <w:sz w:val="24"/>
                <w:szCs w:val="32"/>
              </w:rPr>
            </w:pPr>
            <w:r>
              <w:rPr>
                <w:rFonts w:hint="eastAsia" w:ascii="Times New Roman" w:hAnsi="Times New Roman" w:cs="Times New Roman"/>
                <w:b/>
                <w:bCs/>
                <w:color w:val="auto"/>
                <w:sz w:val="24"/>
                <w:szCs w:val="32"/>
                <w:lang w:val="en-US" w:eastAsia="zh-CN"/>
              </w:rPr>
              <w:t>5</w:t>
            </w:r>
            <w:r>
              <w:rPr>
                <w:rFonts w:hint="default" w:ascii="Times New Roman" w:hAnsi="Times New Roman" w:cs="Times New Roman"/>
                <w:b/>
                <w:bCs/>
                <w:color w:val="auto"/>
                <w:sz w:val="24"/>
                <w:szCs w:val="32"/>
              </w:rPr>
              <w:t>、本项目电气设备材料表</w:t>
            </w:r>
          </w:p>
          <w:p w14:paraId="7A6BF10A">
            <w:pPr>
              <w:adjustRightInd w:val="0"/>
              <w:snapToGrid w:val="0"/>
              <w:spacing w:line="360" w:lineRule="auto"/>
              <w:ind w:firstLine="480" w:firstLineChars="200"/>
              <w:rPr>
                <w:rFonts w:hint="default"/>
                <w:color w:val="auto"/>
              </w:rPr>
            </w:pPr>
            <w:r>
              <w:rPr>
                <w:rFonts w:hint="default" w:ascii="Times New Roman" w:hAnsi="Times New Roman" w:cs="Times New Roman"/>
                <w:color w:val="auto"/>
                <w:sz w:val="24"/>
                <w:szCs w:val="32"/>
              </w:rPr>
              <w:t>本项目电气设备材料表详见2-</w:t>
            </w:r>
            <w:r>
              <w:rPr>
                <w:rFonts w:hint="eastAsia" w:ascii="Times New Roman" w:hAnsi="Times New Roman" w:cs="Times New Roman"/>
                <w:color w:val="auto"/>
                <w:sz w:val="24"/>
                <w:szCs w:val="32"/>
                <w:lang w:val="en-US" w:eastAsia="zh-CN"/>
              </w:rPr>
              <w:t>3</w:t>
            </w:r>
            <w:r>
              <w:rPr>
                <w:rFonts w:hint="default" w:ascii="Times New Roman" w:hAnsi="Times New Roman" w:cs="Times New Roman"/>
                <w:color w:val="auto"/>
                <w:sz w:val="24"/>
                <w:szCs w:val="32"/>
              </w:rPr>
              <w:t>。</w:t>
            </w:r>
          </w:p>
          <w:p w14:paraId="2297C09F">
            <w:pPr>
              <w:adjustRightInd w:val="0"/>
              <w:snapToGrid w:val="0"/>
              <w:spacing w:line="360" w:lineRule="auto"/>
              <w:jc w:val="center"/>
              <w:rPr>
                <w:rFonts w:hint="default" w:ascii="Times New Roman" w:hAnsi="Times New Roman" w:cs="Times New Roman"/>
                <w:color w:val="auto"/>
              </w:rPr>
            </w:pPr>
            <w:r>
              <w:rPr>
                <w:rFonts w:hint="default" w:ascii="Times New Roman" w:hAnsi="Times New Roman" w:cs="Times New Roman"/>
                <w:b/>
                <w:bCs/>
                <w:color w:val="auto"/>
              </w:rPr>
              <w:t>表2-</w:t>
            </w:r>
            <w:r>
              <w:rPr>
                <w:rFonts w:hint="eastAsia" w:ascii="Times New Roman" w:hAnsi="Times New Roman" w:cs="Times New Roman"/>
                <w:b/>
                <w:bCs/>
                <w:color w:val="auto"/>
                <w:lang w:val="en-US" w:eastAsia="zh-CN"/>
              </w:rPr>
              <w:t>3</w:t>
            </w:r>
            <w:r>
              <w:rPr>
                <w:rFonts w:hint="default" w:ascii="Times New Roman" w:hAnsi="Times New Roman" w:cs="Times New Roman"/>
                <w:b/>
                <w:bCs/>
                <w:color w:val="auto"/>
              </w:rPr>
              <w:t xml:space="preserve">  电气设备材料一览表</w:t>
            </w:r>
          </w:p>
          <w:tbl>
            <w:tblPr>
              <w:tblStyle w:val="58"/>
              <w:tblW w:w="491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01"/>
              <w:gridCol w:w="514"/>
              <w:gridCol w:w="1792"/>
              <w:gridCol w:w="3032"/>
              <w:gridCol w:w="723"/>
              <w:gridCol w:w="681"/>
              <w:gridCol w:w="1546"/>
            </w:tblGrid>
            <w:tr w14:paraId="67FA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Align w:val="center"/>
                </w:tcPr>
                <w:p w14:paraId="554C571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val="en-US" w:eastAsia="zh-CN"/>
                    </w:rPr>
                  </w:pPr>
                  <w:r>
                    <w:rPr>
                      <w:rFonts w:hint="eastAsia" w:ascii="Times New Roman" w:hAnsi="Times New Roman" w:cs="Times New Roman" w:eastAsiaTheme="minorEastAsia"/>
                      <w:snapToGrid/>
                      <w:color w:val="auto"/>
                      <w:kern w:val="2"/>
                      <w:szCs w:val="21"/>
                      <w:lang w:val="en-US" w:eastAsia="zh-CN"/>
                    </w:rPr>
                    <w:t>区域</w:t>
                  </w:r>
                </w:p>
              </w:tc>
              <w:tc>
                <w:tcPr>
                  <w:tcW w:w="292" w:type="pct"/>
                  <w:vAlign w:val="center"/>
                </w:tcPr>
                <w:p w14:paraId="535AC35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序号</w:t>
                  </w:r>
                </w:p>
              </w:tc>
              <w:tc>
                <w:tcPr>
                  <w:tcW w:w="1019" w:type="pct"/>
                  <w:vAlign w:val="center"/>
                </w:tcPr>
                <w:p w14:paraId="5570720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名称</w:t>
                  </w:r>
                </w:p>
              </w:tc>
              <w:tc>
                <w:tcPr>
                  <w:tcW w:w="1724" w:type="pct"/>
                  <w:vAlign w:val="center"/>
                </w:tcPr>
                <w:p w14:paraId="58A0B93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型号规格</w:t>
                  </w:r>
                </w:p>
              </w:tc>
              <w:tc>
                <w:tcPr>
                  <w:tcW w:w="411" w:type="pct"/>
                  <w:vAlign w:val="center"/>
                </w:tcPr>
                <w:p w14:paraId="17CBB48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单位</w:t>
                  </w:r>
                </w:p>
              </w:tc>
              <w:tc>
                <w:tcPr>
                  <w:tcW w:w="387" w:type="pct"/>
                  <w:vAlign w:val="center"/>
                </w:tcPr>
                <w:p w14:paraId="226E636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数量</w:t>
                  </w:r>
                </w:p>
              </w:tc>
              <w:tc>
                <w:tcPr>
                  <w:tcW w:w="879" w:type="pct"/>
                  <w:vAlign w:val="center"/>
                </w:tcPr>
                <w:p w14:paraId="042AF5F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备注</w:t>
                  </w:r>
                </w:p>
              </w:tc>
            </w:tr>
            <w:tr w14:paraId="3973F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restart"/>
                  <w:vAlign w:val="center"/>
                </w:tcPr>
                <w:p w14:paraId="2C3DFF5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val="en-US" w:eastAsia="zh-CN"/>
                    </w:rPr>
                  </w:pPr>
                  <w:r>
                    <w:rPr>
                      <w:rFonts w:hint="eastAsia" w:ascii="Times New Roman" w:hAnsi="Times New Roman" w:cs="Times New Roman" w:eastAsiaTheme="minorEastAsia"/>
                      <w:snapToGrid/>
                      <w:color w:val="auto"/>
                      <w:kern w:val="2"/>
                      <w:szCs w:val="21"/>
                      <w:lang w:val="en-US" w:eastAsia="zh-CN"/>
                    </w:rPr>
                    <w:t>光伏厂区</w:t>
                  </w:r>
                </w:p>
              </w:tc>
              <w:tc>
                <w:tcPr>
                  <w:tcW w:w="292" w:type="pct"/>
                  <w:vAlign w:val="center"/>
                </w:tcPr>
                <w:p w14:paraId="02A8A98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w:t>
                  </w:r>
                </w:p>
              </w:tc>
              <w:tc>
                <w:tcPr>
                  <w:tcW w:w="1019" w:type="pct"/>
                  <w:vAlign w:val="center"/>
                </w:tcPr>
                <w:p w14:paraId="018095A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单晶硅光伏组件</w:t>
                  </w:r>
                </w:p>
              </w:tc>
              <w:tc>
                <w:tcPr>
                  <w:tcW w:w="1724" w:type="pct"/>
                  <w:vAlign w:val="center"/>
                </w:tcPr>
                <w:p w14:paraId="118A5A3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680Wp，单晶双面（n型）</w:t>
                  </w:r>
                </w:p>
              </w:tc>
              <w:tc>
                <w:tcPr>
                  <w:tcW w:w="411" w:type="pct"/>
                  <w:vAlign w:val="center"/>
                </w:tcPr>
                <w:p w14:paraId="5B46914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块</w:t>
                  </w:r>
                </w:p>
              </w:tc>
              <w:tc>
                <w:tcPr>
                  <w:tcW w:w="387" w:type="pct"/>
                  <w:vAlign w:val="center"/>
                </w:tcPr>
                <w:p w14:paraId="2EE12CA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106288</w:t>
                  </w:r>
                </w:p>
              </w:tc>
              <w:tc>
                <w:tcPr>
                  <w:tcW w:w="879" w:type="pct"/>
                  <w:vAlign w:val="center"/>
                </w:tcPr>
                <w:p w14:paraId="1CE6651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73274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36BC8F9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046A995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2</w:t>
                  </w:r>
                </w:p>
              </w:tc>
              <w:tc>
                <w:tcPr>
                  <w:tcW w:w="1019" w:type="pct"/>
                  <w:vAlign w:val="center"/>
                </w:tcPr>
                <w:p w14:paraId="618BCA2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组串式逆变器</w:t>
                  </w:r>
                </w:p>
              </w:tc>
              <w:tc>
                <w:tcPr>
                  <w:tcW w:w="1724" w:type="pct"/>
                  <w:vAlign w:val="center"/>
                </w:tcPr>
                <w:p w14:paraId="6FA946D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eastAsia" w:ascii="Times New Roman" w:hAnsi="Times New Roman" w:cs="Times New Roman"/>
                      <w:snapToGrid/>
                      <w:color w:val="auto"/>
                      <w:kern w:val="2"/>
                      <w:szCs w:val="21"/>
                      <w:lang w:eastAsia="zh-CN"/>
                    </w:rPr>
                    <w:t>300kW</w:t>
                  </w:r>
                </w:p>
              </w:tc>
              <w:tc>
                <w:tcPr>
                  <w:tcW w:w="411" w:type="pct"/>
                  <w:vAlign w:val="center"/>
                </w:tcPr>
                <w:p w14:paraId="746F0BD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台</w:t>
                  </w:r>
                </w:p>
              </w:tc>
              <w:tc>
                <w:tcPr>
                  <w:tcW w:w="387" w:type="pct"/>
                  <w:vAlign w:val="center"/>
                </w:tcPr>
                <w:p w14:paraId="0C2E3AB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val="en-US" w:eastAsia="zh-CN"/>
                    </w:rPr>
                  </w:pPr>
                  <w:r>
                    <w:rPr>
                      <w:rFonts w:hint="eastAsia" w:ascii="Times New Roman" w:hAnsi="Times New Roman" w:cs="Times New Roman"/>
                      <w:snapToGrid/>
                      <w:color w:val="auto"/>
                      <w:kern w:val="2"/>
                      <w:szCs w:val="21"/>
                      <w:lang w:val="en-US" w:eastAsia="zh-CN"/>
                    </w:rPr>
                    <w:t>200</w:t>
                  </w:r>
                </w:p>
              </w:tc>
              <w:tc>
                <w:tcPr>
                  <w:tcW w:w="879" w:type="pct"/>
                  <w:vAlign w:val="center"/>
                </w:tcPr>
                <w:p w14:paraId="58A8C10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含数据通信设备</w:t>
                  </w:r>
                </w:p>
              </w:tc>
            </w:tr>
            <w:tr w14:paraId="53398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6BA2015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1A10E46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3</w:t>
                  </w:r>
                </w:p>
              </w:tc>
              <w:tc>
                <w:tcPr>
                  <w:tcW w:w="1019" w:type="pct"/>
                  <w:vMerge w:val="restart"/>
                  <w:vAlign w:val="center"/>
                </w:tcPr>
                <w:p w14:paraId="7DF2C115">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油浸式美式箱变</w:t>
                  </w:r>
                </w:p>
              </w:tc>
              <w:tc>
                <w:tcPr>
                  <w:tcW w:w="1724" w:type="pct"/>
                  <w:vAlign w:val="center"/>
                </w:tcPr>
                <w:p w14:paraId="06248F7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3200kVA,0.8/35kV</w:t>
                  </w:r>
                </w:p>
              </w:tc>
              <w:tc>
                <w:tcPr>
                  <w:tcW w:w="411" w:type="pct"/>
                  <w:vAlign w:val="center"/>
                </w:tcPr>
                <w:p w14:paraId="7768068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台</w:t>
                  </w:r>
                </w:p>
              </w:tc>
              <w:tc>
                <w:tcPr>
                  <w:tcW w:w="387" w:type="pct"/>
                  <w:vAlign w:val="center"/>
                </w:tcPr>
                <w:p w14:paraId="315FA54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w:t>
                  </w:r>
                  <w:r>
                    <w:rPr>
                      <w:rFonts w:hint="eastAsia" w:ascii="Times New Roman" w:hAnsi="Times New Roman" w:cs="Times New Roman"/>
                      <w:snapToGrid/>
                      <w:color w:val="auto"/>
                      <w:kern w:val="2"/>
                      <w:szCs w:val="21"/>
                      <w:lang w:val="en-US" w:eastAsia="zh-CN"/>
                    </w:rPr>
                    <w:t>8</w:t>
                  </w:r>
                </w:p>
              </w:tc>
              <w:tc>
                <w:tcPr>
                  <w:tcW w:w="879" w:type="pct"/>
                  <w:vAlign w:val="center"/>
                </w:tcPr>
                <w:p w14:paraId="0DB3043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含箱变测控</w:t>
                  </w:r>
                </w:p>
              </w:tc>
            </w:tr>
            <w:tr w14:paraId="10E4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40ECB3A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50DBBD6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4</w:t>
                  </w:r>
                </w:p>
              </w:tc>
              <w:tc>
                <w:tcPr>
                  <w:tcW w:w="1019" w:type="pct"/>
                  <w:vMerge w:val="continue"/>
                  <w:vAlign w:val="center"/>
                </w:tcPr>
                <w:p w14:paraId="5A635C4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1724" w:type="pct"/>
                  <w:vAlign w:val="center"/>
                </w:tcPr>
                <w:p w14:paraId="5EE348F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eastAsia" w:ascii="Times New Roman" w:hAnsi="Times New Roman" w:cs="Times New Roman"/>
                      <w:snapToGrid/>
                      <w:color w:val="auto"/>
                      <w:kern w:val="2"/>
                      <w:szCs w:val="21"/>
                      <w:lang w:eastAsia="zh-CN"/>
                    </w:rPr>
                    <w:t>2400kVA</w:t>
                  </w:r>
                  <w:r>
                    <w:rPr>
                      <w:rFonts w:hint="default" w:ascii="Times New Roman" w:hAnsi="Times New Roman" w:cs="Times New Roman" w:eastAsiaTheme="minorEastAsia"/>
                      <w:snapToGrid/>
                      <w:color w:val="auto"/>
                      <w:kern w:val="2"/>
                      <w:szCs w:val="21"/>
                      <w:lang w:eastAsia="zh-CN"/>
                    </w:rPr>
                    <w:t>,0.8/36kV</w:t>
                  </w:r>
                </w:p>
              </w:tc>
              <w:tc>
                <w:tcPr>
                  <w:tcW w:w="411" w:type="pct"/>
                  <w:vAlign w:val="center"/>
                </w:tcPr>
                <w:p w14:paraId="4DDBF58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台</w:t>
                  </w:r>
                </w:p>
              </w:tc>
              <w:tc>
                <w:tcPr>
                  <w:tcW w:w="387" w:type="pct"/>
                  <w:vAlign w:val="center"/>
                </w:tcPr>
                <w:p w14:paraId="0FC8269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w:t>
                  </w:r>
                </w:p>
              </w:tc>
              <w:tc>
                <w:tcPr>
                  <w:tcW w:w="879" w:type="pct"/>
                  <w:vAlign w:val="center"/>
                </w:tcPr>
                <w:p w14:paraId="09E5174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含箱变测控</w:t>
                  </w:r>
                </w:p>
              </w:tc>
            </w:tr>
            <w:tr w14:paraId="122D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3DC66FA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3DE7257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5</w:t>
                  </w:r>
                </w:p>
              </w:tc>
              <w:tc>
                <w:tcPr>
                  <w:tcW w:w="1019" w:type="pct"/>
                  <w:vMerge w:val="continue"/>
                  <w:vAlign w:val="center"/>
                </w:tcPr>
                <w:p w14:paraId="7F060EF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1724" w:type="pct"/>
                  <w:vAlign w:val="center"/>
                </w:tcPr>
                <w:p w14:paraId="62C5078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eastAsia" w:ascii="Times New Roman" w:hAnsi="Times New Roman" w:cs="Times New Roman"/>
                      <w:snapToGrid/>
                      <w:color w:val="auto"/>
                      <w:kern w:val="2"/>
                      <w:szCs w:val="21"/>
                      <w:lang w:eastAsia="zh-CN"/>
                    </w:rPr>
                    <w:t>1800kVA</w:t>
                  </w:r>
                  <w:r>
                    <w:rPr>
                      <w:rFonts w:hint="default" w:ascii="Times New Roman" w:hAnsi="Times New Roman" w:cs="Times New Roman" w:eastAsiaTheme="minorEastAsia"/>
                      <w:snapToGrid/>
                      <w:color w:val="auto"/>
                      <w:kern w:val="2"/>
                      <w:szCs w:val="21"/>
                      <w:lang w:eastAsia="zh-CN"/>
                    </w:rPr>
                    <w:t>,0.8/35kV</w:t>
                  </w:r>
                </w:p>
              </w:tc>
              <w:tc>
                <w:tcPr>
                  <w:tcW w:w="411" w:type="pct"/>
                  <w:vAlign w:val="center"/>
                </w:tcPr>
                <w:p w14:paraId="5947650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台</w:t>
                  </w:r>
                </w:p>
              </w:tc>
              <w:tc>
                <w:tcPr>
                  <w:tcW w:w="387" w:type="pct"/>
                  <w:vAlign w:val="center"/>
                </w:tcPr>
                <w:p w14:paraId="333AF76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2</w:t>
                  </w:r>
                </w:p>
              </w:tc>
              <w:tc>
                <w:tcPr>
                  <w:tcW w:w="879" w:type="pct"/>
                  <w:vAlign w:val="center"/>
                </w:tcPr>
                <w:p w14:paraId="3761CCE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含箱变测控</w:t>
                  </w:r>
                </w:p>
              </w:tc>
            </w:tr>
            <w:tr w14:paraId="6126E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5C7A9C7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7E985EE5">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6</w:t>
                  </w:r>
                </w:p>
              </w:tc>
              <w:tc>
                <w:tcPr>
                  <w:tcW w:w="1019" w:type="pct"/>
                  <w:vMerge w:val="restart"/>
                  <w:vAlign w:val="center"/>
                </w:tcPr>
                <w:p w14:paraId="6B7A85E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箱变纵向加密装置</w:t>
                  </w:r>
                </w:p>
              </w:tc>
              <w:tc>
                <w:tcPr>
                  <w:tcW w:w="1724" w:type="pct"/>
                  <w:vAlign w:val="center"/>
                </w:tcPr>
                <w:p w14:paraId="3975FCC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十兆微型纵向加密装置</w:t>
                  </w:r>
                </w:p>
              </w:tc>
              <w:tc>
                <w:tcPr>
                  <w:tcW w:w="411" w:type="pct"/>
                  <w:vAlign w:val="center"/>
                </w:tcPr>
                <w:p w14:paraId="5A7ADAA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套</w:t>
                  </w:r>
                </w:p>
              </w:tc>
              <w:tc>
                <w:tcPr>
                  <w:tcW w:w="387" w:type="pct"/>
                  <w:vAlign w:val="center"/>
                </w:tcPr>
                <w:p w14:paraId="6D4C0F4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2</w:t>
                  </w:r>
                  <w:r>
                    <w:rPr>
                      <w:rFonts w:hint="eastAsia" w:ascii="Times New Roman" w:hAnsi="Times New Roman" w:cs="Times New Roman"/>
                      <w:snapToGrid/>
                      <w:color w:val="auto"/>
                      <w:kern w:val="2"/>
                      <w:szCs w:val="21"/>
                      <w:lang w:val="en-US" w:eastAsia="zh-CN"/>
                    </w:rPr>
                    <w:t>1</w:t>
                  </w:r>
                </w:p>
              </w:tc>
              <w:tc>
                <w:tcPr>
                  <w:tcW w:w="879" w:type="pct"/>
                  <w:vAlign w:val="center"/>
                </w:tcPr>
                <w:p w14:paraId="5E0E49A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4426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270C7B7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47091B1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7</w:t>
                  </w:r>
                </w:p>
              </w:tc>
              <w:tc>
                <w:tcPr>
                  <w:tcW w:w="1019" w:type="pct"/>
                  <w:vMerge w:val="continue"/>
                  <w:vAlign w:val="center"/>
                </w:tcPr>
                <w:p w14:paraId="70F1342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1724" w:type="pct"/>
                  <w:vAlign w:val="center"/>
                </w:tcPr>
                <w:p w14:paraId="291ACD4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千兆纵向加密装置</w:t>
                  </w:r>
                </w:p>
              </w:tc>
              <w:tc>
                <w:tcPr>
                  <w:tcW w:w="411" w:type="pct"/>
                  <w:vAlign w:val="center"/>
                </w:tcPr>
                <w:p w14:paraId="6B1AD46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套</w:t>
                  </w:r>
                </w:p>
              </w:tc>
              <w:tc>
                <w:tcPr>
                  <w:tcW w:w="387" w:type="pct"/>
                  <w:vAlign w:val="center"/>
                </w:tcPr>
                <w:p w14:paraId="2A38045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w:t>
                  </w:r>
                </w:p>
              </w:tc>
              <w:tc>
                <w:tcPr>
                  <w:tcW w:w="879" w:type="pct"/>
                  <w:vAlign w:val="center"/>
                </w:tcPr>
                <w:p w14:paraId="743BA64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38AA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6C0F6A0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556EF95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8</w:t>
                  </w:r>
                </w:p>
              </w:tc>
              <w:tc>
                <w:tcPr>
                  <w:tcW w:w="1019" w:type="pct"/>
                  <w:vAlign w:val="center"/>
                </w:tcPr>
                <w:p w14:paraId="577D21A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光伏电缆</w:t>
                  </w:r>
                </w:p>
              </w:tc>
              <w:tc>
                <w:tcPr>
                  <w:tcW w:w="1724" w:type="pct"/>
                  <w:vAlign w:val="center"/>
                </w:tcPr>
                <w:p w14:paraId="47A6E7A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H1Z2Z2-K-1×4mm</w:t>
                  </w:r>
                  <w:r>
                    <w:rPr>
                      <w:rFonts w:hint="default" w:ascii="Times New Roman" w:hAnsi="Times New Roman" w:cs="Times New Roman" w:eastAsiaTheme="minorEastAsia"/>
                      <w:snapToGrid/>
                      <w:color w:val="auto"/>
                      <w:kern w:val="2"/>
                      <w:szCs w:val="21"/>
                      <w:vertAlign w:val="superscript"/>
                      <w:lang w:eastAsia="zh-CN"/>
                    </w:rPr>
                    <w:t>2</w:t>
                  </w:r>
                </w:p>
              </w:tc>
              <w:tc>
                <w:tcPr>
                  <w:tcW w:w="411" w:type="pct"/>
                  <w:vAlign w:val="center"/>
                </w:tcPr>
                <w:p w14:paraId="44646D2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km</w:t>
                  </w:r>
                </w:p>
              </w:tc>
              <w:tc>
                <w:tcPr>
                  <w:tcW w:w="387" w:type="pct"/>
                  <w:vAlign w:val="center"/>
                </w:tcPr>
                <w:p w14:paraId="78CFC47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576</w:t>
                  </w:r>
                </w:p>
              </w:tc>
              <w:tc>
                <w:tcPr>
                  <w:tcW w:w="879" w:type="pct"/>
                  <w:vAlign w:val="center"/>
                </w:tcPr>
                <w:p w14:paraId="43AAAFD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25C5F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2E274E1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6B8046C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9</w:t>
                  </w:r>
                </w:p>
              </w:tc>
              <w:tc>
                <w:tcPr>
                  <w:tcW w:w="1019" w:type="pct"/>
                  <w:vAlign w:val="center"/>
                </w:tcPr>
                <w:p w14:paraId="62365E3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低压交流电缆</w:t>
                  </w:r>
                </w:p>
              </w:tc>
              <w:tc>
                <w:tcPr>
                  <w:tcW w:w="1724" w:type="pct"/>
                  <w:vMerge w:val="restart"/>
                  <w:vAlign w:val="center"/>
                </w:tcPr>
                <w:p w14:paraId="49E1F0F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ZRC-YJLV22-1.8/3kV-3×240mm²</w:t>
                  </w:r>
                </w:p>
              </w:tc>
              <w:tc>
                <w:tcPr>
                  <w:tcW w:w="411" w:type="pct"/>
                  <w:vAlign w:val="center"/>
                </w:tcPr>
                <w:p w14:paraId="5103338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km</w:t>
                  </w:r>
                </w:p>
              </w:tc>
              <w:tc>
                <w:tcPr>
                  <w:tcW w:w="387" w:type="pct"/>
                  <w:vAlign w:val="center"/>
                </w:tcPr>
                <w:p w14:paraId="1412FA1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41</w:t>
                  </w:r>
                </w:p>
              </w:tc>
              <w:tc>
                <w:tcPr>
                  <w:tcW w:w="879" w:type="pct"/>
                  <w:vAlign w:val="center"/>
                </w:tcPr>
                <w:p w14:paraId="0DED457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6A512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24DA4F7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0EC7035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10</w:t>
                  </w:r>
                </w:p>
              </w:tc>
              <w:tc>
                <w:tcPr>
                  <w:tcW w:w="1019" w:type="pct"/>
                  <w:vAlign w:val="center"/>
                </w:tcPr>
                <w:p w14:paraId="1A8F8E6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低压交流电缆终端</w:t>
                  </w:r>
                </w:p>
              </w:tc>
              <w:tc>
                <w:tcPr>
                  <w:tcW w:w="1724" w:type="pct"/>
                  <w:vMerge w:val="continue"/>
                  <w:vAlign w:val="center"/>
                </w:tcPr>
                <w:p w14:paraId="07D77B3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411" w:type="pct"/>
                  <w:vAlign w:val="center"/>
                </w:tcPr>
                <w:p w14:paraId="7566439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套</w:t>
                  </w:r>
                </w:p>
              </w:tc>
              <w:tc>
                <w:tcPr>
                  <w:tcW w:w="387" w:type="pct"/>
                  <w:vAlign w:val="center"/>
                </w:tcPr>
                <w:p w14:paraId="3692976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val="en-US" w:eastAsia="zh-CN"/>
                    </w:rPr>
                  </w:pPr>
                  <w:r>
                    <w:rPr>
                      <w:rFonts w:hint="eastAsia" w:ascii="Times New Roman" w:hAnsi="Times New Roman" w:cs="Times New Roman"/>
                      <w:snapToGrid/>
                      <w:color w:val="auto"/>
                      <w:kern w:val="2"/>
                      <w:szCs w:val="21"/>
                      <w:lang w:val="en-US" w:eastAsia="zh-CN"/>
                    </w:rPr>
                    <w:t>400</w:t>
                  </w:r>
                </w:p>
              </w:tc>
              <w:tc>
                <w:tcPr>
                  <w:tcW w:w="879" w:type="pct"/>
                  <w:vAlign w:val="center"/>
                </w:tcPr>
                <w:p w14:paraId="4B0719A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3相/套，含铜铝过渡端子</w:t>
                  </w:r>
                </w:p>
              </w:tc>
            </w:tr>
            <w:tr w14:paraId="7DB19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2885028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4F2C723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11</w:t>
                  </w:r>
                </w:p>
              </w:tc>
              <w:tc>
                <w:tcPr>
                  <w:tcW w:w="1019" w:type="pct"/>
                  <w:vMerge w:val="restart"/>
                  <w:vAlign w:val="center"/>
                </w:tcPr>
                <w:p w14:paraId="5FF5E25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电缆桥架</w:t>
                  </w:r>
                </w:p>
              </w:tc>
              <w:tc>
                <w:tcPr>
                  <w:tcW w:w="1724" w:type="pct"/>
                  <w:vAlign w:val="center"/>
                </w:tcPr>
                <w:p w14:paraId="0B14770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100mm×400mm（H×W）</w:t>
                  </w:r>
                </w:p>
              </w:tc>
              <w:tc>
                <w:tcPr>
                  <w:tcW w:w="411" w:type="pct"/>
                  <w:vAlign w:val="center"/>
                </w:tcPr>
                <w:p w14:paraId="66A96F3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km</w:t>
                  </w:r>
                </w:p>
              </w:tc>
              <w:tc>
                <w:tcPr>
                  <w:tcW w:w="387" w:type="pct"/>
                  <w:vAlign w:val="center"/>
                </w:tcPr>
                <w:p w14:paraId="71C5FA6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1.3</w:t>
                  </w:r>
                </w:p>
              </w:tc>
              <w:tc>
                <w:tcPr>
                  <w:tcW w:w="879" w:type="pct"/>
                  <w:vAlign w:val="center"/>
                </w:tcPr>
                <w:p w14:paraId="5C64D68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含盖板</w:t>
                  </w:r>
                </w:p>
              </w:tc>
            </w:tr>
            <w:tr w14:paraId="0CAD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07966D6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138E1D9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12</w:t>
                  </w:r>
                </w:p>
              </w:tc>
              <w:tc>
                <w:tcPr>
                  <w:tcW w:w="1019" w:type="pct"/>
                  <w:vMerge w:val="continue"/>
                  <w:vAlign w:val="center"/>
                </w:tcPr>
                <w:p w14:paraId="649B5A4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1724" w:type="pct"/>
                  <w:vAlign w:val="center"/>
                </w:tcPr>
                <w:p w14:paraId="3EBED26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200mm×400mm（H×W）</w:t>
                  </w:r>
                </w:p>
              </w:tc>
              <w:tc>
                <w:tcPr>
                  <w:tcW w:w="411" w:type="pct"/>
                  <w:vAlign w:val="center"/>
                </w:tcPr>
                <w:p w14:paraId="1AEA46A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km</w:t>
                  </w:r>
                </w:p>
              </w:tc>
              <w:tc>
                <w:tcPr>
                  <w:tcW w:w="387" w:type="pct"/>
                  <w:vAlign w:val="center"/>
                </w:tcPr>
                <w:p w14:paraId="52B793A5">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1.1</w:t>
                  </w:r>
                </w:p>
              </w:tc>
              <w:tc>
                <w:tcPr>
                  <w:tcW w:w="879" w:type="pct"/>
                  <w:vAlign w:val="center"/>
                </w:tcPr>
                <w:p w14:paraId="04E5D21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含盖板</w:t>
                  </w:r>
                </w:p>
              </w:tc>
            </w:tr>
            <w:tr w14:paraId="1890F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211DA97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7B4E6B45">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13</w:t>
                  </w:r>
                </w:p>
              </w:tc>
              <w:tc>
                <w:tcPr>
                  <w:tcW w:w="1019" w:type="pct"/>
                  <w:vMerge w:val="restart"/>
                  <w:vAlign w:val="center"/>
                </w:tcPr>
                <w:p w14:paraId="21DEBCA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35k交流电缆</w:t>
                  </w:r>
                </w:p>
              </w:tc>
              <w:tc>
                <w:tcPr>
                  <w:tcW w:w="1724" w:type="pct"/>
                  <w:vAlign w:val="center"/>
                </w:tcPr>
                <w:p w14:paraId="01229D0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ZRC-YJLV22-26/35-3×95mm²</w:t>
                  </w:r>
                </w:p>
              </w:tc>
              <w:tc>
                <w:tcPr>
                  <w:tcW w:w="411" w:type="pct"/>
                  <w:vAlign w:val="center"/>
                </w:tcPr>
                <w:p w14:paraId="3B302CA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km</w:t>
                  </w:r>
                </w:p>
              </w:tc>
              <w:tc>
                <w:tcPr>
                  <w:tcW w:w="387" w:type="pct"/>
                  <w:vAlign w:val="center"/>
                </w:tcPr>
                <w:p w14:paraId="559AAF6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val="en-US" w:eastAsia="zh-CN"/>
                    </w:rPr>
                  </w:pPr>
                  <w:r>
                    <w:rPr>
                      <w:rFonts w:hint="eastAsia" w:ascii="Times New Roman" w:hAnsi="Times New Roman" w:cs="Times New Roman"/>
                      <w:snapToGrid/>
                      <w:color w:val="auto"/>
                      <w:kern w:val="2"/>
                      <w:szCs w:val="21"/>
                      <w:lang w:val="en-US" w:eastAsia="zh-CN"/>
                    </w:rPr>
                    <w:t>10.8</w:t>
                  </w:r>
                </w:p>
              </w:tc>
              <w:tc>
                <w:tcPr>
                  <w:tcW w:w="879" w:type="pct"/>
                  <w:vAlign w:val="center"/>
                </w:tcPr>
                <w:p w14:paraId="7A7846A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7624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54743EE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2AAAA53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14</w:t>
                  </w:r>
                </w:p>
              </w:tc>
              <w:tc>
                <w:tcPr>
                  <w:tcW w:w="1019" w:type="pct"/>
                  <w:vMerge w:val="continue"/>
                  <w:vAlign w:val="center"/>
                </w:tcPr>
                <w:p w14:paraId="2BCCDAC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1724" w:type="pct"/>
                  <w:vAlign w:val="center"/>
                </w:tcPr>
                <w:p w14:paraId="2AD2205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ZRC-YJLV22-26/35-3×185mm²</w:t>
                  </w:r>
                </w:p>
              </w:tc>
              <w:tc>
                <w:tcPr>
                  <w:tcW w:w="411" w:type="pct"/>
                  <w:vAlign w:val="center"/>
                </w:tcPr>
                <w:p w14:paraId="72A3F21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km</w:t>
                  </w:r>
                </w:p>
              </w:tc>
              <w:tc>
                <w:tcPr>
                  <w:tcW w:w="387" w:type="pct"/>
                  <w:vAlign w:val="center"/>
                </w:tcPr>
                <w:p w14:paraId="2BEDEC0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val="en-US" w:eastAsia="zh-CN"/>
                    </w:rPr>
                  </w:pPr>
                  <w:r>
                    <w:rPr>
                      <w:rFonts w:hint="eastAsia" w:ascii="Times New Roman" w:hAnsi="Times New Roman" w:cs="Times New Roman"/>
                      <w:snapToGrid/>
                      <w:color w:val="auto"/>
                      <w:kern w:val="2"/>
                      <w:szCs w:val="21"/>
                      <w:lang w:val="en-US" w:eastAsia="zh-CN"/>
                    </w:rPr>
                    <w:t>2.0</w:t>
                  </w:r>
                </w:p>
              </w:tc>
              <w:tc>
                <w:tcPr>
                  <w:tcW w:w="879" w:type="pct"/>
                  <w:vAlign w:val="center"/>
                </w:tcPr>
                <w:p w14:paraId="26BC392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4EA4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70A4ACB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4096A1E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15</w:t>
                  </w:r>
                </w:p>
              </w:tc>
              <w:tc>
                <w:tcPr>
                  <w:tcW w:w="1019" w:type="pct"/>
                  <w:vMerge w:val="continue"/>
                  <w:vAlign w:val="center"/>
                </w:tcPr>
                <w:p w14:paraId="3125D47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1724" w:type="pct"/>
                  <w:vAlign w:val="center"/>
                </w:tcPr>
                <w:p w14:paraId="05A3B03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ZRC-YJLV22-26/35-3×300mm²</w:t>
                  </w:r>
                </w:p>
              </w:tc>
              <w:tc>
                <w:tcPr>
                  <w:tcW w:w="411" w:type="pct"/>
                  <w:vAlign w:val="center"/>
                </w:tcPr>
                <w:p w14:paraId="3A6E2D4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km</w:t>
                  </w:r>
                </w:p>
              </w:tc>
              <w:tc>
                <w:tcPr>
                  <w:tcW w:w="387" w:type="pct"/>
                  <w:vAlign w:val="center"/>
                </w:tcPr>
                <w:p w14:paraId="01CB108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val="en-US" w:eastAsia="zh-CN"/>
                    </w:rPr>
                  </w:pPr>
                  <w:r>
                    <w:rPr>
                      <w:rFonts w:hint="eastAsia" w:ascii="Times New Roman" w:hAnsi="Times New Roman" w:cs="Times New Roman"/>
                      <w:snapToGrid/>
                      <w:color w:val="auto"/>
                      <w:kern w:val="2"/>
                      <w:szCs w:val="21"/>
                      <w:lang w:val="en-US" w:eastAsia="zh-CN"/>
                    </w:rPr>
                    <w:t>6.5</w:t>
                  </w:r>
                </w:p>
              </w:tc>
              <w:tc>
                <w:tcPr>
                  <w:tcW w:w="879" w:type="pct"/>
                  <w:vAlign w:val="center"/>
                </w:tcPr>
                <w:p w14:paraId="5BEF426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09502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2E55903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6DB69FC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16</w:t>
                  </w:r>
                </w:p>
              </w:tc>
              <w:tc>
                <w:tcPr>
                  <w:tcW w:w="1019" w:type="pct"/>
                  <w:vMerge w:val="continue"/>
                  <w:vAlign w:val="center"/>
                </w:tcPr>
                <w:p w14:paraId="322BDF9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1724" w:type="pct"/>
                  <w:vAlign w:val="center"/>
                </w:tcPr>
                <w:p w14:paraId="703BB35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ZRC-YJLV22-26/35-3×400mm²</w:t>
                  </w:r>
                </w:p>
              </w:tc>
              <w:tc>
                <w:tcPr>
                  <w:tcW w:w="411" w:type="pct"/>
                  <w:vAlign w:val="center"/>
                </w:tcPr>
                <w:p w14:paraId="38FE557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km</w:t>
                  </w:r>
                </w:p>
              </w:tc>
              <w:tc>
                <w:tcPr>
                  <w:tcW w:w="387" w:type="pct"/>
                  <w:vAlign w:val="center"/>
                </w:tcPr>
                <w:p w14:paraId="4595EF55">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val="en-US" w:eastAsia="zh-CN"/>
                    </w:rPr>
                  </w:pPr>
                  <w:r>
                    <w:rPr>
                      <w:rFonts w:hint="eastAsia" w:ascii="Times New Roman" w:hAnsi="Times New Roman" w:cs="Times New Roman"/>
                      <w:snapToGrid/>
                      <w:color w:val="auto"/>
                      <w:kern w:val="2"/>
                      <w:szCs w:val="21"/>
                      <w:lang w:val="en-US" w:eastAsia="zh-CN"/>
                    </w:rPr>
                    <w:t>8.0</w:t>
                  </w:r>
                </w:p>
              </w:tc>
              <w:tc>
                <w:tcPr>
                  <w:tcW w:w="879" w:type="pct"/>
                  <w:vAlign w:val="center"/>
                </w:tcPr>
                <w:p w14:paraId="79CC147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7D05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4DCECC6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176283C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17</w:t>
                  </w:r>
                </w:p>
              </w:tc>
              <w:tc>
                <w:tcPr>
                  <w:tcW w:w="1019" w:type="pct"/>
                  <w:vMerge w:val="restart"/>
                  <w:vAlign w:val="center"/>
                </w:tcPr>
                <w:p w14:paraId="3EF076B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35kV交流电缆终端</w:t>
                  </w:r>
                </w:p>
              </w:tc>
              <w:tc>
                <w:tcPr>
                  <w:tcW w:w="1724" w:type="pct"/>
                  <w:vAlign w:val="center"/>
                </w:tcPr>
                <w:p w14:paraId="5576A64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ZRC-YJLV22-26/35-3×95mm²</w:t>
                  </w:r>
                </w:p>
              </w:tc>
              <w:tc>
                <w:tcPr>
                  <w:tcW w:w="411" w:type="pct"/>
                  <w:vAlign w:val="center"/>
                </w:tcPr>
                <w:p w14:paraId="5E70F98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套</w:t>
                  </w:r>
                </w:p>
              </w:tc>
              <w:tc>
                <w:tcPr>
                  <w:tcW w:w="387" w:type="pct"/>
                  <w:vAlign w:val="center"/>
                </w:tcPr>
                <w:p w14:paraId="2697C94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20</w:t>
                  </w:r>
                </w:p>
              </w:tc>
              <w:tc>
                <w:tcPr>
                  <w:tcW w:w="879" w:type="pct"/>
                  <w:vAlign w:val="center"/>
                </w:tcPr>
                <w:p w14:paraId="70E8E99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含接线端子等辅件</w:t>
                  </w:r>
                </w:p>
              </w:tc>
            </w:tr>
            <w:tr w14:paraId="6CFF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0758FAC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35E2D5D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18</w:t>
                  </w:r>
                </w:p>
              </w:tc>
              <w:tc>
                <w:tcPr>
                  <w:tcW w:w="1019" w:type="pct"/>
                  <w:vMerge w:val="continue"/>
                  <w:vAlign w:val="center"/>
                </w:tcPr>
                <w:p w14:paraId="4079444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1724" w:type="pct"/>
                  <w:vAlign w:val="center"/>
                </w:tcPr>
                <w:p w14:paraId="34F34CB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ZRC-YJLV22-26/35-3×185mm²</w:t>
                  </w:r>
                </w:p>
              </w:tc>
              <w:tc>
                <w:tcPr>
                  <w:tcW w:w="411" w:type="pct"/>
                  <w:vAlign w:val="center"/>
                </w:tcPr>
                <w:p w14:paraId="1C4C86F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套</w:t>
                  </w:r>
                </w:p>
              </w:tc>
              <w:tc>
                <w:tcPr>
                  <w:tcW w:w="387" w:type="pct"/>
                  <w:vAlign w:val="center"/>
                </w:tcPr>
                <w:p w14:paraId="661E8DD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10</w:t>
                  </w:r>
                </w:p>
              </w:tc>
              <w:tc>
                <w:tcPr>
                  <w:tcW w:w="879" w:type="pct"/>
                  <w:vAlign w:val="center"/>
                </w:tcPr>
                <w:p w14:paraId="47369D8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5C12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28C9655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1461B57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19</w:t>
                  </w:r>
                </w:p>
              </w:tc>
              <w:tc>
                <w:tcPr>
                  <w:tcW w:w="1019" w:type="pct"/>
                  <w:vMerge w:val="continue"/>
                  <w:vAlign w:val="center"/>
                </w:tcPr>
                <w:p w14:paraId="222ADA8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1724" w:type="pct"/>
                  <w:vAlign w:val="center"/>
                </w:tcPr>
                <w:p w14:paraId="5677F5F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ZRC-YJLV22-26/35-3×300mm²</w:t>
                  </w:r>
                </w:p>
              </w:tc>
              <w:tc>
                <w:tcPr>
                  <w:tcW w:w="411" w:type="pct"/>
                  <w:vAlign w:val="center"/>
                </w:tcPr>
                <w:p w14:paraId="55805DF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套</w:t>
                  </w:r>
                </w:p>
              </w:tc>
              <w:tc>
                <w:tcPr>
                  <w:tcW w:w="387" w:type="pct"/>
                  <w:vAlign w:val="center"/>
                </w:tcPr>
                <w:p w14:paraId="29703FB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eastAsia" w:ascii="Times New Roman" w:hAnsi="Times New Roman" w:cs="Times New Roman"/>
                      <w:snapToGrid/>
                      <w:color w:val="auto"/>
                      <w:kern w:val="2"/>
                      <w:szCs w:val="21"/>
                      <w:lang w:val="en-US" w:eastAsia="zh-CN"/>
                    </w:rPr>
                    <w:t>8</w:t>
                  </w:r>
                </w:p>
              </w:tc>
              <w:tc>
                <w:tcPr>
                  <w:tcW w:w="879" w:type="pct"/>
                  <w:vAlign w:val="center"/>
                </w:tcPr>
                <w:p w14:paraId="6701048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023C2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6798BEB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5BFD6FB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20</w:t>
                  </w:r>
                </w:p>
              </w:tc>
              <w:tc>
                <w:tcPr>
                  <w:tcW w:w="1019" w:type="pct"/>
                  <w:vMerge w:val="continue"/>
                  <w:vAlign w:val="center"/>
                </w:tcPr>
                <w:p w14:paraId="755D5EA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1724" w:type="pct"/>
                  <w:vAlign w:val="center"/>
                </w:tcPr>
                <w:p w14:paraId="0F0D976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ZRC-YJLV22-26/35-3×400mm²</w:t>
                  </w:r>
                </w:p>
              </w:tc>
              <w:tc>
                <w:tcPr>
                  <w:tcW w:w="411" w:type="pct"/>
                  <w:vAlign w:val="center"/>
                </w:tcPr>
                <w:p w14:paraId="0E0F730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套</w:t>
                  </w:r>
                </w:p>
              </w:tc>
              <w:tc>
                <w:tcPr>
                  <w:tcW w:w="387" w:type="pct"/>
                  <w:vAlign w:val="center"/>
                </w:tcPr>
                <w:p w14:paraId="5441495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4</w:t>
                  </w:r>
                </w:p>
              </w:tc>
              <w:tc>
                <w:tcPr>
                  <w:tcW w:w="879" w:type="pct"/>
                  <w:vAlign w:val="center"/>
                </w:tcPr>
                <w:p w14:paraId="7D2587A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5993F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302CFA8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1352B6E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21</w:t>
                  </w:r>
                </w:p>
              </w:tc>
              <w:tc>
                <w:tcPr>
                  <w:tcW w:w="1019" w:type="pct"/>
                  <w:vAlign w:val="center"/>
                </w:tcPr>
                <w:p w14:paraId="682C890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35kV电缆中间接头</w:t>
                  </w:r>
                </w:p>
              </w:tc>
              <w:tc>
                <w:tcPr>
                  <w:tcW w:w="1724" w:type="pct"/>
                  <w:vAlign w:val="center"/>
                </w:tcPr>
                <w:p w14:paraId="1E39DD4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户外冷缩型</w:t>
                  </w:r>
                </w:p>
              </w:tc>
              <w:tc>
                <w:tcPr>
                  <w:tcW w:w="411" w:type="pct"/>
                  <w:vAlign w:val="center"/>
                </w:tcPr>
                <w:p w14:paraId="6F47977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套</w:t>
                  </w:r>
                </w:p>
              </w:tc>
              <w:tc>
                <w:tcPr>
                  <w:tcW w:w="387" w:type="pct"/>
                  <w:vAlign w:val="center"/>
                </w:tcPr>
                <w:p w14:paraId="69F3CBB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val="en-US" w:eastAsia="zh-CN"/>
                    </w:rPr>
                  </w:pPr>
                  <w:r>
                    <w:rPr>
                      <w:rFonts w:hint="eastAsia" w:ascii="Times New Roman" w:hAnsi="Times New Roman" w:cs="Times New Roman"/>
                      <w:snapToGrid/>
                      <w:color w:val="auto"/>
                      <w:kern w:val="2"/>
                      <w:szCs w:val="21"/>
                      <w:lang w:val="en-US" w:eastAsia="zh-CN"/>
                    </w:rPr>
                    <w:t>59</w:t>
                  </w:r>
                </w:p>
              </w:tc>
              <w:tc>
                <w:tcPr>
                  <w:tcW w:w="879" w:type="pct"/>
                  <w:vAlign w:val="center"/>
                </w:tcPr>
                <w:p w14:paraId="230E974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含中间铜（铝）管</w:t>
                  </w:r>
                </w:p>
              </w:tc>
            </w:tr>
            <w:tr w14:paraId="536E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31E15B0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44C7F48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22</w:t>
                  </w:r>
                </w:p>
              </w:tc>
              <w:tc>
                <w:tcPr>
                  <w:tcW w:w="1019" w:type="pct"/>
                  <w:vAlign w:val="center"/>
                </w:tcPr>
                <w:p w14:paraId="3F0193D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PVC管</w:t>
                  </w:r>
                </w:p>
              </w:tc>
              <w:tc>
                <w:tcPr>
                  <w:tcW w:w="1724" w:type="pct"/>
                  <w:vAlign w:val="center"/>
                </w:tcPr>
                <w:p w14:paraId="254CB11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DN25</w:t>
                  </w:r>
                </w:p>
              </w:tc>
              <w:tc>
                <w:tcPr>
                  <w:tcW w:w="411" w:type="pct"/>
                  <w:vAlign w:val="center"/>
                </w:tcPr>
                <w:p w14:paraId="0747E15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km</w:t>
                  </w:r>
                </w:p>
              </w:tc>
              <w:tc>
                <w:tcPr>
                  <w:tcW w:w="387" w:type="pct"/>
                  <w:vAlign w:val="center"/>
                </w:tcPr>
                <w:p w14:paraId="57E7E85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10</w:t>
                  </w:r>
                </w:p>
              </w:tc>
              <w:tc>
                <w:tcPr>
                  <w:tcW w:w="879" w:type="pct"/>
                  <w:vAlign w:val="center"/>
                </w:tcPr>
                <w:p w14:paraId="6F145B2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5A96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35D180E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1174D0D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23</w:t>
                  </w:r>
                </w:p>
              </w:tc>
              <w:tc>
                <w:tcPr>
                  <w:tcW w:w="1019" w:type="pct"/>
                  <w:vAlign w:val="center"/>
                </w:tcPr>
                <w:p w14:paraId="65239D3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过路套管</w:t>
                  </w:r>
                </w:p>
              </w:tc>
              <w:tc>
                <w:tcPr>
                  <w:tcW w:w="1724" w:type="pct"/>
                  <w:vAlign w:val="center"/>
                </w:tcPr>
                <w:p w14:paraId="78C2068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DN200</w:t>
                  </w:r>
                </w:p>
              </w:tc>
              <w:tc>
                <w:tcPr>
                  <w:tcW w:w="411" w:type="pct"/>
                  <w:vAlign w:val="center"/>
                </w:tcPr>
                <w:p w14:paraId="226B165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km</w:t>
                  </w:r>
                </w:p>
              </w:tc>
              <w:tc>
                <w:tcPr>
                  <w:tcW w:w="387" w:type="pct"/>
                  <w:vAlign w:val="center"/>
                </w:tcPr>
                <w:p w14:paraId="3EB1DD7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3</w:t>
                  </w:r>
                </w:p>
              </w:tc>
              <w:tc>
                <w:tcPr>
                  <w:tcW w:w="879" w:type="pct"/>
                  <w:vAlign w:val="center"/>
                </w:tcPr>
                <w:p w14:paraId="6DAE574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2D19D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0AFB302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2A2BC05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24</w:t>
                  </w:r>
                </w:p>
              </w:tc>
              <w:tc>
                <w:tcPr>
                  <w:tcW w:w="1019" w:type="pct"/>
                  <w:vAlign w:val="center"/>
                </w:tcPr>
                <w:p w14:paraId="4A5BC3F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接地扁钢</w:t>
                  </w:r>
                </w:p>
              </w:tc>
              <w:tc>
                <w:tcPr>
                  <w:tcW w:w="1724" w:type="pct"/>
                  <w:vAlign w:val="center"/>
                </w:tcPr>
                <w:p w14:paraId="761375F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50×5mm</w:t>
                  </w:r>
                </w:p>
              </w:tc>
              <w:tc>
                <w:tcPr>
                  <w:tcW w:w="411" w:type="pct"/>
                  <w:vAlign w:val="center"/>
                </w:tcPr>
                <w:p w14:paraId="5361E24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km</w:t>
                  </w:r>
                </w:p>
              </w:tc>
              <w:tc>
                <w:tcPr>
                  <w:tcW w:w="387" w:type="pct"/>
                  <w:vAlign w:val="center"/>
                </w:tcPr>
                <w:p w14:paraId="6EC82C6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40</w:t>
                  </w:r>
                </w:p>
              </w:tc>
              <w:tc>
                <w:tcPr>
                  <w:tcW w:w="879" w:type="pct"/>
                  <w:vAlign w:val="center"/>
                </w:tcPr>
                <w:p w14:paraId="3800B9E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2A53A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76BD1CF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784507A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25</w:t>
                  </w:r>
                </w:p>
              </w:tc>
              <w:tc>
                <w:tcPr>
                  <w:tcW w:w="1019" w:type="pct"/>
                  <w:vAlign w:val="center"/>
                </w:tcPr>
                <w:p w14:paraId="44D09E2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接地跳线</w:t>
                  </w:r>
                </w:p>
              </w:tc>
              <w:tc>
                <w:tcPr>
                  <w:tcW w:w="1724" w:type="pct"/>
                  <w:vAlign w:val="center"/>
                </w:tcPr>
                <w:p w14:paraId="11C1811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75mm²钢绞线，2.5m/根</w:t>
                  </w:r>
                </w:p>
              </w:tc>
              <w:tc>
                <w:tcPr>
                  <w:tcW w:w="411" w:type="pct"/>
                  <w:vAlign w:val="center"/>
                </w:tcPr>
                <w:p w14:paraId="5B678A6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m</w:t>
                  </w:r>
                </w:p>
              </w:tc>
              <w:tc>
                <w:tcPr>
                  <w:tcW w:w="387" w:type="pct"/>
                  <w:vAlign w:val="center"/>
                </w:tcPr>
                <w:p w14:paraId="749572D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18910</w:t>
                  </w:r>
                </w:p>
              </w:tc>
              <w:tc>
                <w:tcPr>
                  <w:tcW w:w="879" w:type="pct"/>
                  <w:vAlign w:val="center"/>
                </w:tcPr>
                <w:p w14:paraId="30BEF65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01C03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548BA8C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3948AC8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26</w:t>
                  </w:r>
                </w:p>
              </w:tc>
              <w:tc>
                <w:tcPr>
                  <w:tcW w:w="1019" w:type="pct"/>
                  <w:vAlign w:val="center"/>
                </w:tcPr>
                <w:p w14:paraId="23380E5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组件接地线</w:t>
                  </w:r>
                </w:p>
              </w:tc>
              <w:tc>
                <w:tcPr>
                  <w:tcW w:w="1724" w:type="pct"/>
                  <w:vAlign w:val="center"/>
                </w:tcPr>
                <w:p w14:paraId="0C12422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BVR-1×4mm²,15cm/根</w:t>
                  </w:r>
                </w:p>
              </w:tc>
              <w:tc>
                <w:tcPr>
                  <w:tcW w:w="411" w:type="pct"/>
                  <w:vAlign w:val="center"/>
                </w:tcPr>
                <w:p w14:paraId="2D4994A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m</w:t>
                  </w:r>
                </w:p>
              </w:tc>
              <w:tc>
                <w:tcPr>
                  <w:tcW w:w="387" w:type="pct"/>
                  <w:vAlign w:val="center"/>
                </w:tcPr>
                <w:p w14:paraId="6941C8C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15128</w:t>
                  </w:r>
                </w:p>
              </w:tc>
              <w:tc>
                <w:tcPr>
                  <w:tcW w:w="879" w:type="pct"/>
                  <w:vAlign w:val="center"/>
                </w:tcPr>
                <w:p w14:paraId="00C93E6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2C0B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3DBB7F6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3F25C87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27</w:t>
                  </w:r>
                </w:p>
              </w:tc>
              <w:tc>
                <w:tcPr>
                  <w:tcW w:w="1019" w:type="pct"/>
                  <w:vAlign w:val="center"/>
                </w:tcPr>
                <w:p w14:paraId="741EDE8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垂直接地极</w:t>
                  </w:r>
                </w:p>
              </w:tc>
              <w:tc>
                <w:tcPr>
                  <w:tcW w:w="1724" w:type="pct"/>
                  <w:vAlign w:val="center"/>
                </w:tcPr>
                <w:p w14:paraId="6B5AB6C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∠50×50×5，L=2.5m镀锌角钢</w:t>
                  </w:r>
                </w:p>
              </w:tc>
              <w:tc>
                <w:tcPr>
                  <w:tcW w:w="411" w:type="pct"/>
                  <w:vAlign w:val="center"/>
                </w:tcPr>
                <w:p w14:paraId="34D5EA3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根</w:t>
                  </w:r>
                </w:p>
              </w:tc>
              <w:tc>
                <w:tcPr>
                  <w:tcW w:w="387" w:type="pct"/>
                  <w:vAlign w:val="center"/>
                </w:tcPr>
                <w:p w14:paraId="261936D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val="en-US" w:eastAsia="zh-CN"/>
                    </w:rPr>
                  </w:pPr>
                  <w:r>
                    <w:rPr>
                      <w:rFonts w:hint="default" w:ascii="Times New Roman" w:hAnsi="Times New Roman" w:cs="Times New Roman" w:eastAsiaTheme="minorEastAsia"/>
                      <w:snapToGrid/>
                      <w:color w:val="auto"/>
                      <w:kern w:val="2"/>
                      <w:szCs w:val="21"/>
                      <w:lang w:eastAsia="zh-CN"/>
                    </w:rPr>
                    <w:t>40</w:t>
                  </w:r>
                  <w:r>
                    <w:rPr>
                      <w:rFonts w:hint="eastAsia" w:ascii="Times New Roman" w:hAnsi="Times New Roman" w:cs="Times New Roman"/>
                      <w:snapToGrid/>
                      <w:color w:val="auto"/>
                      <w:kern w:val="2"/>
                      <w:szCs w:val="21"/>
                      <w:lang w:val="en-US" w:eastAsia="zh-CN"/>
                    </w:rPr>
                    <w:t>0</w:t>
                  </w:r>
                </w:p>
              </w:tc>
              <w:tc>
                <w:tcPr>
                  <w:tcW w:w="879" w:type="pct"/>
                  <w:vAlign w:val="center"/>
                </w:tcPr>
                <w:p w14:paraId="6B20EAB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3243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1C5CD19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182DE62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28</w:t>
                  </w:r>
                </w:p>
              </w:tc>
              <w:tc>
                <w:tcPr>
                  <w:tcW w:w="1019" w:type="pct"/>
                  <w:vAlign w:val="center"/>
                </w:tcPr>
                <w:p w14:paraId="09422AB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逆变器接地线</w:t>
                  </w:r>
                </w:p>
              </w:tc>
              <w:tc>
                <w:tcPr>
                  <w:tcW w:w="1724" w:type="pct"/>
                  <w:vAlign w:val="center"/>
                </w:tcPr>
                <w:p w14:paraId="37A475E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BVR-1×50mm²,1m/根</w:t>
                  </w:r>
                </w:p>
              </w:tc>
              <w:tc>
                <w:tcPr>
                  <w:tcW w:w="411" w:type="pct"/>
                  <w:vAlign w:val="center"/>
                </w:tcPr>
                <w:p w14:paraId="3A72EB7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m</w:t>
                  </w:r>
                </w:p>
              </w:tc>
              <w:tc>
                <w:tcPr>
                  <w:tcW w:w="387" w:type="pct"/>
                  <w:vAlign w:val="center"/>
                </w:tcPr>
                <w:p w14:paraId="54FB6AA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val="en-US" w:eastAsia="zh-CN"/>
                    </w:rPr>
                  </w:pPr>
                  <w:r>
                    <w:rPr>
                      <w:rFonts w:hint="eastAsia" w:ascii="Times New Roman" w:hAnsi="Times New Roman" w:cs="Times New Roman"/>
                      <w:snapToGrid/>
                      <w:color w:val="auto"/>
                      <w:kern w:val="2"/>
                      <w:szCs w:val="21"/>
                      <w:lang w:val="en-US" w:eastAsia="zh-CN"/>
                    </w:rPr>
                    <w:t>400</w:t>
                  </w:r>
                </w:p>
              </w:tc>
              <w:tc>
                <w:tcPr>
                  <w:tcW w:w="879" w:type="pct"/>
                  <w:vAlign w:val="center"/>
                </w:tcPr>
                <w:p w14:paraId="3E78A58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54AC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47B2086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37A263C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29</w:t>
                  </w:r>
                </w:p>
              </w:tc>
              <w:tc>
                <w:tcPr>
                  <w:tcW w:w="1019" w:type="pct"/>
                  <w:vAlign w:val="center"/>
                </w:tcPr>
                <w:p w14:paraId="7002915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防火堵料</w:t>
                  </w:r>
                </w:p>
              </w:tc>
              <w:tc>
                <w:tcPr>
                  <w:tcW w:w="1724" w:type="pct"/>
                  <w:vAlign w:val="center"/>
                </w:tcPr>
                <w:p w14:paraId="254EC66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411" w:type="pct"/>
                  <w:vAlign w:val="center"/>
                </w:tcPr>
                <w:p w14:paraId="6C643BF5">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t</w:t>
                  </w:r>
                </w:p>
              </w:tc>
              <w:tc>
                <w:tcPr>
                  <w:tcW w:w="387" w:type="pct"/>
                  <w:vAlign w:val="center"/>
                </w:tcPr>
                <w:p w14:paraId="5AA2FD3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1.2</w:t>
                  </w:r>
                </w:p>
              </w:tc>
              <w:tc>
                <w:tcPr>
                  <w:tcW w:w="879" w:type="pct"/>
                  <w:vAlign w:val="center"/>
                </w:tcPr>
                <w:p w14:paraId="5E0C2E6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205D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0DCFFF2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7F1D0D5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30</w:t>
                  </w:r>
                </w:p>
              </w:tc>
              <w:tc>
                <w:tcPr>
                  <w:tcW w:w="1019" w:type="pct"/>
                  <w:vAlign w:val="center"/>
                </w:tcPr>
                <w:p w14:paraId="4C4A2D8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防火涂料</w:t>
                  </w:r>
                </w:p>
              </w:tc>
              <w:tc>
                <w:tcPr>
                  <w:tcW w:w="1724" w:type="pct"/>
                  <w:vAlign w:val="center"/>
                </w:tcPr>
                <w:p w14:paraId="6D4E31D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411" w:type="pct"/>
                  <w:vAlign w:val="center"/>
                </w:tcPr>
                <w:p w14:paraId="247430D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t</w:t>
                  </w:r>
                </w:p>
              </w:tc>
              <w:tc>
                <w:tcPr>
                  <w:tcW w:w="387" w:type="pct"/>
                  <w:vAlign w:val="center"/>
                </w:tcPr>
                <w:p w14:paraId="3C7A429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1.2</w:t>
                  </w:r>
                </w:p>
              </w:tc>
              <w:tc>
                <w:tcPr>
                  <w:tcW w:w="879" w:type="pct"/>
                  <w:vAlign w:val="center"/>
                </w:tcPr>
                <w:p w14:paraId="748C865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3B22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044AB50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4053462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31</w:t>
                  </w:r>
                </w:p>
              </w:tc>
              <w:tc>
                <w:tcPr>
                  <w:tcW w:w="1019" w:type="pct"/>
                  <w:vAlign w:val="center"/>
                </w:tcPr>
                <w:p w14:paraId="6357D9C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回填黏土</w:t>
                  </w:r>
                </w:p>
              </w:tc>
              <w:tc>
                <w:tcPr>
                  <w:tcW w:w="1724" w:type="pct"/>
                  <w:vAlign w:val="center"/>
                </w:tcPr>
                <w:p w14:paraId="149C8BC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411" w:type="pct"/>
                  <w:vAlign w:val="center"/>
                </w:tcPr>
                <w:p w14:paraId="6696C4A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m</w:t>
                  </w:r>
                  <w:r>
                    <w:rPr>
                      <w:rFonts w:hint="default" w:ascii="Times New Roman" w:hAnsi="Times New Roman" w:cs="Times New Roman" w:eastAsiaTheme="minorEastAsia"/>
                      <w:snapToGrid/>
                      <w:color w:val="auto"/>
                      <w:kern w:val="2"/>
                      <w:szCs w:val="21"/>
                      <w:vertAlign w:val="superscript"/>
                      <w:lang w:eastAsia="zh-CN"/>
                    </w:rPr>
                    <w:t>3</w:t>
                  </w:r>
                </w:p>
              </w:tc>
              <w:tc>
                <w:tcPr>
                  <w:tcW w:w="387" w:type="pct"/>
                  <w:vAlign w:val="center"/>
                </w:tcPr>
                <w:p w14:paraId="32853EE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180</w:t>
                  </w:r>
                </w:p>
              </w:tc>
              <w:tc>
                <w:tcPr>
                  <w:tcW w:w="879" w:type="pct"/>
                  <w:vAlign w:val="center"/>
                </w:tcPr>
                <w:p w14:paraId="004A0E8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4262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285" w:type="pct"/>
                  <w:vMerge w:val="continue"/>
                  <w:vAlign w:val="center"/>
                </w:tcPr>
                <w:p w14:paraId="394466D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4CB18D3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32</w:t>
                  </w:r>
                </w:p>
              </w:tc>
              <w:tc>
                <w:tcPr>
                  <w:tcW w:w="1019" w:type="pct"/>
                  <w:vAlign w:val="center"/>
                </w:tcPr>
                <w:p w14:paraId="39CF4E0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光伏场区监控系统</w:t>
                  </w:r>
                </w:p>
              </w:tc>
              <w:tc>
                <w:tcPr>
                  <w:tcW w:w="1724" w:type="pct"/>
                  <w:vAlign w:val="center"/>
                </w:tcPr>
                <w:p w14:paraId="3AFAE8A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与逆变器配套</w:t>
                  </w:r>
                </w:p>
              </w:tc>
              <w:tc>
                <w:tcPr>
                  <w:tcW w:w="411" w:type="pct"/>
                  <w:vAlign w:val="center"/>
                </w:tcPr>
                <w:p w14:paraId="6F2AE77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套</w:t>
                  </w:r>
                </w:p>
              </w:tc>
              <w:tc>
                <w:tcPr>
                  <w:tcW w:w="387" w:type="pct"/>
                  <w:vAlign w:val="center"/>
                </w:tcPr>
                <w:p w14:paraId="3CCB72A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w:t>
                  </w:r>
                </w:p>
              </w:tc>
              <w:tc>
                <w:tcPr>
                  <w:tcW w:w="879" w:type="pct"/>
                  <w:vAlign w:val="center"/>
                </w:tcPr>
                <w:p w14:paraId="42E191E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4B5EE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16B28BF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7A4A5B8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33</w:t>
                  </w:r>
                </w:p>
              </w:tc>
              <w:tc>
                <w:tcPr>
                  <w:tcW w:w="1019" w:type="pct"/>
                  <w:vAlign w:val="center"/>
                </w:tcPr>
                <w:p w14:paraId="71C86C3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环境监测仪</w:t>
                  </w:r>
                </w:p>
              </w:tc>
              <w:tc>
                <w:tcPr>
                  <w:tcW w:w="1724" w:type="pct"/>
                  <w:vAlign w:val="center"/>
                </w:tcPr>
                <w:p w14:paraId="098676A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411" w:type="pct"/>
                  <w:vAlign w:val="center"/>
                </w:tcPr>
                <w:p w14:paraId="2B2E722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套</w:t>
                  </w:r>
                </w:p>
              </w:tc>
              <w:tc>
                <w:tcPr>
                  <w:tcW w:w="387" w:type="pct"/>
                  <w:vAlign w:val="center"/>
                </w:tcPr>
                <w:p w14:paraId="59F4E36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w:t>
                  </w:r>
                </w:p>
              </w:tc>
              <w:tc>
                <w:tcPr>
                  <w:tcW w:w="879" w:type="pct"/>
                  <w:vAlign w:val="center"/>
                </w:tcPr>
                <w:p w14:paraId="6C52164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37967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76BF62A5">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63AE74D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34</w:t>
                  </w:r>
                </w:p>
              </w:tc>
              <w:tc>
                <w:tcPr>
                  <w:tcW w:w="1019" w:type="pct"/>
                  <w:vAlign w:val="center"/>
                </w:tcPr>
                <w:p w14:paraId="43EF013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光缆</w:t>
                  </w:r>
                </w:p>
              </w:tc>
              <w:tc>
                <w:tcPr>
                  <w:tcW w:w="1724" w:type="pct"/>
                  <w:vAlign w:val="center"/>
                </w:tcPr>
                <w:p w14:paraId="57B87D2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GYTA53-24B1</w:t>
                  </w:r>
                </w:p>
              </w:tc>
              <w:tc>
                <w:tcPr>
                  <w:tcW w:w="411" w:type="pct"/>
                  <w:vAlign w:val="center"/>
                </w:tcPr>
                <w:p w14:paraId="5710BBB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km</w:t>
                  </w:r>
                </w:p>
              </w:tc>
              <w:tc>
                <w:tcPr>
                  <w:tcW w:w="387" w:type="pct"/>
                  <w:vAlign w:val="center"/>
                </w:tcPr>
                <w:p w14:paraId="3488430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val="en-US" w:eastAsia="zh-CN"/>
                    </w:rPr>
                  </w:pPr>
                  <w:r>
                    <w:rPr>
                      <w:rFonts w:hint="eastAsia" w:ascii="Times New Roman" w:hAnsi="Times New Roman" w:cs="Times New Roman"/>
                      <w:snapToGrid/>
                      <w:color w:val="auto"/>
                      <w:kern w:val="2"/>
                      <w:szCs w:val="21"/>
                      <w:lang w:val="en-US" w:eastAsia="zh-CN"/>
                    </w:rPr>
                    <w:t>27.3</w:t>
                  </w:r>
                </w:p>
              </w:tc>
              <w:tc>
                <w:tcPr>
                  <w:tcW w:w="879" w:type="pct"/>
                  <w:vAlign w:val="center"/>
                </w:tcPr>
                <w:p w14:paraId="0083A3D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33FC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1C5E1A5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036FEA0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35</w:t>
                  </w:r>
                </w:p>
              </w:tc>
              <w:tc>
                <w:tcPr>
                  <w:tcW w:w="1019" w:type="pct"/>
                  <w:vAlign w:val="center"/>
                </w:tcPr>
                <w:p w14:paraId="32C6F10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场区视频监控</w:t>
                  </w:r>
                </w:p>
              </w:tc>
              <w:tc>
                <w:tcPr>
                  <w:tcW w:w="1724" w:type="pct"/>
                  <w:vAlign w:val="center"/>
                </w:tcPr>
                <w:p w14:paraId="5B08957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含场区视频监控系统1套，视频监控设备20套</w:t>
                  </w:r>
                </w:p>
              </w:tc>
              <w:tc>
                <w:tcPr>
                  <w:tcW w:w="411" w:type="pct"/>
                  <w:vAlign w:val="center"/>
                </w:tcPr>
                <w:p w14:paraId="228151A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套</w:t>
                  </w:r>
                </w:p>
              </w:tc>
              <w:tc>
                <w:tcPr>
                  <w:tcW w:w="387" w:type="pct"/>
                  <w:vAlign w:val="center"/>
                </w:tcPr>
                <w:p w14:paraId="0AD0B0B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w:t>
                  </w:r>
                </w:p>
              </w:tc>
              <w:tc>
                <w:tcPr>
                  <w:tcW w:w="879" w:type="pct"/>
                  <w:vAlign w:val="center"/>
                </w:tcPr>
                <w:p w14:paraId="60EA152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5C90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4281055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38EE5F2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36</w:t>
                  </w:r>
                </w:p>
              </w:tc>
              <w:tc>
                <w:tcPr>
                  <w:tcW w:w="1019" w:type="pct"/>
                  <w:vAlign w:val="center"/>
                </w:tcPr>
                <w:p w14:paraId="3F654DC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RS485线</w:t>
                  </w:r>
                </w:p>
              </w:tc>
              <w:tc>
                <w:tcPr>
                  <w:tcW w:w="1724" w:type="pct"/>
                  <w:vAlign w:val="center"/>
                </w:tcPr>
                <w:p w14:paraId="5898E10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铠装屏蔽双绞线</w:t>
                  </w:r>
                </w:p>
              </w:tc>
              <w:tc>
                <w:tcPr>
                  <w:tcW w:w="411" w:type="pct"/>
                  <w:vAlign w:val="center"/>
                </w:tcPr>
                <w:p w14:paraId="4D086A3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km</w:t>
                  </w:r>
                </w:p>
              </w:tc>
              <w:tc>
                <w:tcPr>
                  <w:tcW w:w="387" w:type="pct"/>
                  <w:vAlign w:val="center"/>
                </w:tcPr>
                <w:p w14:paraId="15FD96C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1.2</w:t>
                  </w:r>
                </w:p>
              </w:tc>
              <w:tc>
                <w:tcPr>
                  <w:tcW w:w="879" w:type="pct"/>
                  <w:vAlign w:val="center"/>
                </w:tcPr>
                <w:p w14:paraId="1F392D4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41CFF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285" w:type="pct"/>
                  <w:vMerge w:val="continue"/>
                  <w:vAlign w:val="center"/>
                </w:tcPr>
                <w:p w14:paraId="3D2C9BD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2F49151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37</w:t>
                  </w:r>
                </w:p>
              </w:tc>
              <w:tc>
                <w:tcPr>
                  <w:tcW w:w="1019" w:type="pct"/>
                  <w:vAlign w:val="center"/>
                </w:tcPr>
                <w:p w14:paraId="09C8E16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电站专用工具仪表</w:t>
                  </w:r>
                </w:p>
              </w:tc>
              <w:tc>
                <w:tcPr>
                  <w:tcW w:w="1724" w:type="pct"/>
                  <w:vAlign w:val="center"/>
                </w:tcPr>
                <w:p w14:paraId="46444A7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411" w:type="pct"/>
                  <w:vAlign w:val="center"/>
                </w:tcPr>
                <w:p w14:paraId="2E4BD50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套</w:t>
                  </w:r>
                </w:p>
              </w:tc>
              <w:tc>
                <w:tcPr>
                  <w:tcW w:w="387" w:type="pct"/>
                  <w:vAlign w:val="center"/>
                </w:tcPr>
                <w:p w14:paraId="2D69D1A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w:t>
                  </w:r>
                </w:p>
              </w:tc>
              <w:tc>
                <w:tcPr>
                  <w:tcW w:w="879" w:type="pct"/>
                  <w:vAlign w:val="center"/>
                </w:tcPr>
                <w:p w14:paraId="2F42C81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0BA2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6EDE49C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351E754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38</w:t>
                  </w:r>
                </w:p>
              </w:tc>
              <w:tc>
                <w:tcPr>
                  <w:tcW w:w="1019" w:type="pct"/>
                  <w:vAlign w:val="center"/>
                </w:tcPr>
                <w:p w14:paraId="4407939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子方阵分系统调试</w:t>
                  </w:r>
                </w:p>
              </w:tc>
              <w:tc>
                <w:tcPr>
                  <w:tcW w:w="1724" w:type="pct"/>
                  <w:vAlign w:val="center"/>
                </w:tcPr>
                <w:p w14:paraId="549E29E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411" w:type="pct"/>
                  <w:vAlign w:val="center"/>
                </w:tcPr>
                <w:p w14:paraId="1DAD259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项</w:t>
                  </w:r>
                </w:p>
              </w:tc>
              <w:tc>
                <w:tcPr>
                  <w:tcW w:w="387" w:type="pct"/>
                  <w:vAlign w:val="center"/>
                </w:tcPr>
                <w:p w14:paraId="1FA7691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20</w:t>
                  </w:r>
                </w:p>
              </w:tc>
              <w:tc>
                <w:tcPr>
                  <w:tcW w:w="879" w:type="pct"/>
                  <w:vAlign w:val="center"/>
                </w:tcPr>
                <w:p w14:paraId="1B41CE5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525B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78593E7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7A5BE3E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39</w:t>
                  </w:r>
                </w:p>
              </w:tc>
              <w:tc>
                <w:tcPr>
                  <w:tcW w:w="1019" w:type="pct"/>
                  <w:vAlign w:val="center"/>
                </w:tcPr>
                <w:p w14:paraId="0C83826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机柜</w:t>
                  </w:r>
                </w:p>
              </w:tc>
              <w:tc>
                <w:tcPr>
                  <w:tcW w:w="1724" w:type="pct"/>
                  <w:vAlign w:val="center"/>
                </w:tcPr>
                <w:p w14:paraId="515A2BE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411" w:type="pct"/>
                  <w:vAlign w:val="center"/>
                </w:tcPr>
                <w:p w14:paraId="0B7A39F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面</w:t>
                  </w:r>
                </w:p>
              </w:tc>
              <w:tc>
                <w:tcPr>
                  <w:tcW w:w="387" w:type="pct"/>
                  <w:vAlign w:val="center"/>
                </w:tcPr>
                <w:p w14:paraId="4D5F3EE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w:t>
                  </w:r>
                </w:p>
              </w:tc>
              <w:tc>
                <w:tcPr>
                  <w:tcW w:w="879" w:type="pct"/>
                  <w:vAlign w:val="center"/>
                </w:tcPr>
                <w:p w14:paraId="767CA17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57101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41CAD78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16B60D1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40</w:t>
                  </w:r>
                </w:p>
              </w:tc>
              <w:tc>
                <w:tcPr>
                  <w:tcW w:w="1019" w:type="pct"/>
                  <w:vAlign w:val="center"/>
                </w:tcPr>
                <w:p w14:paraId="50BFAD1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环网自愈交换机</w:t>
                  </w:r>
                </w:p>
              </w:tc>
              <w:tc>
                <w:tcPr>
                  <w:tcW w:w="1724" w:type="pct"/>
                  <w:vAlign w:val="center"/>
                </w:tcPr>
                <w:p w14:paraId="2DE5E70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411" w:type="pct"/>
                  <w:vAlign w:val="center"/>
                </w:tcPr>
                <w:p w14:paraId="3E5FB79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台</w:t>
                  </w:r>
                </w:p>
              </w:tc>
              <w:tc>
                <w:tcPr>
                  <w:tcW w:w="387" w:type="pct"/>
                  <w:vAlign w:val="center"/>
                </w:tcPr>
                <w:p w14:paraId="580C1DB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3</w:t>
                  </w:r>
                </w:p>
              </w:tc>
              <w:tc>
                <w:tcPr>
                  <w:tcW w:w="879" w:type="pct"/>
                  <w:vAlign w:val="center"/>
                </w:tcPr>
                <w:p w14:paraId="2C697FA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51075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26F0EA1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5F6BB7C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41</w:t>
                  </w:r>
                </w:p>
              </w:tc>
              <w:tc>
                <w:tcPr>
                  <w:tcW w:w="1019" w:type="pct"/>
                  <w:vAlign w:val="center"/>
                </w:tcPr>
                <w:p w14:paraId="3E84CC3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核心交换机</w:t>
                  </w:r>
                </w:p>
              </w:tc>
              <w:tc>
                <w:tcPr>
                  <w:tcW w:w="1724" w:type="pct"/>
                  <w:vAlign w:val="center"/>
                </w:tcPr>
                <w:p w14:paraId="05398AA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411" w:type="pct"/>
                  <w:vAlign w:val="center"/>
                </w:tcPr>
                <w:p w14:paraId="63F3EB5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台</w:t>
                  </w:r>
                </w:p>
              </w:tc>
              <w:tc>
                <w:tcPr>
                  <w:tcW w:w="387" w:type="pct"/>
                  <w:vAlign w:val="center"/>
                </w:tcPr>
                <w:p w14:paraId="2DBEF4A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w:t>
                  </w:r>
                </w:p>
              </w:tc>
              <w:tc>
                <w:tcPr>
                  <w:tcW w:w="879" w:type="pct"/>
                  <w:vAlign w:val="center"/>
                </w:tcPr>
                <w:p w14:paraId="5A3FAE2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2DB5F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7DB2533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7DBD4AD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42</w:t>
                  </w:r>
                </w:p>
              </w:tc>
              <w:tc>
                <w:tcPr>
                  <w:tcW w:w="1019" w:type="pct"/>
                  <w:vAlign w:val="center"/>
                </w:tcPr>
                <w:p w14:paraId="0372CFC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汇聚交换机</w:t>
                  </w:r>
                </w:p>
              </w:tc>
              <w:tc>
                <w:tcPr>
                  <w:tcW w:w="1724" w:type="pct"/>
                  <w:vAlign w:val="center"/>
                </w:tcPr>
                <w:p w14:paraId="1F7D1AD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411" w:type="pct"/>
                  <w:vAlign w:val="center"/>
                </w:tcPr>
                <w:p w14:paraId="14431E7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台</w:t>
                  </w:r>
                </w:p>
              </w:tc>
              <w:tc>
                <w:tcPr>
                  <w:tcW w:w="387" w:type="pct"/>
                  <w:vAlign w:val="center"/>
                </w:tcPr>
                <w:p w14:paraId="4126B27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w:t>
                  </w:r>
                </w:p>
              </w:tc>
              <w:tc>
                <w:tcPr>
                  <w:tcW w:w="879" w:type="pct"/>
                  <w:vAlign w:val="center"/>
                </w:tcPr>
                <w:p w14:paraId="115BF66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38A19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1E7F7AF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116DF025">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43</w:t>
                  </w:r>
                </w:p>
              </w:tc>
              <w:tc>
                <w:tcPr>
                  <w:tcW w:w="1019" w:type="pct"/>
                  <w:vAlign w:val="center"/>
                </w:tcPr>
                <w:p w14:paraId="7CE0848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通信管理机</w:t>
                  </w:r>
                </w:p>
              </w:tc>
              <w:tc>
                <w:tcPr>
                  <w:tcW w:w="1724" w:type="pct"/>
                  <w:vAlign w:val="center"/>
                </w:tcPr>
                <w:p w14:paraId="4F0B01E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411" w:type="pct"/>
                  <w:vAlign w:val="center"/>
                </w:tcPr>
                <w:p w14:paraId="6DC29D1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台</w:t>
                  </w:r>
                </w:p>
              </w:tc>
              <w:tc>
                <w:tcPr>
                  <w:tcW w:w="387" w:type="pct"/>
                  <w:vAlign w:val="center"/>
                </w:tcPr>
                <w:p w14:paraId="12F0B59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2</w:t>
                  </w:r>
                </w:p>
              </w:tc>
              <w:tc>
                <w:tcPr>
                  <w:tcW w:w="879" w:type="pct"/>
                  <w:vAlign w:val="center"/>
                </w:tcPr>
                <w:p w14:paraId="1EE1A51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7B01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3DE9123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70D665B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44</w:t>
                  </w:r>
                </w:p>
              </w:tc>
              <w:tc>
                <w:tcPr>
                  <w:tcW w:w="1019" w:type="pct"/>
                  <w:vAlign w:val="center"/>
                </w:tcPr>
                <w:p w14:paraId="5822774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通讯柜电源线</w:t>
                  </w:r>
                </w:p>
              </w:tc>
              <w:tc>
                <w:tcPr>
                  <w:tcW w:w="1724" w:type="pct"/>
                  <w:vAlign w:val="center"/>
                </w:tcPr>
                <w:p w14:paraId="3C64B84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ZC-YJLV22-1.8/3kV-3×4mm²</w:t>
                  </w:r>
                </w:p>
              </w:tc>
              <w:tc>
                <w:tcPr>
                  <w:tcW w:w="411" w:type="pct"/>
                  <w:vAlign w:val="center"/>
                </w:tcPr>
                <w:p w14:paraId="50DF5E5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km</w:t>
                  </w:r>
                </w:p>
              </w:tc>
              <w:tc>
                <w:tcPr>
                  <w:tcW w:w="387" w:type="pct"/>
                  <w:vAlign w:val="center"/>
                </w:tcPr>
                <w:p w14:paraId="624604D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w:t>
                  </w:r>
                </w:p>
              </w:tc>
              <w:tc>
                <w:tcPr>
                  <w:tcW w:w="879" w:type="pct"/>
                  <w:vAlign w:val="center"/>
                </w:tcPr>
                <w:p w14:paraId="0942BC2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0B5D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85" w:type="pct"/>
                  <w:vMerge w:val="continue"/>
                  <w:vAlign w:val="center"/>
                </w:tcPr>
                <w:p w14:paraId="149C8205">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292" w:type="pct"/>
                  <w:vAlign w:val="center"/>
                </w:tcPr>
                <w:p w14:paraId="4BA7C79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45</w:t>
                  </w:r>
                </w:p>
              </w:tc>
              <w:tc>
                <w:tcPr>
                  <w:tcW w:w="1019" w:type="pct"/>
                  <w:vAlign w:val="center"/>
                </w:tcPr>
                <w:p w14:paraId="68AD027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PLC电力电缆</w:t>
                  </w:r>
                </w:p>
              </w:tc>
              <w:tc>
                <w:tcPr>
                  <w:tcW w:w="1724" w:type="pct"/>
                  <w:vAlign w:val="center"/>
                </w:tcPr>
                <w:p w14:paraId="3A44BA9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ZC-YJLV22-1.8/3kV-4×10mm²</w:t>
                  </w:r>
                </w:p>
              </w:tc>
              <w:tc>
                <w:tcPr>
                  <w:tcW w:w="411" w:type="pct"/>
                  <w:vAlign w:val="center"/>
                </w:tcPr>
                <w:p w14:paraId="29515FD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km</w:t>
                  </w:r>
                </w:p>
              </w:tc>
              <w:tc>
                <w:tcPr>
                  <w:tcW w:w="387" w:type="pct"/>
                  <w:vAlign w:val="center"/>
                </w:tcPr>
                <w:p w14:paraId="7191869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w:t>
                  </w:r>
                </w:p>
              </w:tc>
              <w:tc>
                <w:tcPr>
                  <w:tcW w:w="879" w:type="pct"/>
                  <w:vAlign w:val="center"/>
                </w:tcPr>
                <w:p w14:paraId="5F775E0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bl>
          <w:p w14:paraId="003FB249">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auto"/>
                <w:kern w:val="0"/>
                <w:sz w:val="24"/>
                <w:highlight w:val="none"/>
              </w:rPr>
            </w:pPr>
            <w:r>
              <w:rPr>
                <w:rFonts w:hint="eastAsia" w:ascii="Times New Roman" w:hAnsi="Times New Roman" w:eastAsia="宋体" w:cs="Times New Roman"/>
                <w:b/>
                <w:bCs/>
                <w:color w:val="auto"/>
                <w:kern w:val="0"/>
                <w:sz w:val="24"/>
                <w:highlight w:val="none"/>
                <w:lang w:val="en-US" w:eastAsia="zh-CN"/>
              </w:rPr>
              <w:t>6</w:t>
            </w:r>
            <w:r>
              <w:rPr>
                <w:rFonts w:hint="default" w:ascii="Times New Roman" w:hAnsi="Times New Roman" w:eastAsia="宋体" w:cs="Times New Roman"/>
                <w:b/>
                <w:bCs/>
                <w:color w:val="auto"/>
                <w:kern w:val="0"/>
                <w:sz w:val="24"/>
                <w:highlight w:val="none"/>
                <w:lang w:val="en-US" w:eastAsia="zh-CN"/>
              </w:rPr>
              <w:t>、</w:t>
            </w:r>
            <w:r>
              <w:rPr>
                <w:rFonts w:hint="default" w:ascii="Times New Roman" w:hAnsi="Times New Roman" w:eastAsia="宋体" w:cs="Times New Roman"/>
                <w:b/>
                <w:bCs/>
                <w:color w:val="auto"/>
                <w:kern w:val="0"/>
                <w:sz w:val="24"/>
                <w:highlight w:val="none"/>
              </w:rPr>
              <w:t>公用工程</w:t>
            </w:r>
          </w:p>
          <w:p w14:paraId="4201092D">
            <w:pPr>
              <w:adjustRightInd w:val="0"/>
              <w:snapToGrid w:val="0"/>
              <w:spacing w:line="360" w:lineRule="auto"/>
              <w:ind w:firstLine="482" w:firstLineChars="200"/>
              <w:rPr>
                <w:rFonts w:hint="default" w:ascii="Times New Roman" w:hAnsi="Times New Roman" w:eastAsia="宋体" w:cs="Times New Roman"/>
                <w:b/>
                <w:bCs/>
                <w:color w:val="auto"/>
                <w:kern w:val="0"/>
                <w:sz w:val="24"/>
                <w:highlight w:val="none"/>
              </w:rPr>
            </w:pPr>
            <w:r>
              <w:rPr>
                <w:rFonts w:hint="eastAsia" w:ascii="Times New Roman" w:hAnsi="Times New Roman" w:eastAsia="宋体" w:cs="Times New Roman"/>
                <w:b/>
                <w:bCs/>
                <w:color w:val="auto"/>
                <w:kern w:val="0"/>
                <w:sz w:val="24"/>
                <w:highlight w:val="none"/>
                <w:lang w:val="en-US" w:eastAsia="zh-CN"/>
              </w:rPr>
              <w:t>6</w:t>
            </w:r>
            <w:r>
              <w:rPr>
                <w:rFonts w:hint="default" w:ascii="Times New Roman" w:hAnsi="Times New Roman" w:eastAsia="宋体" w:cs="Times New Roman"/>
                <w:b/>
                <w:bCs/>
                <w:color w:val="auto"/>
                <w:kern w:val="0"/>
                <w:sz w:val="24"/>
                <w:highlight w:val="none"/>
              </w:rPr>
              <w:t>.1给排水</w:t>
            </w:r>
          </w:p>
          <w:p w14:paraId="79A3BE56">
            <w:pPr>
              <w:pStyle w:val="59"/>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项目光伏清洗用水在附近村庄内拉运。</w:t>
            </w:r>
          </w:p>
          <w:p w14:paraId="3B7C62FD">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32"/>
                <w:highlight w:val="none"/>
                <w:lang w:val="en-US" w:eastAsia="zh-CN" w:bidi="ar-SA"/>
              </w:rPr>
            </w:pPr>
            <w:r>
              <w:rPr>
                <w:rFonts w:hint="eastAsia" w:ascii="Times New Roman" w:hAnsi="Times New Roman" w:eastAsia="宋体" w:cs="Times New Roman"/>
                <w:color w:val="auto"/>
                <w:kern w:val="2"/>
                <w:sz w:val="24"/>
                <w:szCs w:val="32"/>
                <w:highlight w:val="none"/>
                <w:lang w:val="en-US" w:eastAsia="zh-CN" w:bidi="ar-SA"/>
              </w:rPr>
              <w:t>（</w:t>
            </w:r>
            <w:r>
              <w:rPr>
                <w:rFonts w:hint="default" w:ascii="Times New Roman" w:hAnsi="Times New Roman" w:eastAsia="宋体" w:cs="Times New Roman"/>
                <w:color w:val="auto"/>
                <w:kern w:val="2"/>
                <w:sz w:val="24"/>
                <w:szCs w:val="32"/>
                <w:highlight w:val="none"/>
                <w:lang w:val="en-US" w:eastAsia="zh-CN" w:bidi="ar-SA"/>
              </w:rPr>
              <w:t>1</w:t>
            </w:r>
            <w:r>
              <w:rPr>
                <w:rFonts w:hint="eastAsia" w:ascii="Times New Roman" w:hAnsi="Times New Roman" w:eastAsia="宋体" w:cs="Times New Roman"/>
                <w:color w:val="auto"/>
                <w:kern w:val="2"/>
                <w:sz w:val="24"/>
                <w:szCs w:val="32"/>
                <w:highlight w:val="none"/>
                <w:lang w:val="en-US" w:eastAsia="zh-CN" w:bidi="ar-SA"/>
              </w:rPr>
              <w:t>）给水</w:t>
            </w:r>
          </w:p>
          <w:p w14:paraId="781E8991">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32"/>
                <w:highlight w:val="none"/>
                <w:lang w:val="en-US" w:eastAsia="zh-CN" w:bidi="ar-SA"/>
              </w:rPr>
            </w:pPr>
            <w:r>
              <w:rPr>
                <w:rFonts w:hint="eastAsia" w:ascii="Times New Roman" w:hAnsi="Times New Roman" w:eastAsia="宋体" w:cs="Times New Roman"/>
                <w:color w:val="auto"/>
                <w:kern w:val="2"/>
                <w:sz w:val="24"/>
                <w:szCs w:val="32"/>
                <w:highlight w:val="none"/>
                <w:lang w:val="en-US" w:eastAsia="zh-CN" w:bidi="ar-SA"/>
              </w:rPr>
              <w:t>①光伏组件冲洗用水：本工程光伏板冲洗采用洒水车人工移动冲洗，按一年清洗6次，根据可研，计算得组件总表面积约为330168</w:t>
            </w:r>
            <w:r>
              <w:rPr>
                <w:rFonts w:hint="default" w:ascii="Times New Roman" w:hAnsi="Times New Roman" w:eastAsia="宋体" w:cs="Times New Roman"/>
                <w:color w:val="auto"/>
                <w:kern w:val="2"/>
                <w:sz w:val="24"/>
                <w:szCs w:val="32"/>
                <w:highlight w:val="none"/>
                <w:lang w:val="en-US" w:eastAsia="zh-CN" w:bidi="ar-SA"/>
              </w:rPr>
              <w:t>m</w:t>
            </w:r>
            <w:r>
              <w:rPr>
                <w:rFonts w:hint="default" w:ascii="Times New Roman" w:hAnsi="Times New Roman" w:eastAsia="宋体" w:cs="Times New Roman"/>
                <w:color w:val="auto"/>
                <w:kern w:val="2"/>
                <w:sz w:val="24"/>
                <w:szCs w:val="32"/>
                <w:highlight w:val="none"/>
                <w:vertAlign w:val="superscript"/>
                <w:lang w:val="en-US" w:eastAsia="zh-CN" w:bidi="ar-SA"/>
              </w:rPr>
              <w:t>2</w:t>
            </w:r>
            <w:r>
              <w:rPr>
                <w:rFonts w:hint="eastAsia" w:ascii="Times New Roman" w:hAnsi="Times New Roman" w:eastAsia="宋体" w:cs="Times New Roman"/>
                <w:color w:val="auto"/>
                <w:kern w:val="2"/>
                <w:sz w:val="24"/>
                <w:szCs w:val="32"/>
                <w:highlight w:val="none"/>
                <w:lang w:val="en-US" w:eastAsia="zh-CN" w:bidi="ar-SA"/>
              </w:rPr>
              <w:t>，组件清洗用水量取</w:t>
            </w:r>
            <w:r>
              <w:rPr>
                <w:rFonts w:hint="default" w:ascii="Times New Roman" w:hAnsi="Times New Roman" w:eastAsia="宋体" w:cs="Times New Roman"/>
                <w:color w:val="auto"/>
                <w:kern w:val="2"/>
                <w:sz w:val="24"/>
                <w:szCs w:val="32"/>
                <w:highlight w:val="none"/>
                <w:lang w:val="en-US" w:eastAsia="zh-CN" w:bidi="ar-SA"/>
              </w:rPr>
              <w:t>1L/</w:t>
            </w:r>
            <w:r>
              <w:rPr>
                <w:rFonts w:hint="eastAsia" w:ascii="Times New Roman" w:hAnsi="Times New Roman" w:eastAsia="宋体" w:cs="Times New Roman"/>
                <w:color w:val="auto"/>
                <w:kern w:val="2"/>
                <w:sz w:val="24"/>
                <w:szCs w:val="32"/>
                <w:highlight w:val="none"/>
                <w:lang w:val="en-US" w:eastAsia="zh-CN" w:bidi="ar-SA"/>
              </w:rPr>
              <w:t>（</w:t>
            </w:r>
            <w:r>
              <w:rPr>
                <w:rFonts w:hint="default" w:ascii="Times New Roman" w:hAnsi="Times New Roman" w:eastAsia="宋体" w:cs="Times New Roman"/>
                <w:color w:val="auto"/>
                <w:kern w:val="2"/>
                <w:sz w:val="24"/>
                <w:szCs w:val="32"/>
                <w:highlight w:val="none"/>
                <w:lang w:val="en-US" w:eastAsia="zh-CN" w:bidi="ar-SA"/>
              </w:rPr>
              <w:t>m</w:t>
            </w:r>
            <w:r>
              <w:rPr>
                <w:rFonts w:hint="default" w:ascii="Times New Roman" w:hAnsi="Times New Roman" w:eastAsia="宋体" w:cs="Times New Roman"/>
                <w:color w:val="auto"/>
                <w:kern w:val="2"/>
                <w:sz w:val="24"/>
                <w:szCs w:val="32"/>
                <w:highlight w:val="none"/>
                <w:vertAlign w:val="superscript"/>
                <w:lang w:val="en-US" w:eastAsia="zh-CN" w:bidi="ar-SA"/>
              </w:rPr>
              <w:t>2</w:t>
            </w:r>
            <w:r>
              <w:rPr>
                <w:rFonts w:hint="eastAsia" w:ascii="Times New Roman" w:hAnsi="Times New Roman" w:eastAsia="宋体" w:cs="Times New Roman"/>
                <w:color w:val="auto"/>
                <w:kern w:val="2"/>
                <w:sz w:val="24"/>
                <w:szCs w:val="32"/>
                <w:highlight w:val="none"/>
                <w:lang w:val="en-US" w:eastAsia="zh-CN" w:bidi="ar-SA"/>
              </w:rPr>
              <w:t>•次），清洗用水量约为1981</w:t>
            </w:r>
            <w:r>
              <w:rPr>
                <w:rFonts w:hint="default" w:ascii="Times New Roman" w:hAnsi="Times New Roman" w:eastAsia="宋体" w:cs="Times New Roman"/>
                <w:color w:val="auto"/>
                <w:kern w:val="2"/>
                <w:sz w:val="24"/>
                <w:szCs w:val="32"/>
                <w:highlight w:val="none"/>
                <w:lang w:val="en-US" w:eastAsia="zh-CN" w:bidi="ar-SA"/>
              </w:rPr>
              <w:t>m</w:t>
            </w:r>
            <w:r>
              <w:rPr>
                <w:rFonts w:hint="eastAsia" w:ascii="Times New Roman" w:hAnsi="Times New Roman" w:eastAsia="宋体" w:cs="Times New Roman"/>
                <w:color w:val="auto"/>
                <w:kern w:val="2"/>
                <w:sz w:val="24"/>
                <w:szCs w:val="32"/>
                <w:highlight w:val="none"/>
                <w:lang w:val="en-US" w:eastAsia="zh-CN" w:bidi="ar-SA"/>
              </w:rPr>
              <w:t>³</w:t>
            </w:r>
            <w:r>
              <w:rPr>
                <w:rFonts w:hint="default" w:ascii="Times New Roman" w:hAnsi="Times New Roman" w:eastAsia="宋体" w:cs="Times New Roman"/>
                <w:color w:val="auto"/>
                <w:kern w:val="2"/>
                <w:sz w:val="24"/>
                <w:szCs w:val="32"/>
                <w:highlight w:val="none"/>
                <w:lang w:val="en-US" w:eastAsia="zh-CN" w:bidi="ar-SA"/>
              </w:rPr>
              <w:t>/a</w:t>
            </w:r>
            <w:r>
              <w:rPr>
                <w:rFonts w:hint="eastAsia" w:ascii="Times New Roman" w:hAnsi="Times New Roman" w:eastAsia="宋体" w:cs="Times New Roman"/>
                <w:color w:val="auto"/>
                <w:kern w:val="2"/>
                <w:sz w:val="24"/>
                <w:szCs w:val="32"/>
                <w:highlight w:val="none"/>
                <w:lang w:val="en-US" w:eastAsia="zh-CN" w:bidi="ar-SA"/>
              </w:rPr>
              <w:t>。</w:t>
            </w:r>
          </w:p>
          <w:p w14:paraId="0F4363D0">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32"/>
                <w:highlight w:val="none"/>
                <w:lang w:val="en-US" w:eastAsia="zh-CN" w:bidi="ar-SA"/>
              </w:rPr>
            </w:pPr>
            <w:r>
              <w:rPr>
                <w:rFonts w:hint="eastAsia" w:ascii="Times New Roman" w:hAnsi="Times New Roman" w:eastAsia="宋体" w:cs="Times New Roman"/>
                <w:color w:val="auto"/>
                <w:kern w:val="2"/>
                <w:sz w:val="24"/>
                <w:szCs w:val="32"/>
                <w:highlight w:val="none"/>
                <w:lang w:val="en-US" w:eastAsia="zh-CN" w:bidi="ar-SA"/>
              </w:rPr>
              <w:t>（</w:t>
            </w:r>
            <w:r>
              <w:rPr>
                <w:rFonts w:hint="default" w:ascii="Times New Roman" w:hAnsi="Times New Roman" w:eastAsia="宋体" w:cs="Times New Roman"/>
                <w:color w:val="auto"/>
                <w:kern w:val="2"/>
                <w:sz w:val="24"/>
                <w:szCs w:val="32"/>
                <w:highlight w:val="none"/>
                <w:lang w:val="en-US" w:eastAsia="zh-CN" w:bidi="ar-SA"/>
              </w:rPr>
              <w:t>2</w:t>
            </w:r>
            <w:r>
              <w:rPr>
                <w:rFonts w:hint="eastAsia" w:ascii="Times New Roman" w:hAnsi="Times New Roman" w:eastAsia="宋体" w:cs="Times New Roman"/>
                <w:color w:val="auto"/>
                <w:kern w:val="2"/>
                <w:sz w:val="24"/>
                <w:szCs w:val="32"/>
                <w:highlight w:val="none"/>
                <w:lang w:val="en-US" w:eastAsia="zh-CN" w:bidi="ar-SA"/>
              </w:rPr>
              <w:t>）排水</w:t>
            </w:r>
          </w:p>
          <w:p w14:paraId="560BA690">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32"/>
                <w:highlight w:val="none"/>
                <w:lang w:val="en-US" w:eastAsia="zh-CN" w:bidi="ar-SA"/>
              </w:rPr>
            </w:pPr>
            <w:r>
              <w:rPr>
                <w:rFonts w:hint="eastAsia" w:ascii="Times New Roman" w:hAnsi="Times New Roman" w:eastAsia="宋体" w:cs="Times New Roman"/>
                <w:color w:val="auto"/>
                <w:kern w:val="2"/>
                <w:sz w:val="24"/>
                <w:szCs w:val="32"/>
                <w:highlight w:val="none"/>
                <w:lang w:val="en-US" w:eastAsia="zh-CN" w:bidi="ar-SA"/>
              </w:rPr>
              <w:t>①光伏组件冲洗废水：本工程光伏板冲洗用水量约为1981</w:t>
            </w:r>
            <w:r>
              <w:rPr>
                <w:rFonts w:hint="default" w:ascii="Times New Roman" w:hAnsi="Times New Roman" w:eastAsia="宋体" w:cs="Times New Roman"/>
                <w:color w:val="auto"/>
                <w:kern w:val="2"/>
                <w:sz w:val="24"/>
                <w:szCs w:val="32"/>
                <w:highlight w:val="none"/>
                <w:lang w:val="en-US" w:eastAsia="zh-CN" w:bidi="ar-SA"/>
              </w:rPr>
              <w:t>m</w:t>
            </w:r>
            <w:r>
              <w:rPr>
                <w:rFonts w:hint="eastAsia" w:ascii="Times New Roman" w:hAnsi="Times New Roman" w:eastAsia="宋体" w:cs="Times New Roman"/>
                <w:color w:val="auto"/>
                <w:kern w:val="2"/>
                <w:sz w:val="24"/>
                <w:szCs w:val="32"/>
                <w:highlight w:val="none"/>
                <w:lang w:val="en-US" w:eastAsia="zh-CN" w:bidi="ar-SA"/>
              </w:rPr>
              <w:t>³</w:t>
            </w:r>
            <w:r>
              <w:rPr>
                <w:rFonts w:hint="default" w:ascii="Times New Roman" w:hAnsi="Times New Roman" w:eastAsia="宋体" w:cs="Times New Roman"/>
                <w:color w:val="auto"/>
                <w:kern w:val="2"/>
                <w:sz w:val="24"/>
                <w:szCs w:val="32"/>
                <w:highlight w:val="none"/>
                <w:lang w:val="en-US" w:eastAsia="zh-CN" w:bidi="ar-SA"/>
              </w:rPr>
              <w:t>/a</w:t>
            </w:r>
            <w:r>
              <w:rPr>
                <w:rFonts w:hint="eastAsia" w:ascii="Times New Roman" w:hAnsi="Times New Roman" w:eastAsia="宋体" w:cs="Times New Roman"/>
                <w:color w:val="auto"/>
                <w:kern w:val="2"/>
                <w:sz w:val="24"/>
                <w:szCs w:val="32"/>
                <w:highlight w:val="none"/>
                <w:lang w:val="en-US" w:eastAsia="zh-CN" w:bidi="ar-SA"/>
              </w:rPr>
              <w:t>，项目光伏组件清洗时不使用清洁剂，项目光伏发电电池板安装范围较大，发电面积较大，清洗废水很难收集，电池板清洗废水主要污染物为SS，全部经光伏板流到地面后自然蒸发损耗。</w:t>
            </w:r>
          </w:p>
          <w:p w14:paraId="5ED752B1">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表2-4  给排水情况表  单位：m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/a</w:t>
            </w:r>
          </w:p>
          <w:tbl>
            <w:tblPr>
              <w:tblStyle w:val="24"/>
              <w:tblW w:w="4810" w:type="pct"/>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707"/>
              <w:gridCol w:w="1173"/>
              <w:gridCol w:w="1001"/>
              <w:gridCol w:w="1092"/>
              <w:gridCol w:w="987"/>
              <w:gridCol w:w="3637"/>
            </w:tblGrid>
            <w:tr w14:paraId="241154F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70" w:hRule="atLeast"/>
              </w:trPr>
              <w:tc>
                <w:tcPr>
                  <w:tcW w:w="411" w:type="pct"/>
                  <w:vAlign w:val="center"/>
                </w:tcPr>
                <w:p w14:paraId="3F8D2AAD">
                  <w:pPr>
                    <w:keepNext w:val="0"/>
                    <w:keepLines w:val="0"/>
                    <w:widowControl/>
                    <w:suppressLineNumbers w:val="0"/>
                    <w:spacing w:before="0" w:beforeAutospacing="0" w:after="0" w:afterAutospacing="0" w:line="276" w:lineRule="auto"/>
                    <w:ind w:left="0" w:right="0"/>
                    <w:jc w:val="left"/>
                    <w:rPr>
                      <w:rFonts w:hint="default" w:ascii="Times New Roman" w:hAnsi="Times New Roman" w:eastAsia="宋体" w:cs="Times New Roman"/>
                      <w:b/>
                      <w:bCs/>
                      <w:color w:val="auto"/>
                      <w:kern w:val="0"/>
                      <w:sz w:val="21"/>
                      <w:highlight w:val="none"/>
                      <w:lang w:val="en-US" w:eastAsia="zh-CN"/>
                    </w:rPr>
                  </w:pPr>
                  <w:r>
                    <w:rPr>
                      <w:rFonts w:hint="default" w:ascii="Times New Roman" w:hAnsi="Times New Roman" w:eastAsia="宋体" w:cs="Times New Roman"/>
                      <w:b/>
                      <w:bCs/>
                      <w:color w:val="auto"/>
                      <w:kern w:val="0"/>
                      <w:sz w:val="21"/>
                      <w:highlight w:val="none"/>
                      <w:lang w:val="en-US" w:eastAsia="zh-CN"/>
                    </w:rPr>
                    <w:t>序号</w:t>
                  </w:r>
                </w:p>
              </w:tc>
              <w:tc>
                <w:tcPr>
                  <w:tcW w:w="682" w:type="pct"/>
                  <w:vAlign w:val="center"/>
                </w:tcPr>
                <w:p w14:paraId="37825ADA">
                  <w:pPr>
                    <w:keepNext w:val="0"/>
                    <w:keepLines w:val="0"/>
                    <w:widowControl/>
                    <w:suppressLineNumbers w:val="0"/>
                    <w:spacing w:before="0" w:beforeAutospacing="0" w:after="0" w:afterAutospacing="0" w:line="276" w:lineRule="auto"/>
                    <w:ind w:right="0"/>
                    <w:jc w:val="left"/>
                    <w:rPr>
                      <w:rFonts w:hint="default" w:ascii="Times New Roman" w:hAnsi="Times New Roman" w:eastAsia="宋体" w:cs="Times New Roman"/>
                      <w:b/>
                      <w:bCs/>
                      <w:color w:val="auto"/>
                      <w:kern w:val="0"/>
                      <w:sz w:val="21"/>
                      <w:highlight w:val="none"/>
                      <w:lang w:val="en-US" w:eastAsia="zh-CN"/>
                    </w:rPr>
                  </w:pPr>
                  <w:r>
                    <w:rPr>
                      <w:rFonts w:hint="default" w:ascii="Times New Roman" w:hAnsi="Times New Roman" w:eastAsia="宋体" w:cs="Times New Roman"/>
                      <w:b/>
                      <w:bCs/>
                      <w:color w:val="auto"/>
                      <w:kern w:val="0"/>
                      <w:sz w:val="21"/>
                      <w:highlight w:val="none"/>
                      <w:lang w:val="en-US" w:eastAsia="zh-CN"/>
                    </w:rPr>
                    <w:t>用水工序</w:t>
                  </w:r>
                </w:p>
              </w:tc>
              <w:tc>
                <w:tcPr>
                  <w:tcW w:w="582" w:type="pct"/>
                  <w:vAlign w:val="center"/>
                </w:tcPr>
                <w:p w14:paraId="463065E7">
                  <w:pPr>
                    <w:keepNext w:val="0"/>
                    <w:keepLines w:val="0"/>
                    <w:widowControl/>
                    <w:suppressLineNumbers w:val="0"/>
                    <w:autoSpaceDN w:val="0"/>
                    <w:spacing w:before="0" w:beforeAutospacing="0" w:after="0" w:afterAutospacing="0" w:line="276" w:lineRule="auto"/>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highlight w:val="none"/>
                    </w:rPr>
                    <w:t>新鲜水</w:t>
                  </w:r>
                </w:p>
              </w:tc>
              <w:tc>
                <w:tcPr>
                  <w:tcW w:w="635" w:type="pct"/>
                  <w:vAlign w:val="center"/>
                </w:tcPr>
                <w:p w14:paraId="186FCE23">
                  <w:pPr>
                    <w:keepNext w:val="0"/>
                    <w:keepLines w:val="0"/>
                    <w:widowControl/>
                    <w:suppressLineNumbers w:val="0"/>
                    <w:autoSpaceDN w:val="0"/>
                    <w:spacing w:before="0" w:beforeAutospacing="0" w:after="0" w:afterAutospacing="0" w:line="276" w:lineRule="auto"/>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highlight w:val="none"/>
                    </w:rPr>
                    <w:t>损耗水</w:t>
                  </w:r>
                </w:p>
              </w:tc>
              <w:tc>
                <w:tcPr>
                  <w:tcW w:w="574" w:type="pct"/>
                  <w:vAlign w:val="center"/>
                </w:tcPr>
                <w:p w14:paraId="5A093B53">
                  <w:pPr>
                    <w:keepNext w:val="0"/>
                    <w:keepLines w:val="0"/>
                    <w:widowControl/>
                    <w:suppressLineNumbers w:val="0"/>
                    <w:autoSpaceDN w:val="0"/>
                    <w:spacing w:before="0" w:beforeAutospacing="0" w:after="0" w:afterAutospacing="0" w:line="276" w:lineRule="auto"/>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highlight w:val="none"/>
                    </w:rPr>
                    <w:t>废水</w:t>
                  </w:r>
                </w:p>
              </w:tc>
              <w:tc>
                <w:tcPr>
                  <w:tcW w:w="2114" w:type="pct"/>
                  <w:vAlign w:val="center"/>
                </w:tcPr>
                <w:p w14:paraId="14717AF9">
                  <w:pPr>
                    <w:keepNext w:val="0"/>
                    <w:keepLines w:val="0"/>
                    <w:widowControl/>
                    <w:suppressLineNumbers w:val="0"/>
                    <w:autoSpaceDN w:val="0"/>
                    <w:spacing w:before="0" w:beforeAutospacing="0" w:after="0" w:afterAutospacing="0" w:line="276" w:lineRule="auto"/>
                    <w:ind w:left="0" w:right="0"/>
                    <w:jc w:val="center"/>
                    <w:rPr>
                      <w:rFonts w:hint="eastAsia" w:ascii="Times New Roman" w:hAnsi="Times New Roman" w:eastAsia="宋体" w:cs="Times New Roman"/>
                      <w:b/>
                      <w:bCs/>
                      <w:color w:val="auto"/>
                      <w:kern w:val="0"/>
                      <w:sz w:val="21"/>
                      <w:highlight w:val="none"/>
                      <w:lang w:val="en-US" w:eastAsia="zh-CN"/>
                    </w:rPr>
                  </w:pPr>
                  <w:r>
                    <w:rPr>
                      <w:rFonts w:hint="eastAsia" w:ascii="Times New Roman" w:hAnsi="Times New Roman" w:eastAsia="宋体" w:cs="Times New Roman"/>
                      <w:b/>
                      <w:bCs/>
                      <w:color w:val="auto"/>
                      <w:kern w:val="0"/>
                      <w:sz w:val="21"/>
                      <w:highlight w:val="none"/>
                      <w:lang w:val="en-US" w:eastAsia="zh-CN"/>
                    </w:rPr>
                    <w:t>去向</w:t>
                  </w:r>
                </w:p>
              </w:tc>
            </w:tr>
            <w:tr w14:paraId="7122A91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0" w:hRule="atLeast"/>
              </w:trPr>
              <w:tc>
                <w:tcPr>
                  <w:tcW w:w="411" w:type="pct"/>
                  <w:vAlign w:val="center"/>
                </w:tcPr>
                <w:p w14:paraId="21A000C5">
                  <w:pPr>
                    <w:keepNext w:val="0"/>
                    <w:keepLines w:val="0"/>
                    <w:widowControl/>
                    <w:suppressLineNumbers w:val="0"/>
                    <w:autoSpaceDN w:val="0"/>
                    <w:spacing w:before="0" w:beforeAutospacing="0" w:after="0" w:afterAutospacing="0" w:line="276" w:lineRule="auto"/>
                    <w:ind w:left="0" w:leftChars="0" w:right="0" w:rightChars="0"/>
                    <w:jc w:val="center"/>
                    <w:rPr>
                      <w:rFonts w:hint="default" w:ascii="Times New Roman" w:hAnsi="Times New Roman" w:eastAsia="宋体" w:cs="Times New Roman"/>
                      <w:color w:val="auto"/>
                      <w:kern w:val="0"/>
                      <w:sz w:val="21"/>
                      <w:highlight w:val="none"/>
                      <w:lang w:val="en-US" w:eastAsia="zh-CN"/>
                    </w:rPr>
                  </w:pPr>
                  <w:r>
                    <w:rPr>
                      <w:rFonts w:hint="eastAsia" w:ascii="Times New Roman" w:hAnsi="Times New Roman" w:eastAsia="宋体" w:cs="Times New Roman"/>
                      <w:color w:val="auto"/>
                      <w:kern w:val="0"/>
                      <w:sz w:val="21"/>
                      <w:highlight w:val="none"/>
                      <w:lang w:val="en-US" w:eastAsia="zh-CN"/>
                    </w:rPr>
                    <w:t>1</w:t>
                  </w:r>
                </w:p>
              </w:tc>
              <w:tc>
                <w:tcPr>
                  <w:tcW w:w="682" w:type="pct"/>
                  <w:vAlign w:val="center"/>
                </w:tcPr>
                <w:p w14:paraId="3F3E12D6">
                  <w:pPr>
                    <w:keepNext w:val="0"/>
                    <w:keepLines w:val="0"/>
                    <w:widowControl/>
                    <w:suppressLineNumbers w:val="0"/>
                    <w:autoSpaceDN w:val="0"/>
                    <w:spacing w:before="0" w:beforeAutospacing="0" w:after="0" w:afterAutospacing="0" w:line="276" w:lineRule="auto"/>
                    <w:ind w:left="0" w:leftChars="0" w:right="0" w:rightChars="0"/>
                    <w:jc w:val="center"/>
                    <w:rPr>
                      <w:rFonts w:hint="default" w:ascii="Times New Roman" w:hAnsi="Times New Roman" w:eastAsia="宋体" w:cs="Times New Roman"/>
                      <w:color w:val="auto"/>
                      <w:kern w:val="0"/>
                      <w:sz w:val="21"/>
                      <w:highlight w:val="none"/>
                      <w:lang w:val="en-US" w:eastAsia="zh-CN"/>
                    </w:rPr>
                  </w:pPr>
                  <w:r>
                    <w:rPr>
                      <w:rFonts w:hint="default" w:ascii="Times New Roman" w:hAnsi="Times New Roman" w:eastAsia="宋体" w:cs="Times New Roman"/>
                      <w:color w:val="auto"/>
                      <w:kern w:val="0"/>
                      <w:sz w:val="21"/>
                      <w:highlight w:val="none"/>
                      <w:lang w:val="en-US" w:eastAsia="zh-CN"/>
                    </w:rPr>
                    <w:t>清洗</w:t>
                  </w:r>
                  <w:r>
                    <w:rPr>
                      <w:rFonts w:hint="default" w:ascii="Times New Roman" w:hAnsi="Times New Roman" w:eastAsia="宋体" w:cs="Times New Roman"/>
                      <w:color w:val="auto"/>
                      <w:kern w:val="0"/>
                      <w:sz w:val="21"/>
                      <w:highlight w:val="none"/>
                    </w:rPr>
                    <w:t>用水</w:t>
                  </w:r>
                </w:p>
              </w:tc>
              <w:tc>
                <w:tcPr>
                  <w:tcW w:w="582" w:type="pct"/>
                  <w:vAlign w:val="center"/>
                </w:tcPr>
                <w:p w14:paraId="4896367E">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1981</w:t>
                  </w:r>
                </w:p>
              </w:tc>
              <w:tc>
                <w:tcPr>
                  <w:tcW w:w="635" w:type="pct"/>
                  <w:vAlign w:val="center"/>
                </w:tcPr>
                <w:p w14:paraId="2CB6D0A6">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1981</w:t>
                  </w:r>
                </w:p>
              </w:tc>
              <w:tc>
                <w:tcPr>
                  <w:tcW w:w="574" w:type="pct"/>
                  <w:vAlign w:val="center"/>
                </w:tcPr>
                <w:p w14:paraId="7BB24C96">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2114" w:type="pct"/>
                  <w:vAlign w:val="center"/>
                </w:tcPr>
                <w:p w14:paraId="32CFCB84">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自然蒸发</w:t>
                  </w:r>
                </w:p>
              </w:tc>
            </w:tr>
            <w:tr w14:paraId="62EE472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c>
                <w:tcPr>
                  <w:tcW w:w="1093" w:type="pct"/>
                  <w:gridSpan w:val="2"/>
                  <w:vAlign w:val="center"/>
                </w:tcPr>
                <w:p w14:paraId="6C22E64D">
                  <w:pPr>
                    <w:keepNext w:val="0"/>
                    <w:keepLines w:val="0"/>
                    <w:widowControl/>
                    <w:suppressLineNumbers w:val="0"/>
                    <w:autoSpaceDN w:val="0"/>
                    <w:spacing w:before="0" w:beforeAutospacing="0" w:after="0" w:afterAutospacing="0" w:line="276" w:lineRule="auto"/>
                    <w:ind w:left="0" w:leftChars="0" w:right="0" w:rightChars="0"/>
                    <w:jc w:val="center"/>
                    <w:rPr>
                      <w:rFonts w:hint="default" w:ascii="Times New Roman" w:hAnsi="Times New Roman" w:eastAsia="宋体" w:cs="Times New Roman"/>
                      <w:color w:val="auto"/>
                      <w:kern w:val="0"/>
                      <w:sz w:val="21"/>
                      <w:highlight w:val="none"/>
                      <w:lang w:val="en-US" w:eastAsia="zh-CN"/>
                    </w:rPr>
                  </w:pPr>
                  <w:r>
                    <w:rPr>
                      <w:rFonts w:hint="default" w:ascii="Times New Roman" w:hAnsi="Times New Roman" w:eastAsia="宋体" w:cs="Times New Roman"/>
                      <w:color w:val="auto"/>
                      <w:kern w:val="0"/>
                      <w:sz w:val="21"/>
                      <w:highlight w:val="none"/>
                      <w:lang w:val="en-US" w:eastAsia="zh-CN"/>
                    </w:rPr>
                    <w:t>合计</w:t>
                  </w:r>
                </w:p>
              </w:tc>
              <w:tc>
                <w:tcPr>
                  <w:tcW w:w="582" w:type="pct"/>
                  <w:vAlign w:val="center"/>
                </w:tcPr>
                <w:p w14:paraId="4BF062CF">
                  <w:pPr>
                    <w:keepNext w:val="0"/>
                    <w:keepLines w:val="0"/>
                    <w:widowControl/>
                    <w:suppressLineNumbers w:val="0"/>
                    <w:jc w:val="center"/>
                    <w:textAlignment w:val="center"/>
                    <w:rPr>
                      <w:rFonts w:hint="default" w:ascii="Times New Roman" w:hAnsi="Times New Roman" w:eastAsia="宋体" w:cs="Times New Roman"/>
                      <w:color w:val="auto"/>
                      <w:kern w:val="0"/>
                      <w:sz w:val="21"/>
                      <w:highlight w:val="none"/>
                      <w:lang w:val="en-US" w:eastAsia="zh-CN"/>
                    </w:rPr>
                  </w:pPr>
                  <w:r>
                    <w:rPr>
                      <w:rFonts w:hint="default" w:ascii="Calibri" w:hAnsi="Calibri" w:eastAsia="宋体" w:cs="Calibri"/>
                      <w:i w:val="0"/>
                      <w:iCs w:val="0"/>
                      <w:color w:val="auto"/>
                      <w:kern w:val="0"/>
                      <w:sz w:val="21"/>
                      <w:szCs w:val="21"/>
                      <w:u w:val="none"/>
                      <w:lang w:val="en-US" w:eastAsia="zh-CN" w:bidi="ar"/>
                    </w:rPr>
                    <w:t>2329.08</w:t>
                  </w:r>
                </w:p>
              </w:tc>
              <w:tc>
                <w:tcPr>
                  <w:tcW w:w="635" w:type="pct"/>
                  <w:vAlign w:val="center"/>
                </w:tcPr>
                <w:p w14:paraId="2E08552F">
                  <w:pPr>
                    <w:keepNext w:val="0"/>
                    <w:keepLines w:val="0"/>
                    <w:widowControl/>
                    <w:suppressLineNumbers w:val="0"/>
                    <w:jc w:val="center"/>
                    <w:textAlignment w:val="center"/>
                    <w:rPr>
                      <w:rFonts w:hint="default" w:ascii="Times New Roman" w:hAnsi="Times New Roman" w:eastAsia="宋体" w:cs="Times New Roman"/>
                      <w:color w:val="auto"/>
                      <w:kern w:val="0"/>
                      <w:sz w:val="21"/>
                      <w:highlight w:val="none"/>
                      <w:lang w:val="en-US" w:eastAsia="zh-CN"/>
                    </w:rPr>
                  </w:pPr>
                  <w:r>
                    <w:rPr>
                      <w:rFonts w:hint="default" w:ascii="Calibri" w:hAnsi="Calibri" w:eastAsia="宋体" w:cs="Calibri"/>
                      <w:i w:val="0"/>
                      <w:iCs w:val="0"/>
                      <w:color w:val="auto"/>
                      <w:kern w:val="0"/>
                      <w:sz w:val="21"/>
                      <w:szCs w:val="21"/>
                      <w:u w:val="none"/>
                      <w:lang w:val="en-US" w:eastAsia="zh-CN" w:bidi="ar"/>
                    </w:rPr>
                    <w:t>2072.12</w:t>
                  </w:r>
                </w:p>
              </w:tc>
              <w:tc>
                <w:tcPr>
                  <w:tcW w:w="574" w:type="pct"/>
                  <w:vAlign w:val="center"/>
                </w:tcPr>
                <w:p w14:paraId="4E15BE09">
                  <w:pPr>
                    <w:keepNext w:val="0"/>
                    <w:keepLines w:val="0"/>
                    <w:widowControl/>
                    <w:suppressLineNumbers w:val="0"/>
                    <w:jc w:val="center"/>
                    <w:textAlignment w:val="center"/>
                    <w:rPr>
                      <w:rFonts w:hint="default" w:ascii="Times New Roman" w:hAnsi="Times New Roman" w:eastAsia="宋体" w:cs="Times New Roman"/>
                      <w:color w:val="auto"/>
                      <w:kern w:val="0"/>
                      <w:sz w:val="21"/>
                      <w:highlight w:val="none"/>
                      <w:lang w:val="en-US" w:eastAsia="zh-CN"/>
                    </w:rPr>
                  </w:pPr>
                  <w:r>
                    <w:rPr>
                      <w:rFonts w:hint="default" w:ascii="Calibri" w:hAnsi="Calibri" w:eastAsia="宋体" w:cs="Calibri"/>
                      <w:i w:val="0"/>
                      <w:iCs w:val="0"/>
                      <w:color w:val="auto"/>
                      <w:kern w:val="0"/>
                      <w:sz w:val="21"/>
                      <w:szCs w:val="21"/>
                      <w:u w:val="none"/>
                      <w:lang w:val="en-US" w:eastAsia="zh-CN" w:bidi="ar"/>
                    </w:rPr>
                    <w:t>256.96</w:t>
                  </w:r>
                </w:p>
              </w:tc>
              <w:tc>
                <w:tcPr>
                  <w:tcW w:w="2114" w:type="pct"/>
                  <w:vAlign w:val="center"/>
                </w:tcPr>
                <w:p w14:paraId="4383CF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bl>
          <w:p w14:paraId="2E7B57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highlight w:val="none"/>
                <w:lang w:val="en-US" w:eastAsia="zh-CN"/>
              </w:rPr>
            </w:pP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1569085</wp:posOffset>
                      </wp:positionH>
                      <wp:positionV relativeFrom="paragraph">
                        <wp:posOffset>247015</wp:posOffset>
                      </wp:positionV>
                      <wp:extent cx="523875" cy="2286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523875"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3D3F7D">
                                  <w:pPr>
                                    <w:rPr>
                                      <w:rFonts w:hint="default" w:eastAsia="宋体"/>
                                      <w:lang w:val="en-US" w:eastAsia="zh-CN"/>
                                    </w:rPr>
                                  </w:pPr>
                                  <w:r>
                                    <w:rPr>
                                      <w:rFonts w:hint="eastAsia"/>
                                      <w:lang w:val="en-US" w:eastAsia="zh-CN"/>
                                    </w:rPr>
                                    <w:t>1981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45pt;height:18pt;width:41.25pt;z-index:251664384;mso-width-relative:page;mso-height-relative:page;" filled="f" stroked="f" coordsize="21600,21600" o:gfxdata="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U22UfbAAAACQEAAA8AAAAAAAAAAQAgAAAAIgAA&#10;AGRycy9kb3ducmV2LnhtbFBLAQIUABQAAAAIAIdO4kDrFiYcPgIAAGcEAAAOAAAAAAAAAAEAIAAA&#10;ACoBAABkcnMvZTJvRG9jLnhtbFBLBQYAAAAABgAGAFkBAADaBQAAAAA=&#10;">
                      <v:fill on="f" focussize="0,0"/>
                      <v:stroke on="f" weight="0.5pt"/>
                      <v:imagedata o:title=""/>
                      <o:lock v:ext="edit" aspectratio="f"/>
                      <v:textbox>
                        <w:txbxContent>
                          <w:p w14:paraId="723D3F7D">
                            <w:pPr>
                              <w:rPr>
                                <w:rFonts w:hint="default" w:eastAsia="宋体"/>
                                <w:lang w:val="en-US" w:eastAsia="zh-CN"/>
                              </w:rPr>
                            </w:pPr>
                            <w:r>
                              <w:rPr>
                                <w:rFonts w:hint="eastAsia"/>
                                <w:lang w:val="en-US" w:eastAsia="zh-CN"/>
                              </w:rPr>
                              <w:t>1981</w:t>
                            </w:r>
                          </w:p>
                        </w:txbxContent>
                      </v:textbox>
                    </v:shape>
                  </w:pict>
                </mc:Fallback>
              </mc:AlternateContent>
            </w: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46990</wp:posOffset>
                      </wp:positionV>
                      <wp:extent cx="514985" cy="228600"/>
                      <wp:effectExtent l="0" t="0" r="0" b="0"/>
                      <wp:wrapNone/>
                      <wp:docPr id="33" name="文本框 33"/>
                      <wp:cNvGraphicFramePr/>
                      <a:graphic xmlns:a="http://schemas.openxmlformats.org/drawingml/2006/main">
                        <a:graphicData uri="http://schemas.microsoft.com/office/word/2010/wordprocessingShape">
                          <wps:wsp>
                            <wps:cNvSpPr txBox="1"/>
                            <wps:spPr>
                              <a:xfrm>
                                <a:off x="2124710" y="5234305"/>
                                <a:ext cx="514985"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B60206">
                                  <w:pPr>
                                    <w:rPr>
                                      <w:rFonts w:hint="default" w:eastAsia="宋体"/>
                                      <w:lang w:val="en-US" w:eastAsia="zh-CN"/>
                                    </w:rPr>
                                  </w:pPr>
                                  <w:r>
                                    <w:rPr>
                                      <w:rFonts w:hint="eastAsia"/>
                                      <w:lang w:val="en-US" w:eastAsia="zh-CN"/>
                                    </w:rPr>
                                    <w:t>1981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3pt;margin-top:3.7pt;height:18pt;width:40.55pt;z-index:251663360;mso-width-relative:page;mso-height-relative:page;" filled="f" stroked="f" coordsize="21600,21600" o:gfxdata="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dPqMzaAAAACAEAAA8AAAAA&#10;AAAAAQAgAAAAIgAAAGRycy9kb3ducmV2LnhtbFBLAQIUABQAAAAIAIdO4kDzhe41SwIAAHMEAAAO&#10;AAAAAAAAAAEAIAAAACkBAABkcnMvZTJvRG9jLnhtbFBLBQYAAAAABgAGAFkBAADmBQAAAAA=&#10;">
                      <v:fill on="f" focussize="0,0"/>
                      <v:stroke on="f" weight="0.5pt"/>
                      <v:imagedata o:title=""/>
                      <o:lock v:ext="edit" aspectratio="f"/>
                      <v:textbox>
                        <w:txbxContent>
                          <w:p w14:paraId="6FB60206">
                            <w:pPr>
                              <w:rPr>
                                <w:rFonts w:hint="default" w:eastAsia="宋体"/>
                                <w:lang w:val="en-US" w:eastAsia="zh-CN"/>
                              </w:rPr>
                            </w:pPr>
                            <w:r>
                              <w:rPr>
                                <w:rFonts w:hint="eastAsia"/>
                                <w:lang w:val="en-US" w:eastAsia="zh-CN"/>
                              </w:rPr>
                              <w:t>1981</w:t>
                            </w:r>
                          </w:p>
                        </w:txbxContent>
                      </v:textbox>
                    </v:shape>
                  </w:pict>
                </mc:Fallback>
              </mc:AlternateContent>
            </w: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2388235</wp:posOffset>
                      </wp:positionH>
                      <wp:positionV relativeFrom="paragraph">
                        <wp:posOffset>227965</wp:posOffset>
                      </wp:positionV>
                      <wp:extent cx="276225" cy="133350"/>
                      <wp:effectExtent l="0" t="51435" r="9525" b="24765"/>
                      <wp:wrapNone/>
                      <wp:docPr id="35" name="曲线连接符 35"/>
                      <wp:cNvGraphicFramePr/>
                      <a:graphic xmlns:a="http://schemas.openxmlformats.org/drawingml/2006/main">
                        <a:graphicData uri="http://schemas.microsoft.com/office/word/2010/wordprocessingShape">
                          <wps:wsp>
                            <wps:cNvCnPr/>
                            <wps:spPr>
                              <a:xfrm flipV="1">
                                <a:off x="3677285" y="5272405"/>
                                <a:ext cx="276225" cy="133350"/>
                              </a:xfrm>
                              <a:prstGeom prst="curvedConnector3">
                                <a:avLst>
                                  <a:gd name="adj1" fmla="val 50115"/>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8" type="#_x0000_t38" style="position:absolute;left:0pt;flip:y;margin-left:188.05pt;margin-top:17.95pt;height:10.5pt;width:21.75pt;z-index:251662336;mso-width-relative:page;mso-height-relative:page;" filled="f" stroked="t" coordsize="21600,21600" o:gfxdata="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aPvA9gAAAAJAQAADwAAAAAAAAABACAAAAAiAAAAZHJzL2Rvd25yZXYueG1sUEsBAhQAFAAAAAgA&#10;h07iQKfgCUolAgAACAQAAA4AAAAAAAAAAQAgAAAAJwEAAGRycy9lMm9Eb2MueG1sUEsFBgAAAAAG&#10;AAYAWQEAAL4FAAAAAA==&#10;" adj="10825">
                      <v:fill on="f" focussize="0,0"/>
                      <v:stroke weight="2pt" color="#000000 [3213]" joinstyle="round" dashstyle="dash" endarrow="open"/>
                      <v:imagedata o:title=""/>
                      <o:lock v:ext="edit" aspectratio="f"/>
                    </v:shape>
                  </w:pict>
                </mc:Fallback>
              </mc:AlternateContent>
            </w:r>
          </w:p>
          <w:p w14:paraId="3713790A">
            <w:pPr>
              <w:pStyle w:val="19"/>
              <w:rPr>
                <w:rFonts w:hint="default" w:ascii="Times New Roman" w:hAnsi="Times New Roman" w:eastAsia="宋体" w:cs="Times New Roman"/>
                <w:b/>
                <w:bCs/>
                <w:color w:val="auto"/>
                <w:sz w:val="24"/>
                <w:szCs w:val="24"/>
                <w:highlight w:val="none"/>
                <w:lang w:val="en-US" w:eastAsia="zh-CN"/>
              </w:rPr>
            </w:pP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749935</wp:posOffset>
                      </wp:positionH>
                      <wp:positionV relativeFrom="paragraph">
                        <wp:posOffset>136525</wp:posOffset>
                      </wp:positionV>
                      <wp:extent cx="857250" cy="257175"/>
                      <wp:effectExtent l="4445" t="4445" r="14605" b="5080"/>
                      <wp:wrapNone/>
                      <wp:docPr id="37" name="文本框 37"/>
                      <wp:cNvGraphicFramePr/>
                      <a:graphic xmlns:a="http://schemas.openxmlformats.org/drawingml/2006/main">
                        <a:graphicData uri="http://schemas.microsoft.com/office/word/2010/wordprocessingShape">
                          <wps:wsp>
                            <wps:cNvSpPr txBox="1"/>
                            <wps:spPr>
                              <a:xfrm>
                                <a:off x="2115185" y="5339080"/>
                                <a:ext cx="857250"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68522A">
                                  <w:pPr>
                                    <w:jc w:val="center"/>
                                    <w:rPr>
                                      <w:rFonts w:hint="eastAsia" w:eastAsia="宋体"/>
                                      <w:lang w:val="en-US" w:eastAsia="zh-CN"/>
                                    </w:rPr>
                                  </w:pPr>
                                  <w:r>
                                    <w:rPr>
                                      <w:rFonts w:hint="eastAsia"/>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05pt;margin-top:10.75pt;height:20.25pt;width:67.5pt;z-index:251660288;mso-width-relative:page;mso-height-relative:page;" fillcolor="#FFFFFF [3201]" filled="t" stroked="t" coordsize="21600,21600" o:gfxdata="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8VxgjUAAAACQEAAA8AAAAAAAAAAQAgAAAAIgAAAGRycy9kb3ducmV2LnhtbFBLAQIUABQAAAAI&#10;AIdO4kCFiAXoYwIAAMQEAAAOAAAAAAAAAAEAIAAAACMBAABkcnMvZTJvRG9jLnhtbFBLBQYAAAAA&#10;BgAGAFkBAAD4BQAAAAA=&#10;">
                      <v:fill on="t" focussize="0,0"/>
                      <v:stroke weight="0.5pt" color="#000000 [3204]" joinstyle="round"/>
                      <v:imagedata o:title=""/>
                      <o:lock v:ext="edit" aspectratio="f"/>
                      <v:textbox>
                        <w:txbxContent>
                          <w:p w14:paraId="5668522A">
                            <w:pPr>
                              <w:jc w:val="center"/>
                              <w:rPr>
                                <w:rFonts w:hint="eastAsia" w:eastAsia="宋体"/>
                                <w:lang w:val="en-US" w:eastAsia="zh-CN"/>
                              </w:rPr>
                            </w:pPr>
                            <w:r>
                              <w:rPr>
                                <w:rFonts w:hint="eastAsia"/>
                                <w:lang w:val="en-US" w:eastAsia="zh-CN"/>
                              </w:rPr>
                              <w:t>新鲜水</w:t>
                            </w:r>
                          </w:p>
                        </w:txbxContent>
                      </v:textbox>
                    </v:shape>
                  </w:pict>
                </mc:Fallback>
              </mc:AlternateContent>
            </w: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2207260</wp:posOffset>
                      </wp:positionH>
                      <wp:positionV relativeFrom="paragraph">
                        <wp:posOffset>136525</wp:posOffset>
                      </wp:positionV>
                      <wp:extent cx="857250" cy="257175"/>
                      <wp:effectExtent l="4445" t="4445" r="14605" b="5080"/>
                      <wp:wrapNone/>
                      <wp:docPr id="38" name="文本框 38"/>
                      <wp:cNvGraphicFramePr/>
                      <a:graphic xmlns:a="http://schemas.openxmlformats.org/drawingml/2006/main">
                        <a:graphicData uri="http://schemas.microsoft.com/office/word/2010/wordprocessingShape">
                          <wps:wsp>
                            <wps:cNvSpPr txBox="1"/>
                            <wps:spPr>
                              <a:xfrm>
                                <a:off x="0" y="0"/>
                                <a:ext cx="857250"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B16D6C">
                                  <w:pPr>
                                    <w:jc w:val="center"/>
                                    <w:rPr>
                                      <w:rFonts w:hint="default" w:eastAsia="宋体"/>
                                      <w:lang w:val="en-US" w:eastAsia="zh-CN"/>
                                    </w:rPr>
                                  </w:pPr>
                                  <w:r>
                                    <w:rPr>
                                      <w:rFonts w:hint="eastAsia"/>
                                      <w:lang w:val="en-US" w:eastAsia="zh-CN"/>
                                    </w:rPr>
                                    <w:t>光伏板清洗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8pt;margin-top:10.75pt;height:20.25pt;width:67.5pt;z-index:251661312;mso-width-relative:page;mso-height-relative:page;" fillcolor="#FFFFFF [3201]" filled="t" stroked="t" coordsize="21600,21600" o:gfxdata="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hSA1fWAAAACQEA&#10;AA8AAAAAAAAAAQAgAAAAIgAAAGRycy9kb3ducmV2LnhtbFBLAQIUABQAAAAIAIdO4kBnPumoVQIA&#10;ALgEAAAOAAAAAAAAAAEAIAAAACUBAABkcnMvZTJvRG9jLnhtbFBLBQYAAAAABgAGAFkBAADsBQAA&#10;AAA=&#10;">
                      <v:fill on="t" focussize="0,0"/>
                      <v:stroke weight="0.5pt" color="#000000 [3204]" joinstyle="round"/>
                      <v:imagedata o:title=""/>
                      <o:lock v:ext="edit" aspectratio="f"/>
                      <v:textbox>
                        <w:txbxContent>
                          <w:p w14:paraId="18B16D6C">
                            <w:pPr>
                              <w:jc w:val="center"/>
                              <w:rPr>
                                <w:rFonts w:hint="default" w:eastAsia="宋体"/>
                                <w:lang w:val="en-US" w:eastAsia="zh-CN"/>
                              </w:rPr>
                            </w:pPr>
                            <w:r>
                              <w:rPr>
                                <w:rFonts w:hint="eastAsia"/>
                                <w:lang w:val="en-US" w:eastAsia="zh-CN"/>
                              </w:rPr>
                              <w:t>光伏板清洗</w:t>
                            </w:r>
                          </w:p>
                        </w:txbxContent>
                      </v:textbox>
                    </v:shape>
                  </w:pict>
                </mc:Fallback>
              </mc:AlternateContent>
            </w:r>
          </w:p>
          <w:p w14:paraId="14E13D58">
            <w:pPr>
              <w:rPr>
                <w:rFonts w:hint="default"/>
                <w:color w:val="auto"/>
                <w:lang w:val="en-US" w:eastAsia="zh-CN"/>
              </w:rPr>
            </w:pP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1666875</wp:posOffset>
                      </wp:positionH>
                      <wp:positionV relativeFrom="paragraph">
                        <wp:posOffset>96520</wp:posOffset>
                      </wp:positionV>
                      <wp:extent cx="523875" cy="9525"/>
                      <wp:effectExtent l="0" t="49530" r="9525" b="55245"/>
                      <wp:wrapNone/>
                      <wp:docPr id="43" name="直接箭头连接符 43"/>
                      <wp:cNvGraphicFramePr/>
                      <a:graphic xmlns:a="http://schemas.openxmlformats.org/drawingml/2006/main">
                        <a:graphicData uri="http://schemas.microsoft.com/office/word/2010/wordprocessingShape">
                          <wps:wsp>
                            <wps:cNvCnPr/>
                            <wps:spPr>
                              <a:xfrm>
                                <a:off x="2781935" y="2478405"/>
                                <a:ext cx="523875" cy="95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31.25pt;margin-top:7.6pt;height:0.75pt;width:41.25pt;z-index:251665408;mso-width-relative:page;mso-height-relative:page;" filled="f" stroked="t" coordsize="21600,21600" o:gfxdata="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wCi/ZAAAACQEAAA8AAAAAAAAAAQAgAAAA&#10;IgAAAGRycy9kb3ducmV2LnhtbFBLAQIUABQAAAAIAIdO4kBGrwbHCgIAANgDAAAOAAAAAAAAAAEA&#10;IAAAACgBAABkcnMvZTJvRG9jLnhtbFBLBQYAAAAABgAGAFkBAACkBQAAAAA=&#10;">
                      <v:fill on="f" focussize="0,0"/>
                      <v:stroke weight="2pt" color="#000000 [3213]" joinstyle="round" endarrow="open"/>
                      <v:imagedata o:title=""/>
                      <o:lock v:ext="edit" aspectratio="f"/>
                    </v:shape>
                  </w:pict>
                </mc:Fallback>
              </mc:AlternateContent>
            </w:r>
          </w:p>
          <w:p w14:paraId="112A5AC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1"/>
                <w:szCs w:val="21"/>
                <w:highlight w:val="none"/>
                <w:lang w:val="en-US" w:eastAsia="zh-CN"/>
              </w:rPr>
            </w:pPr>
          </w:p>
          <w:p w14:paraId="26F2EB02">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val="en-US" w:eastAsia="zh-CN"/>
              </w:rPr>
              <w:t>图2-</w:t>
            </w: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eastAsia="zh-CN"/>
              </w:rPr>
              <w:t xml:space="preserve">  水平衡图   单位:m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/a</w:t>
            </w:r>
          </w:p>
          <w:p w14:paraId="5F591AEB">
            <w:pPr>
              <w:adjustRightInd w:val="0"/>
              <w:snapToGrid w:val="0"/>
              <w:spacing w:line="360" w:lineRule="auto"/>
              <w:ind w:firstLine="482" w:firstLineChars="200"/>
              <w:rPr>
                <w:rFonts w:hint="default"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6.2</w:t>
            </w:r>
            <w:r>
              <w:rPr>
                <w:rFonts w:hint="default" w:ascii="Times New Roman" w:hAnsi="Times New Roman" w:eastAsia="宋体" w:cs="Times New Roman"/>
                <w:b/>
                <w:bCs/>
                <w:color w:val="auto"/>
                <w:kern w:val="0"/>
                <w:sz w:val="24"/>
                <w:highlight w:val="none"/>
                <w:lang w:val="en-US" w:eastAsia="zh-CN"/>
              </w:rPr>
              <w:t>用电</w:t>
            </w:r>
          </w:p>
          <w:p w14:paraId="5EF8E50C">
            <w:pPr>
              <w:adjustRightInd w:val="0"/>
              <w:snapToGrid w:val="0"/>
              <w:spacing w:line="360" w:lineRule="auto"/>
              <w:ind w:firstLine="480" w:firstLineChars="200"/>
              <w:rPr>
                <w:rFonts w:hint="eastAsia"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sz w:val="24"/>
                <w:szCs w:val="32"/>
                <w:highlight w:val="none"/>
                <w:lang w:val="en-US" w:eastAsia="zh-CN"/>
              </w:rPr>
              <w:t>施工期可引接附近村庄10kV农网，引接长度约2km。另备用4台75kW柴油发电机作为施工备用电源。</w:t>
            </w:r>
          </w:p>
          <w:p w14:paraId="4BEA11EC">
            <w:pPr>
              <w:adjustRightInd w:val="0"/>
              <w:snapToGrid w:val="0"/>
              <w:spacing w:line="360" w:lineRule="auto"/>
              <w:ind w:firstLine="482" w:firstLineChars="200"/>
              <w:rPr>
                <w:rFonts w:hint="default"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6.3</w:t>
            </w:r>
            <w:r>
              <w:rPr>
                <w:rFonts w:hint="default" w:ascii="Times New Roman" w:hAnsi="Times New Roman" w:eastAsia="宋体" w:cs="Times New Roman"/>
                <w:b/>
                <w:bCs/>
                <w:color w:val="auto"/>
                <w:kern w:val="0"/>
                <w:sz w:val="24"/>
                <w:highlight w:val="none"/>
                <w:lang w:val="en-US" w:eastAsia="zh-CN"/>
              </w:rPr>
              <w:t>消防</w:t>
            </w:r>
          </w:p>
          <w:p w14:paraId="5B549879">
            <w:pPr>
              <w:pStyle w:val="28"/>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sz w:val="24"/>
                <w:szCs w:val="32"/>
                <w:highlight w:val="none"/>
                <w:lang w:val="en-US" w:eastAsia="zh-CN"/>
              </w:rPr>
              <w:t>光伏厂区每台箱变配备2台手提式干粉灭火器</w:t>
            </w:r>
            <w:r>
              <w:rPr>
                <w:rFonts w:hint="eastAsia" w:ascii="Times New Roman" w:cs="Times New Roman"/>
                <w:color w:val="auto"/>
                <w:sz w:val="24"/>
                <w:szCs w:val="32"/>
                <w:highlight w:val="none"/>
                <w:lang w:val="en-US" w:eastAsia="zh-CN"/>
              </w:rPr>
              <w:t>。</w:t>
            </w:r>
          </w:p>
          <w:p w14:paraId="00330819">
            <w:pPr>
              <w:autoSpaceDE w:val="0"/>
              <w:autoSpaceDN w:val="0"/>
              <w:adjustRightInd w:val="0"/>
              <w:snapToGrid w:val="0"/>
              <w:spacing w:line="360" w:lineRule="auto"/>
              <w:ind w:firstLine="482" w:firstLineChars="200"/>
              <w:jc w:val="left"/>
              <w:rPr>
                <w:rFonts w:hint="default" w:ascii="Times New Roman" w:hAnsi="Times New Roman" w:cs="Times New Roman"/>
                <w:b/>
                <w:color w:val="auto"/>
                <w:kern w:val="0"/>
                <w:sz w:val="24"/>
                <w:szCs w:val="24"/>
                <w:highlight w:val="none"/>
              </w:rPr>
            </w:pPr>
            <w:r>
              <w:rPr>
                <w:rFonts w:hint="eastAsia" w:ascii="Times New Roman" w:hAnsi="Times New Roman" w:cs="Times New Roman"/>
                <w:b/>
                <w:color w:val="auto"/>
                <w:kern w:val="0"/>
                <w:sz w:val="24"/>
                <w:szCs w:val="24"/>
                <w:highlight w:val="none"/>
                <w:lang w:val="en-US" w:eastAsia="zh-CN"/>
              </w:rPr>
              <w:t>7、</w:t>
            </w:r>
            <w:r>
              <w:rPr>
                <w:rFonts w:hint="default" w:ascii="Times New Roman" w:hAnsi="Times New Roman" w:cs="Times New Roman"/>
                <w:b/>
                <w:color w:val="auto"/>
                <w:kern w:val="0"/>
                <w:sz w:val="24"/>
                <w:szCs w:val="24"/>
                <w:highlight w:val="none"/>
              </w:rPr>
              <w:t>人员配置及检维修制度</w:t>
            </w:r>
          </w:p>
          <w:p w14:paraId="170DA28C">
            <w:pPr>
              <w:spacing w:line="360" w:lineRule="auto"/>
              <w:ind w:firstLine="480" w:firstLineChars="200"/>
              <w:rPr>
                <w:rFonts w:hint="eastAsia" w:ascii="Times New Roman" w:hAnsi="Times New Roman" w:eastAsia="宋体" w:cs="Times New Roman"/>
                <w:color w:val="auto"/>
                <w:kern w:val="2"/>
                <w:sz w:val="24"/>
                <w:szCs w:val="32"/>
                <w:highlight w:val="none"/>
                <w:lang w:val="en-US" w:eastAsia="zh-CN" w:bidi="ar-SA"/>
              </w:rPr>
            </w:pPr>
            <w:r>
              <w:rPr>
                <w:rFonts w:hint="eastAsia" w:ascii="Times New Roman" w:hAnsi="Times New Roman" w:eastAsia="宋体" w:cs="Times New Roman"/>
                <w:color w:val="auto"/>
                <w:kern w:val="2"/>
                <w:sz w:val="24"/>
                <w:szCs w:val="32"/>
                <w:highlight w:val="none"/>
                <w:lang w:val="en-US" w:eastAsia="zh-CN" w:bidi="ar-SA"/>
              </w:rPr>
              <w:t>本光伏电站年工作时间365天，光伏场区日常维护和检修依托本项目升压站人员。</w:t>
            </w:r>
          </w:p>
          <w:p w14:paraId="0027B8C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lang w:eastAsia="zh-CN"/>
              </w:rPr>
              <w:t>、工程占地</w:t>
            </w:r>
          </w:p>
          <w:p w14:paraId="1BA0C2F7">
            <w:pPr>
              <w:pStyle w:val="28"/>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highlight w:val="none"/>
                <w:lang w:val="en-US" w:eastAsia="zh-CN"/>
              </w:rPr>
            </w:pPr>
            <w:r>
              <w:rPr>
                <w:rFonts w:hint="eastAsia" w:ascii="Times New Roman" w:cs="Times New Roman"/>
                <w:color w:val="auto"/>
                <w:sz w:val="24"/>
                <w:szCs w:val="32"/>
                <w:highlight w:val="none"/>
                <w:lang w:val="en-US" w:eastAsia="zh-CN"/>
              </w:rPr>
              <w:t>①永久占地</w:t>
            </w:r>
          </w:p>
          <w:p w14:paraId="1F155CBC">
            <w:pPr>
              <w:pStyle w:val="28"/>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sz w:val="24"/>
                <w:szCs w:val="32"/>
                <w:highlight w:val="none"/>
                <w:lang w:val="en-US" w:eastAsia="zh-CN"/>
              </w:rPr>
              <w:t>本项目光伏区箱式变压器、桩基础及道路工程占地为永久占地，占地面积为</w:t>
            </w:r>
            <w:r>
              <w:rPr>
                <w:rFonts w:hint="eastAsia" w:ascii="Times New Roman" w:cs="Times New Roman"/>
                <w:color w:val="auto"/>
                <w:sz w:val="24"/>
                <w:szCs w:val="32"/>
                <w:highlight w:val="none"/>
                <w:lang w:val="en-US" w:eastAsia="zh-CN"/>
              </w:rPr>
              <w:t>26787.78</w:t>
            </w:r>
            <w:r>
              <w:rPr>
                <w:rFonts w:hint="default" w:ascii="Times New Roman" w:hAnsi="Times New Roman" w:eastAsia="宋体" w:cs="Times New Roman"/>
                <w:color w:val="auto"/>
                <w:sz w:val="24"/>
                <w:szCs w:val="32"/>
                <w:highlight w:val="none"/>
                <w:lang w:val="en-US" w:eastAsia="zh-CN"/>
              </w:rPr>
              <w:t>m</w:t>
            </w:r>
            <w:r>
              <w:rPr>
                <w:rFonts w:hint="default" w:ascii="Times New Roman" w:hAnsi="Times New Roman" w:eastAsia="宋体" w:cs="Times New Roman"/>
                <w:color w:val="auto"/>
                <w:sz w:val="24"/>
                <w:szCs w:val="32"/>
                <w:highlight w:val="none"/>
                <w:vertAlign w:val="superscript"/>
                <w:lang w:val="en-US" w:eastAsia="zh-CN"/>
              </w:rPr>
              <w:t>2</w:t>
            </w:r>
            <w:r>
              <w:rPr>
                <w:rFonts w:hint="eastAsia" w:ascii="Times New Roman" w:hAnsi="Times New Roman" w:eastAsia="宋体" w:cs="Times New Roman"/>
                <w:color w:val="auto"/>
                <w:sz w:val="24"/>
                <w:szCs w:val="32"/>
                <w:highlight w:val="none"/>
                <w:lang w:val="en-US" w:eastAsia="zh-CN"/>
              </w:rPr>
              <w:t>。</w:t>
            </w:r>
          </w:p>
          <w:p w14:paraId="32AF3F22">
            <w:pPr>
              <w:pStyle w:val="28"/>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sz w:val="24"/>
                <w:szCs w:val="32"/>
                <w:highlight w:val="none"/>
                <w:lang w:val="en-US" w:eastAsia="zh-CN"/>
              </w:rPr>
              <w:t>箱式变压器：项目共设置</w:t>
            </w:r>
            <w:r>
              <w:rPr>
                <w:rFonts w:hint="eastAsia" w:ascii="Times New Roman" w:cs="Times New Roman"/>
                <w:color w:val="auto"/>
                <w:sz w:val="24"/>
                <w:szCs w:val="32"/>
                <w:highlight w:val="none"/>
                <w:lang w:val="en-US" w:eastAsia="zh-CN"/>
              </w:rPr>
              <w:t>21</w:t>
            </w:r>
            <w:r>
              <w:rPr>
                <w:rFonts w:hint="eastAsia" w:ascii="Times New Roman" w:hAnsi="Times New Roman" w:eastAsia="宋体" w:cs="Times New Roman"/>
                <w:color w:val="auto"/>
                <w:sz w:val="24"/>
                <w:szCs w:val="32"/>
                <w:highlight w:val="none"/>
                <w:lang w:val="en-US" w:eastAsia="zh-CN"/>
              </w:rPr>
              <w:t>台箱式变压器，单台箱式变压器占地</w:t>
            </w:r>
            <w:r>
              <w:rPr>
                <w:rFonts w:hint="eastAsia" w:ascii="Times New Roman" w:cs="Times New Roman"/>
                <w:color w:val="auto"/>
                <w:sz w:val="24"/>
                <w:szCs w:val="32"/>
                <w:highlight w:val="none"/>
                <w:lang w:val="en-US" w:eastAsia="zh-CN"/>
              </w:rPr>
              <w:t>37.86</w:t>
            </w:r>
            <w:r>
              <w:rPr>
                <w:rFonts w:hint="default" w:ascii="Times New Roman" w:hAnsi="Times New Roman" w:eastAsia="宋体" w:cs="Times New Roman"/>
                <w:color w:val="auto"/>
                <w:sz w:val="24"/>
                <w:szCs w:val="32"/>
                <w:highlight w:val="none"/>
                <w:lang w:val="en-US" w:eastAsia="zh-CN"/>
              </w:rPr>
              <w:t>m</w:t>
            </w:r>
            <w:r>
              <w:rPr>
                <w:rFonts w:hint="default" w:ascii="Times New Roman" w:hAnsi="Times New Roman" w:eastAsia="宋体" w:cs="Times New Roman"/>
                <w:color w:val="auto"/>
                <w:sz w:val="24"/>
                <w:szCs w:val="32"/>
                <w:highlight w:val="none"/>
                <w:vertAlign w:val="superscript"/>
                <w:lang w:val="en-US" w:eastAsia="zh-CN"/>
              </w:rPr>
              <w:t>2</w:t>
            </w:r>
            <w:r>
              <w:rPr>
                <w:rFonts w:hint="eastAsia" w:ascii="Times New Roman" w:hAnsi="Times New Roman" w:eastAsia="宋体" w:cs="Times New Roman"/>
                <w:color w:val="auto"/>
                <w:sz w:val="24"/>
                <w:szCs w:val="32"/>
                <w:highlight w:val="none"/>
                <w:lang w:val="en-US" w:eastAsia="zh-CN"/>
              </w:rPr>
              <w:t>，</w:t>
            </w:r>
            <w:r>
              <w:rPr>
                <w:rFonts w:hint="eastAsia" w:ascii="Times New Roman" w:cs="Times New Roman"/>
                <w:color w:val="auto"/>
                <w:sz w:val="24"/>
                <w:szCs w:val="32"/>
                <w:highlight w:val="none"/>
                <w:lang w:val="en-US" w:eastAsia="zh-CN"/>
              </w:rPr>
              <w:t>21</w:t>
            </w:r>
            <w:r>
              <w:rPr>
                <w:rFonts w:hint="eastAsia" w:ascii="Times New Roman" w:hAnsi="Times New Roman" w:eastAsia="宋体" w:cs="Times New Roman"/>
                <w:color w:val="auto"/>
                <w:sz w:val="24"/>
                <w:szCs w:val="32"/>
                <w:highlight w:val="none"/>
                <w:lang w:val="en-US" w:eastAsia="zh-CN"/>
              </w:rPr>
              <w:t>台箱式变压器共占地</w:t>
            </w:r>
            <w:r>
              <w:rPr>
                <w:rFonts w:hint="eastAsia" w:ascii="Times New Roman" w:cs="Times New Roman"/>
                <w:color w:val="auto"/>
                <w:sz w:val="24"/>
                <w:szCs w:val="32"/>
                <w:highlight w:val="none"/>
                <w:lang w:val="en-US" w:eastAsia="zh-CN"/>
              </w:rPr>
              <w:t>794.9</w:t>
            </w:r>
            <w:r>
              <w:rPr>
                <w:rFonts w:hint="default" w:ascii="Times New Roman" w:hAnsi="Times New Roman" w:eastAsia="宋体" w:cs="Times New Roman"/>
                <w:color w:val="auto"/>
                <w:sz w:val="24"/>
                <w:szCs w:val="32"/>
                <w:highlight w:val="none"/>
                <w:lang w:val="en-US" w:eastAsia="zh-CN"/>
              </w:rPr>
              <w:t>m</w:t>
            </w:r>
            <w:r>
              <w:rPr>
                <w:rFonts w:hint="default" w:ascii="Times New Roman" w:hAnsi="Times New Roman" w:eastAsia="宋体" w:cs="Times New Roman"/>
                <w:color w:val="auto"/>
                <w:sz w:val="24"/>
                <w:szCs w:val="32"/>
                <w:highlight w:val="none"/>
                <w:vertAlign w:val="superscript"/>
                <w:lang w:val="en-US" w:eastAsia="zh-CN"/>
              </w:rPr>
              <w:t>2</w:t>
            </w:r>
            <w:r>
              <w:rPr>
                <w:rFonts w:hint="eastAsia" w:ascii="Times New Roman" w:hAnsi="Times New Roman" w:eastAsia="宋体" w:cs="Times New Roman"/>
                <w:color w:val="auto"/>
                <w:sz w:val="24"/>
                <w:szCs w:val="32"/>
                <w:highlight w:val="none"/>
                <w:lang w:val="en-US" w:eastAsia="zh-CN"/>
              </w:rPr>
              <w:t>。</w:t>
            </w:r>
          </w:p>
          <w:p w14:paraId="12787A1A">
            <w:pPr>
              <w:pStyle w:val="28"/>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sz w:val="24"/>
                <w:szCs w:val="32"/>
                <w:highlight w:val="none"/>
                <w:lang w:val="en-US" w:eastAsia="zh-CN"/>
              </w:rPr>
              <w:t>桩基础：光伏区桩基础采用</w:t>
            </w:r>
            <w:r>
              <w:rPr>
                <w:rFonts w:hint="eastAsia" w:ascii="Times New Roman" w:cs="Times New Roman"/>
                <w:color w:val="auto"/>
                <w:sz w:val="24"/>
                <w:szCs w:val="32"/>
                <w:highlight w:val="none"/>
                <w:lang w:val="en-US" w:eastAsia="zh-CN"/>
              </w:rPr>
              <w:t>15184</w:t>
            </w:r>
            <w:r>
              <w:rPr>
                <w:rFonts w:hint="eastAsia" w:ascii="Times New Roman" w:hAnsi="Times New Roman" w:eastAsia="宋体" w:cs="Times New Roman"/>
                <w:color w:val="auto"/>
                <w:sz w:val="24"/>
                <w:szCs w:val="32"/>
                <w:highlight w:val="none"/>
                <w:lang w:val="en-US" w:eastAsia="zh-CN"/>
              </w:rPr>
              <w:t>根</w:t>
            </w:r>
            <w:r>
              <w:rPr>
                <w:rFonts w:hint="default" w:ascii="Times New Roman" w:hAnsi="Times New Roman" w:eastAsia="宋体" w:cs="Times New Roman"/>
                <w:color w:val="auto"/>
                <w:sz w:val="24"/>
                <w:szCs w:val="32"/>
                <w:highlight w:val="none"/>
                <w:lang w:val="en-US" w:eastAsia="zh-CN"/>
              </w:rPr>
              <w:t>PHC300-B-70</w:t>
            </w:r>
            <w:r>
              <w:rPr>
                <w:rFonts w:hint="eastAsia" w:ascii="Times New Roman" w:hAnsi="Times New Roman" w:eastAsia="宋体" w:cs="Times New Roman"/>
                <w:color w:val="auto"/>
                <w:sz w:val="24"/>
                <w:szCs w:val="32"/>
                <w:highlight w:val="none"/>
                <w:lang w:val="en-US" w:eastAsia="zh-CN"/>
              </w:rPr>
              <w:t>型预制管桩基础。预制管桩基础单根占地</w:t>
            </w:r>
            <w:r>
              <w:rPr>
                <w:rFonts w:hint="default" w:ascii="Times New Roman" w:hAnsi="Times New Roman" w:eastAsia="宋体" w:cs="Times New Roman"/>
                <w:color w:val="auto"/>
                <w:sz w:val="24"/>
                <w:szCs w:val="32"/>
                <w:highlight w:val="none"/>
                <w:lang w:val="en-US" w:eastAsia="zh-CN"/>
              </w:rPr>
              <w:t>0.000007hm</w:t>
            </w:r>
            <w:r>
              <w:rPr>
                <w:rFonts w:hint="default" w:ascii="Times New Roman" w:hAnsi="Times New Roman" w:eastAsia="宋体" w:cs="Times New Roman"/>
                <w:color w:val="auto"/>
                <w:sz w:val="24"/>
                <w:szCs w:val="32"/>
                <w:highlight w:val="none"/>
                <w:vertAlign w:val="superscript"/>
                <w:lang w:val="en-US" w:eastAsia="zh-CN"/>
              </w:rPr>
              <w:t>2</w:t>
            </w:r>
            <w:r>
              <w:rPr>
                <w:rFonts w:hint="eastAsia" w:ascii="Times New Roman" w:hAnsi="Times New Roman" w:eastAsia="宋体" w:cs="Times New Roman"/>
                <w:color w:val="auto"/>
                <w:sz w:val="24"/>
                <w:szCs w:val="32"/>
                <w:highlight w:val="none"/>
                <w:lang w:val="en-US" w:eastAsia="zh-CN"/>
              </w:rPr>
              <w:t>，</w:t>
            </w:r>
            <w:r>
              <w:rPr>
                <w:rFonts w:hint="default" w:ascii="Times New Roman" w:hAnsi="Times New Roman" w:eastAsia="宋体" w:cs="Times New Roman"/>
                <w:color w:val="auto"/>
                <w:sz w:val="24"/>
                <w:szCs w:val="32"/>
                <w:highlight w:val="none"/>
                <w:lang w:val="en-US" w:eastAsia="zh-CN"/>
              </w:rPr>
              <w:t>15184</w:t>
            </w:r>
            <w:r>
              <w:rPr>
                <w:rFonts w:hint="eastAsia" w:ascii="Times New Roman" w:hAnsi="Times New Roman" w:eastAsia="宋体" w:cs="Times New Roman"/>
                <w:color w:val="auto"/>
                <w:sz w:val="24"/>
                <w:szCs w:val="32"/>
                <w:highlight w:val="none"/>
                <w:lang w:val="en-US" w:eastAsia="zh-CN"/>
              </w:rPr>
              <w:t>根共占地</w:t>
            </w:r>
            <w:r>
              <w:rPr>
                <w:rFonts w:hint="eastAsia" w:ascii="Times New Roman" w:cs="Times New Roman"/>
                <w:color w:val="auto"/>
                <w:sz w:val="24"/>
                <w:szCs w:val="32"/>
                <w:highlight w:val="none"/>
                <w:lang w:val="en-US" w:eastAsia="zh-CN"/>
              </w:rPr>
              <w:t>1062.88</w:t>
            </w:r>
            <w:r>
              <w:rPr>
                <w:rFonts w:hint="default" w:ascii="Times New Roman" w:hAnsi="Times New Roman" w:eastAsia="宋体" w:cs="Times New Roman"/>
                <w:color w:val="auto"/>
                <w:sz w:val="24"/>
                <w:szCs w:val="32"/>
                <w:highlight w:val="none"/>
                <w:lang w:val="en-US" w:eastAsia="zh-CN"/>
              </w:rPr>
              <w:t>m</w:t>
            </w:r>
            <w:r>
              <w:rPr>
                <w:rFonts w:hint="default" w:ascii="Times New Roman" w:hAnsi="Times New Roman" w:eastAsia="宋体" w:cs="Times New Roman"/>
                <w:color w:val="auto"/>
                <w:sz w:val="24"/>
                <w:szCs w:val="32"/>
                <w:highlight w:val="none"/>
                <w:vertAlign w:val="superscript"/>
                <w:lang w:val="en-US" w:eastAsia="zh-CN"/>
              </w:rPr>
              <w:t>2</w:t>
            </w:r>
            <w:r>
              <w:rPr>
                <w:rFonts w:hint="eastAsia" w:ascii="Times New Roman" w:hAnsi="Times New Roman" w:eastAsia="宋体" w:cs="Times New Roman"/>
                <w:color w:val="auto"/>
                <w:sz w:val="24"/>
                <w:szCs w:val="32"/>
                <w:highlight w:val="none"/>
                <w:lang w:val="en-US" w:eastAsia="zh-CN"/>
              </w:rPr>
              <w:t>。</w:t>
            </w:r>
          </w:p>
          <w:p w14:paraId="590D7DD4">
            <w:pPr>
              <w:pStyle w:val="28"/>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sz w:val="24"/>
                <w:szCs w:val="32"/>
                <w:highlight w:val="none"/>
                <w:lang w:val="en-US" w:eastAsia="zh-CN"/>
              </w:rPr>
              <w:t>道路工程：场内改造道路长度约为5.54km，道路路基宽为4.5m，路面宽为3.5m，路面结构采用15cm泥结碎石路面，占地</w:t>
            </w:r>
            <w:r>
              <w:rPr>
                <w:rFonts w:hint="default" w:ascii="Times New Roman" w:hAnsi="Times New Roman" w:eastAsia="宋体" w:cs="Times New Roman"/>
                <w:color w:val="auto"/>
                <w:sz w:val="24"/>
                <w:szCs w:val="32"/>
                <w:highlight w:val="none"/>
                <w:lang w:val="en-US" w:eastAsia="zh-CN"/>
              </w:rPr>
              <w:t>24930m</w:t>
            </w:r>
            <w:r>
              <w:rPr>
                <w:rFonts w:hint="default" w:ascii="Times New Roman" w:hAnsi="Times New Roman" w:eastAsia="宋体" w:cs="Times New Roman"/>
                <w:color w:val="auto"/>
                <w:sz w:val="24"/>
                <w:szCs w:val="32"/>
                <w:highlight w:val="none"/>
                <w:vertAlign w:val="superscript"/>
                <w:lang w:val="en-US" w:eastAsia="zh-CN"/>
              </w:rPr>
              <w:t>2</w:t>
            </w:r>
            <w:r>
              <w:rPr>
                <w:rFonts w:hint="eastAsia" w:ascii="Times New Roman" w:hAnsi="Times New Roman" w:eastAsia="宋体" w:cs="Times New Roman"/>
                <w:color w:val="auto"/>
                <w:sz w:val="24"/>
                <w:szCs w:val="32"/>
                <w:highlight w:val="none"/>
                <w:lang w:val="en-US" w:eastAsia="zh-CN"/>
              </w:rPr>
              <w:t>。</w:t>
            </w:r>
          </w:p>
          <w:p w14:paraId="216DBF0C">
            <w:pPr>
              <w:adjustRightInd w:val="0"/>
              <w:snapToGrid w:val="0"/>
              <w:ind w:firstLine="480" w:firstLineChars="200"/>
              <w:jc w:val="both"/>
              <w:rPr>
                <w:rFonts w:hint="default" w:ascii="Times New Roman" w:hAnsi="Times New Roman" w:eastAsia="宋体" w:cs="Times New Roman"/>
                <w:b/>
                <w:bCs/>
                <w:snapToGrid w:val="0"/>
                <w:color w:val="auto"/>
                <w:kern w:val="0"/>
                <w:szCs w:val="21"/>
                <w:highlight w:val="none"/>
                <w:lang w:val="en-US" w:eastAsia="zh-CN"/>
              </w:rPr>
            </w:pPr>
            <w:r>
              <w:rPr>
                <w:rFonts w:hint="eastAsia" w:ascii="Times New Roman" w:hAnsi="Times New Roman" w:eastAsia="宋体" w:cs="Times New Roman"/>
                <w:color w:val="auto"/>
                <w:kern w:val="2"/>
                <w:sz w:val="24"/>
                <w:szCs w:val="32"/>
                <w:highlight w:val="none"/>
                <w:lang w:val="en-US" w:eastAsia="zh-CN" w:bidi="ar-SA"/>
              </w:rPr>
              <w:t>②</w:t>
            </w:r>
            <w:r>
              <w:rPr>
                <w:rFonts w:hint="eastAsia" w:ascii="Times New Roman" w:cs="Times New Roman"/>
                <w:color w:val="auto"/>
                <w:sz w:val="24"/>
                <w:szCs w:val="32"/>
                <w:highlight w:val="none"/>
                <w:lang w:val="en-US" w:eastAsia="zh-CN"/>
              </w:rPr>
              <w:t>临时占地</w:t>
            </w:r>
          </w:p>
          <w:p w14:paraId="0EB7331A">
            <w:pPr>
              <w:adjustRightInd w:val="0"/>
              <w:snapToGrid w:val="0"/>
              <w:jc w:val="center"/>
              <w:rPr>
                <w:rFonts w:hint="eastAsia" w:ascii="Times New Roman" w:hAnsi="Times New Roman" w:eastAsia="宋体" w:cs="Times New Roman"/>
                <w:b/>
                <w:bCs/>
                <w:snapToGrid w:val="0"/>
                <w:color w:val="auto"/>
                <w:kern w:val="0"/>
                <w:szCs w:val="21"/>
                <w:highlight w:val="none"/>
                <w:lang w:val="en-US" w:eastAsia="zh-CN"/>
              </w:rPr>
            </w:pPr>
          </w:p>
          <w:p w14:paraId="770218BD">
            <w:pPr>
              <w:pStyle w:val="28"/>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sz w:val="24"/>
                <w:szCs w:val="32"/>
                <w:highlight w:val="none"/>
                <w:lang w:val="en-US" w:eastAsia="zh-CN"/>
              </w:rPr>
              <w:t>项目光伏阵列、直埋电缆为临时占地，占地面积为1016774.56</w:t>
            </w:r>
            <w:r>
              <w:rPr>
                <w:rFonts w:hint="default" w:ascii="Times New Roman" w:hAnsi="Times New Roman" w:eastAsia="宋体" w:cs="Times New Roman"/>
                <w:color w:val="auto"/>
                <w:sz w:val="24"/>
                <w:szCs w:val="32"/>
                <w:highlight w:val="none"/>
                <w:lang w:val="en-US" w:eastAsia="zh-CN"/>
              </w:rPr>
              <w:t>m</w:t>
            </w:r>
            <w:r>
              <w:rPr>
                <w:rFonts w:hint="default" w:ascii="Times New Roman" w:hAnsi="Times New Roman" w:eastAsia="宋体" w:cs="Times New Roman"/>
                <w:color w:val="auto"/>
                <w:sz w:val="24"/>
                <w:szCs w:val="32"/>
                <w:highlight w:val="none"/>
                <w:vertAlign w:val="superscript"/>
                <w:lang w:val="en-US" w:eastAsia="zh-CN"/>
              </w:rPr>
              <w:t>2</w:t>
            </w:r>
            <w:r>
              <w:rPr>
                <w:rFonts w:hint="eastAsia" w:ascii="Times New Roman" w:hAnsi="Times New Roman" w:eastAsia="宋体" w:cs="Times New Roman"/>
                <w:color w:val="auto"/>
                <w:sz w:val="24"/>
                <w:szCs w:val="32"/>
                <w:highlight w:val="none"/>
                <w:lang w:val="en-US" w:eastAsia="zh-CN"/>
              </w:rPr>
              <w:t xml:space="preserve">。 </w:t>
            </w:r>
          </w:p>
          <w:p w14:paraId="61617C54">
            <w:pPr>
              <w:pStyle w:val="28"/>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sz w:val="24"/>
                <w:szCs w:val="32"/>
                <w:highlight w:val="none"/>
                <w:lang w:val="en-US" w:eastAsia="zh-CN"/>
              </w:rPr>
              <w:t>光伏阵列：项目光伏场区设置采用</w:t>
            </w:r>
            <w:r>
              <w:rPr>
                <w:rFonts w:hint="eastAsia" w:ascii="Times New Roman" w:cs="Times New Roman"/>
                <w:color w:val="auto"/>
                <w:sz w:val="24"/>
                <w:szCs w:val="32"/>
                <w:highlight w:val="none"/>
                <w:lang w:val="en-US" w:eastAsia="zh-CN"/>
              </w:rPr>
              <w:t>106288</w:t>
            </w:r>
            <w:r>
              <w:rPr>
                <w:rFonts w:hint="eastAsia" w:ascii="Times New Roman" w:hAnsi="Times New Roman" w:eastAsia="宋体" w:cs="Times New Roman"/>
                <w:color w:val="auto"/>
                <w:sz w:val="24"/>
                <w:szCs w:val="32"/>
                <w:highlight w:val="none"/>
                <w:lang w:val="en-US" w:eastAsia="zh-CN"/>
              </w:rPr>
              <w:t>块</w:t>
            </w:r>
            <w:r>
              <w:rPr>
                <w:rFonts w:hint="default" w:ascii="Times New Roman" w:hAnsi="Times New Roman" w:eastAsia="宋体" w:cs="Times New Roman"/>
                <w:color w:val="auto"/>
                <w:sz w:val="24"/>
                <w:szCs w:val="32"/>
                <w:highlight w:val="none"/>
                <w:lang w:val="en-US" w:eastAsia="zh-CN"/>
              </w:rPr>
              <w:t>N</w:t>
            </w:r>
            <w:r>
              <w:rPr>
                <w:rFonts w:hint="eastAsia" w:ascii="Times New Roman" w:hAnsi="Times New Roman" w:eastAsia="宋体" w:cs="Times New Roman"/>
                <w:color w:val="auto"/>
                <w:sz w:val="24"/>
                <w:szCs w:val="32"/>
                <w:highlight w:val="none"/>
                <w:lang w:val="en-US" w:eastAsia="zh-CN"/>
              </w:rPr>
              <w:t>型</w:t>
            </w:r>
            <w:r>
              <w:rPr>
                <w:rFonts w:hint="eastAsia" w:ascii="Times New Roman" w:cs="Times New Roman"/>
                <w:color w:val="auto"/>
                <w:sz w:val="24"/>
                <w:szCs w:val="32"/>
                <w:highlight w:val="none"/>
                <w:lang w:val="en-US" w:eastAsia="zh-CN"/>
              </w:rPr>
              <w:t>680</w:t>
            </w:r>
            <w:r>
              <w:rPr>
                <w:rFonts w:hint="default" w:ascii="Times New Roman" w:hAnsi="Times New Roman" w:eastAsia="宋体" w:cs="Times New Roman"/>
                <w:color w:val="auto"/>
                <w:sz w:val="24"/>
                <w:szCs w:val="32"/>
                <w:highlight w:val="none"/>
                <w:lang w:val="en-US" w:eastAsia="zh-CN"/>
              </w:rPr>
              <w:t xml:space="preserve">Wp </w:t>
            </w:r>
            <w:r>
              <w:rPr>
                <w:rFonts w:hint="eastAsia" w:ascii="Times New Roman" w:hAnsi="Times New Roman" w:eastAsia="宋体" w:cs="Times New Roman"/>
                <w:color w:val="auto"/>
                <w:sz w:val="24"/>
                <w:szCs w:val="32"/>
                <w:highlight w:val="none"/>
                <w:lang w:val="en-US" w:eastAsia="zh-CN"/>
              </w:rPr>
              <w:t>单晶硅双面双玻光伏组件和</w:t>
            </w:r>
            <w:r>
              <w:rPr>
                <w:rFonts w:hint="eastAsia" w:ascii="Times New Roman" w:cs="Times New Roman"/>
                <w:color w:val="auto"/>
                <w:sz w:val="24"/>
                <w:szCs w:val="32"/>
                <w:highlight w:val="none"/>
                <w:lang w:val="en-US" w:eastAsia="zh-CN"/>
              </w:rPr>
              <w:t>200</w:t>
            </w:r>
            <w:r>
              <w:rPr>
                <w:rFonts w:hint="eastAsia" w:ascii="Times New Roman" w:hAnsi="Times New Roman" w:eastAsia="宋体" w:cs="Times New Roman"/>
                <w:color w:val="auto"/>
                <w:sz w:val="24"/>
                <w:szCs w:val="32"/>
                <w:highlight w:val="none"/>
                <w:lang w:val="en-US" w:eastAsia="zh-CN"/>
              </w:rPr>
              <w:t>台</w:t>
            </w:r>
            <w:r>
              <w:rPr>
                <w:rFonts w:hint="default" w:ascii="Times New Roman" w:hAnsi="Times New Roman" w:eastAsia="宋体" w:cs="Times New Roman"/>
                <w:color w:val="auto"/>
                <w:sz w:val="24"/>
                <w:szCs w:val="32"/>
                <w:highlight w:val="none"/>
                <w:lang w:val="en-US" w:eastAsia="zh-CN"/>
              </w:rPr>
              <w:t>300kW</w:t>
            </w:r>
            <w:r>
              <w:rPr>
                <w:rFonts w:hint="eastAsia" w:ascii="Times New Roman" w:hAnsi="Times New Roman" w:eastAsia="宋体" w:cs="Times New Roman"/>
                <w:color w:val="auto"/>
                <w:sz w:val="24"/>
                <w:szCs w:val="32"/>
                <w:highlight w:val="none"/>
                <w:lang w:val="en-US" w:eastAsia="zh-CN"/>
              </w:rPr>
              <w:t>组串式逆变器</w:t>
            </w:r>
            <w:r>
              <w:rPr>
                <w:rFonts w:hint="eastAsia" w:ascii="Times New Roman" w:cs="Times New Roman"/>
                <w:color w:val="auto"/>
                <w:sz w:val="24"/>
                <w:szCs w:val="32"/>
                <w:highlight w:val="none"/>
                <w:lang w:val="en-US" w:eastAsia="zh-CN"/>
              </w:rPr>
              <w:t>，</w:t>
            </w:r>
            <w:r>
              <w:rPr>
                <w:rFonts w:hint="eastAsia" w:ascii="Times New Roman" w:hAnsi="Times New Roman" w:eastAsia="宋体" w:cs="Times New Roman"/>
                <w:color w:val="auto"/>
                <w:sz w:val="24"/>
                <w:szCs w:val="32"/>
                <w:highlight w:val="none"/>
                <w:lang w:val="en-US" w:eastAsia="zh-CN"/>
              </w:rPr>
              <w:t>临时占地962174.56</w:t>
            </w:r>
            <w:r>
              <w:rPr>
                <w:rFonts w:hint="default" w:ascii="Times New Roman" w:hAnsi="Times New Roman" w:eastAsia="宋体" w:cs="Times New Roman"/>
                <w:color w:val="auto"/>
                <w:sz w:val="24"/>
                <w:szCs w:val="32"/>
                <w:highlight w:val="none"/>
                <w:lang w:val="en-US" w:eastAsia="zh-CN"/>
              </w:rPr>
              <w:t>m</w:t>
            </w:r>
            <w:r>
              <w:rPr>
                <w:rFonts w:hint="default" w:ascii="Times New Roman" w:hAnsi="Times New Roman" w:eastAsia="宋体" w:cs="Times New Roman"/>
                <w:color w:val="auto"/>
                <w:sz w:val="24"/>
                <w:szCs w:val="32"/>
                <w:highlight w:val="none"/>
                <w:vertAlign w:val="superscript"/>
                <w:lang w:val="en-US" w:eastAsia="zh-CN"/>
              </w:rPr>
              <w:t>2</w:t>
            </w:r>
            <w:r>
              <w:rPr>
                <w:rFonts w:hint="eastAsia" w:ascii="Times New Roman" w:hAnsi="Times New Roman" w:eastAsia="宋体" w:cs="Times New Roman"/>
                <w:color w:val="auto"/>
                <w:sz w:val="24"/>
                <w:szCs w:val="32"/>
                <w:highlight w:val="none"/>
                <w:lang w:val="en-US" w:eastAsia="zh-CN"/>
              </w:rPr>
              <w:t xml:space="preserve">。 </w:t>
            </w:r>
          </w:p>
          <w:p w14:paraId="43C86578">
            <w:pPr>
              <w:pStyle w:val="28"/>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b/>
                <w:bCs/>
                <w:snapToGrid w:val="0"/>
                <w:color w:val="auto"/>
                <w:kern w:val="0"/>
                <w:szCs w:val="21"/>
                <w:highlight w:val="none"/>
                <w:lang w:val="en-US" w:eastAsia="zh-CN"/>
              </w:rPr>
            </w:pPr>
            <w:r>
              <w:rPr>
                <w:rFonts w:hint="eastAsia" w:ascii="Times New Roman" w:hAnsi="Times New Roman" w:eastAsia="宋体" w:cs="Times New Roman"/>
                <w:color w:val="auto"/>
                <w:sz w:val="24"/>
                <w:szCs w:val="32"/>
                <w:highlight w:val="none"/>
                <w:lang w:val="en-US" w:eastAsia="zh-CN"/>
              </w:rPr>
              <w:t>直埋电缆：项目直埋电缆长</w:t>
            </w:r>
            <w:r>
              <w:rPr>
                <w:rFonts w:hint="eastAsia" w:ascii="Times New Roman" w:cs="Times New Roman"/>
                <w:color w:val="auto"/>
                <w:sz w:val="24"/>
                <w:szCs w:val="32"/>
                <w:highlight w:val="none"/>
                <w:lang w:val="en-US" w:eastAsia="zh-CN"/>
              </w:rPr>
              <w:t>27.3</w:t>
            </w:r>
            <w:r>
              <w:rPr>
                <w:rFonts w:hint="default" w:ascii="Times New Roman" w:hAnsi="Times New Roman" w:eastAsia="宋体" w:cs="Times New Roman"/>
                <w:color w:val="auto"/>
                <w:sz w:val="24"/>
                <w:szCs w:val="32"/>
                <w:highlight w:val="none"/>
                <w:lang w:val="en-US" w:eastAsia="zh-CN"/>
              </w:rPr>
              <w:t>km</w:t>
            </w:r>
            <w:r>
              <w:rPr>
                <w:rFonts w:hint="eastAsia" w:ascii="Times New Roman" w:hAnsi="Times New Roman" w:eastAsia="宋体" w:cs="Times New Roman"/>
                <w:color w:val="auto"/>
                <w:sz w:val="24"/>
                <w:szCs w:val="32"/>
                <w:highlight w:val="none"/>
                <w:lang w:val="en-US" w:eastAsia="zh-CN"/>
              </w:rPr>
              <w:t>，</w:t>
            </w:r>
            <w:r>
              <w:rPr>
                <w:rFonts w:hint="eastAsia" w:ascii="Times New Roman" w:cs="Times New Roman"/>
                <w:color w:val="auto"/>
                <w:sz w:val="24"/>
                <w:szCs w:val="32"/>
                <w:highlight w:val="none"/>
                <w:lang w:val="en-US" w:eastAsia="zh-CN"/>
              </w:rPr>
              <w:t>临时</w:t>
            </w:r>
            <w:r>
              <w:rPr>
                <w:rFonts w:hint="eastAsia" w:ascii="Times New Roman" w:hAnsi="Times New Roman" w:eastAsia="宋体" w:cs="Times New Roman"/>
                <w:color w:val="auto"/>
                <w:sz w:val="24"/>
                <w:szCs w:val="32"/>
                <w:highlight w:val="none"/>
                <w:lang w:val="en-US" w:eastAsia="zh-CN"/>
              </w:rPr>
              <w:t>占地</w:t>
            </w:r>
            <w:r>
              <w:rPr>
                <w:rFonts w:hint="eastAsia" w:ascii="Times New Roman" w:cs="Times New Roman"/>
                <w:color w:val="auto"/>
                <w:sz w:val="24"/>
                <w:szCs w:val="32"/>
                <w:highlight w:val="none"/>
                <w:lang w:val="en-US" w:eastAsia="zh-CN"/>
              </w:rPr>
              <w:t>54600</w:t>
            </w:r>
            <w:r>
              <w:rPr>
                <w:rFonts w:hint="default" w:ascii="Times New Roman" w:hAnsi="Times New Roman" w:eastAsia="宋体" w:cs="Times New Roman"/>
                <w:color w:val="auto"/>
                <w:sz w:val="24"/>
                <w:szCs w:val="32"/>
                <w:highlight w:val="none"/>
                <w:lang w:val="en-US" w:eastAsia="zh-CN"/>
              </w:rPr>
              <w:t>m</w:t>
            </w:r>
            <w:r>
              <w:rPr>
                <w:rFonts w:hint="default" w:ascii="Times New Roman" w:hAnsi="Times New Roman" w:eastAsia="宋体" w:cs="Times New Roman"/>
                <w:color w:val="auto"/>
                <w:sz w:val="24"/>
                <w:szCs w:val="32"/>
                <w:highlight w:val="none"/>
                <w:vertAlign w:val="superscript"/>
                <w:lang w:val="en-US" w:eastAsia="zh-CN"/>
              </w:rPr>
              <w:t>2</w:t>
            </w:r>
            <w:r>
              <w:rPr>
                <w:rFonts w:hint="eastAsia" w:ascii="Times New Roman" w:hAnsi="Times New Roman" w:eastAsia="宋体" w:cs="Times New Roman"/>
                <w:color w:val="auto"/>
                <w:sz w:val="24"/>
                <w:szCs w:val="32"/>
                <w:highlight w:val="none"/>
                <w:lang w:val="en-US" w:eastAsia="zh-CN"/>
              </w:rPr>
              <w:t xml:space="preserve">。 </w:t>
            </w:r>
          </w:p>
          <w:p w14:paraId="103AF076">
            <w:pPr>
              <w:adjustRightInd w:val="0"/>
              <w:snapToGrid w:val="0"/>
              <w:jc w:val="center"/>
              <w:rPr>
                <w:rFonts w:hint="eastAsia" w:ascii="Times New Roman" w:hAnsi="Times New Roman" w:eastAsia="宋体" w:cs="Times New Roman"/>
                <w:b/>
                <w:bCs/>
                <w:snapToGrid w:val="0"/>
                <w:color w:val="auto"/>
                <w:kern w:val="0"/>
                <w:szCs w:val="21"/>
                <w:highlight w:val="none"/>
                <w:lang w:val="en-US" w:eastAsia="zh-CN"/>
              </w:rPr>
            </w:pPr>
            <w:r>
              <w:rPr>
                <w:rFonts w:hint="eastAsia" w:ascii="Times New Roman" w:hAnsi="Times New Roman" w:eastAsia="宋体" w:cs="Times New Roman"/>
                <w:b/>
                <w:bCs/>
                <w:snapToGrid w:val="0"/>
                <w:color w:val="auto"/>
                <w:kern w:val="0"/>
                <w:szCs w:val="21"/>
                <w:highlight w:val="none"/>
                <w:lang w:val="en-US" w:eastAsia="zh-CN"/>
              </w:rPr>
              <w:t xml:space="preserve">表2-5  永久占地和临时占地情况 </w:t>
            </w:r>
            <w:r>
              <w:rPr>
                <w:rFonts w:hint="default" w:ascii="Times New Roman" w:hAnsi="Times New Roman" w:eastAsia="宋体" w:cs="Times New Roman"/>
                <w:b/>
                <w:bCs/>
                <w:snapToGrid w:val="0"/>
                <w:color w:val="auto"/>
                <w:kern w:val="0"/>
                <w:szCs w:val="21"/>
                <w:highlight w:val="none"/>
                <w:lang w:val="en-US" w:eastAsia="zh-CN"/>
              </w:rPr>
              <w:t>单位：</w:t>
            </w:r>
            <w:r>
              <w:rPr>
                <w:rFonts w:hint="default" w:ascii="Times New Roman" w:hAnsi="Times New Roman" w:eastAsia="宋体" w:cs="Times New Roman"/>
                <w:b/>
                <w:bCs/>
                <w:color w:val="auto"/>
                <w:szCs w:val="21"/>
                <w:highlight w:val="none"/>
              </w:rPr>
              <w:t>m</w:t>
            </w:r>
            <w:r>
              <w:rPr>
                <w:rFonts w:hint="eastAsia" w:ascii="Times New Roman" w:hAnsi="Times New Roman" w:eastAsia="宋体" w:cs="Times New Roman"/>
                <w:b/>
                <w:bCs/>
                <w:color w:val="auto"/>
                <w:szCs w:val="21"/>
                <w:highlight w:val="none"/>
                <w:vertAlign w:val="superscript"/>
                <w:lang w:val="en-US" w:eastAsia="zh-CN"/>
              </w:rPr>
              <w:t>2</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13"/>
              <w:gridCol w:w="722"/>
              <w:gridCol w:w="5"/>
              <w:gridCol w:w="1988"/>
              <w:gridCol w:w="1641"/>
              <w:gridCol w:w="1532"/>
              <w:gridCol w:w="1532"/>
            </w:tblGrid>
            <w:tr w14:paraId="06B6B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47" w:type="pct"/>
                  <w:noWrap w:val="0"/>
                  <w:tcMar>
                    <w:top w:w="15" w:type="dxa"/>
                    <w:left w:w="15" w:type="dxa"/>
                    <w:right w:w="15" w:type="dxa"/>
                  </w:tcMar>
                  <w:vAlign w:val="center"/>
                </w:tcPr>
                <w:p w14:paraId="7F9382D1">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占地性质</w:t>
                  </w:r>
                </w:p>
              </w:tc>
              <w:tc>
                <w:tcPr>
                  <w:tcW w:w="1518" w:type="pct"/>
                  <w:gridSpan w:val="3"/>
                  <w:noWrap w:val="0"/>
                  <w:tcMar>
                    <w:top w:w="15" w:type="dxa"/>
                    <w:left w:w="15" w:type="dxa"/>
                    <w:right w:w="15" w:type="dxa"/>
                  </w:tcMar>
                  <w:vAlign w:val="center"/>
                </w:tcPr>
                <w:p w14:paraId="02D9BA07">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工程内容</w:t>
                  </w:r>
                </w:p>
              </w:tc>
              <w:tc>
                <w:tcPr>
                  <w:tcW w:w="918" w:type="pct"/>
                  <w:noWrap w:val="0"/>
                  <w:tcMar>
                    <w:top w:w="15" w:type="dxa"/>
                    <w:left w:w="15" w:type="dxa"/>
                    <w:right w:w="15" w:type="dxa"/>
                  </w:tcMar>
                  <w:vAlign w:val="center"/>
                </w:tcPr>
                <w:p w14:paraId="15A4DE46">
                  <w:pPr>
                    <w:keepNext w:val="0"/>
                    <w:keepLines w:val="0"/>
                    <w:widowControl/>
                    <w:suppressLineNumbers w:val="0"/>
                    <w:jc w:val="center"/>
                    <w:textAlignment w:val="center"/>
                    <w:rPr>
                      <w:rFonts w:hint="default"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果园/其他园地</w:t>
                  </w:r>
                </w:p>
              </w:tc>
              <w:tc>
                <w:tcPr>
                  <w:tcW w:w="857" w:type="pct"/>
                  <w:noWrap w:val="0"/>
                  <w:tcMar>
                    <w:top w:w="15" w:type="dxa"/>
                    <w:left w:w="15" w:type="dxa"/>
                    <w:right w:w="15" w:type="dxa"/>
                  </w:tcMar>
                  <w:vAlign w:val="center"/>
                </w:tcPr>
                <w:p w14:paraId="1FCA99EE">
                  <w:pPr>
                    <w:keepNext w:val="0"/>
                    <w:keepLines w:val="0"/>
                    <w:widowControl/>
                    <w:suppressLineNumbers w:val="0"/>
                    <w:jc w:val="center"/>
                    <w:textAlignment w:val="center"/>
                    <w:rPr>
                      <w:rFonts w:hint="default"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农村道路</w:t>
                  </w:r>
                </w:p>
              </w:tc>
              <w:tc>
                <w:tcPr>
                  <w:tcW w:w="857" w:type="pct"/>
                  <w:noWrap w:val="0"/>
                  <w:tcMar>
                    <w:top w:w="15" w:type="dxa"/>
                    <w:left w:w="15" w:type="dxa"/>
                    <w:right w:w="15" w:type="dxa"/>
                  </w:tcMar>
                  <w:vAlign w:val="center"/>
                </w:tcPr>
                <w:p w14:paraId="0EB0A554">
                  <w:pPr>
                    <w:keepNext w:val="0"/>
                    <w:keepLines w:val="0"/>
                    <w:widowControl/>
                    <w:suppressLineNumbers w:val="0"/>
                    <w:jc w:val="center"/>
                    <w:textAlignment w:val="center"/>
                    <w:rPr>
                      <w:rFonts w:hint="default"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合计</w:t>
                  </w:r>
                </w:p>
              </w:tc>
            </w:tr>
            <w:tr w14:paraId="1F102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7" w:type="pct"/>
                  <w:vMerge w:val="restart"/>
                  <w:noWrap w:val="0"/>
                  <w:tcMar>
                    <w:top w:w="15" w:type="dxa"/>
                    <w:left w:w="15" w:type="dxa"/>
                    <w:right w:w="15" w:type="dxa"/>
                  </w:tcMar>
                  <w:vAlign w:val="center"/>
                </w:tcPr>
                <w:p w14:paraId="56918BD8">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永久占地</w:t>
                  </w:r>
                </w:p>
              </w:tc>
              <w:tc>
                <w:tcPr>
                  <w:tcW w:w="404" w:type="pct"/>
                  <w:vMerge w:val="restart"/>
                  <w:noWrap w:val="0"/>
                  <w:tcMar>
                    <w:top w:w="15" w:type="dxa"/>
                    <w:left w:w="15" w:type="dxa"/>
                    <w:right w:w="15" w:type="dxa"/>
                  </w:tcMar>
                  <w:vAlign w:val="center"/>
                </w:tcPr>
                <w:p w14:paraId="41F1509F">
                  <w:pPr>
                    <w:keepNext w:val="0"/>
                    <w:keepLines w:val="0"/>
                    <w:widowControl/>
                    <w:suppressLineNumbers w:val="0"/>
                    <w:jc w:val="both"/>
                    <w:textAlignment w:val="center"/>
                    <w:rPr>
                      <w:rFonts w:hint="eastAsia" w:ascii="宋体" w:hAnsi="宋体" w:eastAsia="宋体" w:cs="宋体"/>
                      <w:i w:val="0"/>
                      <w:color w:val="auto"/>
                      <w:kern w:val="0"/>
                      <w:sz w:val="21"/>
                      <w:szCs w:val="21"/>
                      <w:highlight w:val="none"/>
                      <w:u w:val="none"/>
                      <w:lang w:val="en-US" w:eastAsia="zh-CN" w:bidi="ar"/>
                    </w:rPr>
                  </w:pPr>
                </w:p>
                <w:p w14:paraId="2F19824D">
                  <w:pPr>
                    <w:keepNext w:val="0"/>
                    <w:keepLines w:val="0"/>
                    <w:widowControl/>
                    <w:suppressLineNumbers w:val="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光伏区</w:t>
                  </w:r>
                </w:p>
              </w:tc>
              <w:tc>
                <w:tcPr>
                  <w:tcW w:w="1113" w:type="pct"/>
                  <w:gridSpan w:val="2"/>
                  <w:noWrap w:val="0"/>
                  <w:tcMar>
                    <w:top w:w="15" w:type="dxa"/>
                    <w:left w:w="15" w:type="dxa"/>
                    <w:right w:w="15" w:type="dxa"/>
                  </w:tcMar>
                  <w:vAlign w:val="center"/>
                </w:tcPr>
                <w:p w14:paraId="237D55B8">
                  <w:pPr>
                    <w:keepNext w:val="0"/>
                    <w:keepLines w:val="0"/>
                    <w:widowControl/>
                    <w:suppressLineNumbers w:val="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桩基础</w:t>
                  </w:r>
                </w:p>
              </w:tc>
              <w:tc>
                <w:tcPr>
                  <w:tcW w:w="1645" w:type="dxa"/>
                  <w:noWrap w:val="0"/>
                  <w:tcMar>
                    <w:top w:w="15" w:type="dxa"/>
                    <w:left w:w="15" w:type="dxa"/>
                    <w:right w:w="15" w:type="dxa"/>
                  </w:tcMar>
                  <w:vAlign w:val="center"/>
                </w:tcPr>
                <w:p w14:paraId="4C228A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1062.88</w:t>
                  </w:r>
                </w:p>
              </w:tc>
              <w:tc>
                <w:tcPr>
                  <w:tcW w:w="1536" w:type="dxa"/>
                  <w:noWrap w:val="0"/>
                  <w:tcMar>
                    <w:top w:w="15" w:type="dxa"/>
                    <w:left w:w="15" w:type="dxa"/>
                    <w:right w:w="15" w:type="dxa"/>
                  </w:tcMar>
                  <w:vAlign w:val="center"/>
                </w:tcPr>
                <w:p w14:paraId="068F72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536" w:type="dxa"/>
                  <w:noWrap w:val="0"/>
                  <w:tcMar>
                    <w:top w:w="15" w:type="dxa"/>
                    <w:left w:w="15" w:type="dxa"/>
                    <w:right w:w="15" w:type="dxa"/>
                  </w:tcMar>
                  <w:vAlign w:val="center"/>
                </w:tcPr>
                <w:p w14:paraId="359A1A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1062.88</w:t>
                  </w:r>
                </w:p>
              </w:tc>
            </w:tr>
            <w:tr w14:paraId="2DE4A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7" w:type="pct"/>
                  <w:vMerge w:val="continue"/>
                  <w:noWrap w:val="0"/>
                  <w:tcMar>
                    <w:top w:w="15" w:type="dxa"/>
                    <w:left w:w="15" w:type="dxa"/>
                    <w:right w:w="15" w:type="dxa"/>
                  </w:tcMar>
                  <w:vAlign w:val="center"/>
                </w:tcPr>
                <w:p w14:paraId="790D59C7">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lang w:val="en-US" w:eastAsia="zh-CN"/>
                    </w:rPr>
                  </w:pPr>
                </w:p>
              </w:tc>
              <w:tc>
                <w:tcPr>
                  <w:tcW w:w="404" w:type="pct"/>
                  <w:vMerge w:val="continue"/>
                  <w:noWrap w:val="0"/>
                  <w:tcMar>
                    <w:top w:w="15" w:type="dxa"/>
                    <w:left w:w="15" w:type="dxa"/>
                    <w:right w:w="15" w:type="dxa"/>
                  </w:tcMar>
                  <w:vAlign w:val="center"/>
                </w:tcPr>
                <w:p w14:paraId="7A3DE4D2">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p>
              </w:tc>
              <w:tc>
                <w:tcPr>
                  <w:tcW w:w="1113" w:type="pct"/>
                  <w:gridSpan w:val="2"/>
                  <w:noWrap w:val="0"/>
                  <w:tcMar>
                    <w:top w:w="15" w:type="dxa"/>
                    <w:left w:w="15" w:type="dxa"/>
                    <w:right w:w="15" w:type="dxa"/>
                  </w:tcMar>
                  <w:vAlign w:val="center"/>
                </w:tcPr>
                <w:p w14:paraId="584C9888">
                  <w:pPr>
                    <w:keepNext w:val="0"/>
                    <w:keepLines w:val="0"/>
                    <w:widowControl/>
                    <w:suppressLineNumbers w:val="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箱变基础</w:t>
                  </w:r>
                </w:p>
              </w:tc>
              <w:tc>
                <w:tcPr>
                  <w:tcW w:w="1645" w:type="dxa"/>
                  <w:noWrap w:val="0"/>
                  <w:tcMar>
                    <w:top w:w="15" w:type="dxa"/>
                    <w:left w:w="15" w:type="dxa"/>
                    <w:right w:w="15" w:type="dxa"/>
                  </w:tcMar>
                  <w:vAlign w:val="center"/>
                </w:tcPr>
                <w:p w14:paraId="525951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794.9</w:t>
                  </w:r>
                </w:p>
              </w:tc>
              <w:tc>
                <w:tcPr>
                  <w:tcW w:w="1536" w:type="dxa"/>
                  <w:noWrap w:val="0"/>
                  <w:tcMar>
                    <w:top w:w="15" w:type="dxa"/>
                    <w:left w:w="15" w:type="dxa"/>
                    <w:right w:w="15" w:type="dxa"/>
                  </w:tcMar>
                  <w:vAlign w:val="center"/>
                </w:tcPr>
                <w:p w14:paraId="72893D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536" w:type="dxa"/>
                  <w:noWrap w:val="0"/>
                  <w:tcMar>
                    <w:top w:w="15" w:type="dxa"/>
                    <w:left w:w="15" w:type="dxa"/>
                    <w:right w:w="15" w:type="dxa"/>
                  </w:tcMar>
                  <w:vAlign w:val="center"/>
                </w:tcPr>
                <w:p w14:paraId="1BD648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794.9</w:t>
                  </w:r>
                </w:p>
              </w:tc>
            </w:tr>
            <w:tr w14:paraId="5A16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7" w:type="pct"/>
                  <w:vMerge w:val="continue"/>
                  <w:noWrap w:val="0"/>
                  <w:tcMar>
                    <w:top w:w="15" w:type="dxa"/>
                    <w:left w:w="15" w:type="dxa"/>
                    <w:right w:w="15" w:type="dxa"/>
                  </w:tcMar>
                  <w:vAlign w:val="center"/>
                </w:tcPr>
                <w:p w14:paraId="1768156D">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lang w:val="en-US" w:eastAsia="zh-CN"/>
                    </w:rPr>
                  </w:pPr>
                </w:p>
              </w:tc>
              <w:tc>
                <w:tcPr>
                  <w:tcW w:w="407" w:type="pct"/>
                  <w:gridSpan w:val="2"/>
                  <w:noWrap w:val="0"/>
                  <w:tcMar>
                    <w:top w:w="15" w:type="dxa"/>
                    <w:left w:w="15" w:type="dxa"/>
                    <w:right w:w="15" w:type="dxa"/>
                  </w:tcMar>
                  <w:vAlign w:val="center"/>
                </w:tcPr>
                <w:p w14:paraId="09A32BDA">
                  <w:pPr>
                    <w:keepNext w:val="0"/>
                    <w:keepLines w:val="0"/>
                    <w:widowControl/>
                    <w:suppressLineNumbers w:val="0"/>
                    <w:jc w:val="center"/>
                    <w:textAlignment w:val="center"/>
                    <w:rPr>
                      <w:rFonts w:hint="default" w:ascii="宋体" w:hAnsi="宋体" w:eastAsia="宋体" w:cs="宋体"/>
                      <w:i w:val="0"/>
                      <w:color w:val="auto"/>
                      <w:kern w:val="0"/>
                      <w:sz w:val="21"/>
                      <w:szCs w:val="21"/>
                      <w:highlight w:val="none"/>
                      <w:u w:val="none"/>
                      <w:lang w:val="en-US" w:eastAsia="zh-CN" w:bidi="ar"/>
                    </w:rPr>
                  </w:pPr>
                </w:p>
              </w:tc>
              <w:tc>
                <w:tcPr>
                  <w:tcW w:w="1110" w:type="pct"/>
                  <w:noWrap w:val="0"/>
                  <w:tcMar>
                    <w:top w:w="15" w:type="dxa"/>
                    <w:left w:w="15" w:type="dxa"/>
                    <w:right w:w="15" w:type="dxa"/>
                  </w:tcMar>
                  <w:vAlign w:val="center"/>
                </w:tcPr>
                <w:p w14:paraId="02FC2A18">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检修道路（</w:t>
                  </w:r>
                  <w:r>
                    <w:rPr>
                      <w:rFonts w:hint="eastAsia" w:ascii="Times New Roman" w:hAnsi="Times New Roman" w:eastAsia="宋体" w:cs="Times New Roman"/>
                      <w:i w:val="0"/>
                      <w:iCs w:val="0"/>
                      <w:color w:val="auto"/>
                      <w:kern w:val="0"/>
                      <w:sz w:val="21"/>
                      <w:szCs w:val="21"/>
                      <w:highlight w:val="none"/>
                      <w:u w:val="none"/>
                      <w:lang w:val="en-US" w:eastAsia="zh-CN" w:bidi="ar"/>
                    </w:rPr>
                    <w:t>改造</w:t>
                  </w:r>
                  <w:r>
                    <w:rPr>
                      <w:rFonts w:hint="eastAsia" w:ascii="宋体" w:hAnsi="宋体" w:eastAsia="宋体" w:cs="宋体"/>
                      <w:i w:val="0"/>
                      <w:color w:val="auto"/>
                      <w:kern w:val="0"/>
                      <w:sz w:val="21"/>
                      <w:szCs w:val="21"/>
                      <w:highlight w:val="none"/>
                      <w:u w:val="none"/>
                      <w:lang w:val="en-US" w:eastAsia="zh-CN" w:bidi="ar"/>
                    </w:rPr>
                    <w:t>）</w:t>
                  </w:r>
                </w:p>
              </w:tc>
              <w:tc>
                <w:tcPr>
                  <w:tcW w:w="1645" w:type="dxa"/>
                  <w:noWrap w:val="0"/>
                  <w:tcMar>
                    <w:top w:w="15" w:type="dxa"/>
                    <w:left w:w="15" w:type="dxa"/>
                    <w:right w:w="15" w:type="dxa"/>
                  </w:tcMar>
                  <w:vAlign w:val="center"/>
                </w:tcPr>
                <w:p w14:paraId="43A3C0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536" w:type="dxa"/>
                  <w:noWrap w:val="0"/>
                  <w:tcMar>
                    <w:top w:w="15" w:type="dxa"/>
                    <w:left w:w="15" w:type="dxa"/>
                    <w:right w:w="15" w:type="dxa"/>
                  </w:tcMar>
                  <w:vAlign w:val="center"/>
                </w:tcPr>
                <w:p w14:paraId="3921C5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24930</w:t>
                  </w:r>
                </w:p>
              </w:tc>
              <w:tc>
                <w:tcPr>
                  <w:tcW w:w="1536" w:type="dxa"/>
                  <w:noWrap w:val="0"/>
                  <w:tcMar>
                    <w:top w:w="15" w:type="dxa"/>
                    <w:left w:w="15" w:type="dxa"/>
                    <w:right w:w="15" w:type="dxa"/>
                  </w:tcMar>
                  <w:vAlign w:val="center"/>
                </w:tcPr>
                <w:p w14:paraId="1E8E69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24930</w:t>
                  </w:r>
                </w:p>
              </w:tc>
            </w:tr>
            <w:tr w14:paraId="7CB31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847" w:type="pct"/>
                  <w:vMerge w:val="restart"/>
                  <w:noWrap w:val="0"/>
                  <w:tcMar>
                    <w:top w:w="15" w:type="dxa"/>
                    <w:left w:w="15" w:type="dxa"/>
                    <w:right w:w="15" w:type="dxa"/>
                  </w:tcMar>
                  <w:vAlign w:val="center"/>
                </w:tcPr>
                <w:p w14:paraId="4DB65EB1">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临时占地</w:t>
                  </w:r>
                </w:p>
              </w:tc>
              <w:tc>
                <w:tcPr>
                  <w:tcW w:w="407" w:type="pct"/>
                  <w:gridSpan w:val="2"/>
                  <w:vMerge w:val="restart"/>
                  <w:noWrap w:val="0"/>
                  <w:tcMar>
                    <w:top w:w="15" w:type="dxa"/>
                    <w:left w:w="15" w:type="dxa"/>
                    <w:right w:w="15" w:type="dxa"/>
                  </w:tcMar>
                  <w:vAlign w:val="center"/>
                </w:tcPr>
                <w:p w14:paraId="683BCE97">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光伏厂区</w:t>
                  </w:r>
                </w:p>
              </w:tc>
              <w:tc>
                <w:tcPr>
                  <w:tcW w:w="1110" w:type="pct"/>
                  <w:noWrap w:val="0"/>
                  <w:tcMar>
                    <w:top w:w="15" w:type="dxa"/>
                    <w:left w:w="15" w:type="dxa"/>
                    <w:right w:w="15" w:type="dxa"/>
                  </w:tcMar>
                  <w:vAlign w:val="center"/>
                </w:tcPr>
                <w:p w14:paraId="6353F858">
                  <w:pPr>
                    <w:keepNext w:val="0"/>
                    <w:keepLines w:val="0"/>
                    <w:widowControl/>
                    <w:suppressLineNumbers w:val="0"/>
                    <w:jc w:val="center"/>
                    <w:textAlignment w:val="center"/>
                    <w:rPr>
                      <w:rFonts w:hint="default"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光伏阵列</w:t>
                  </w:r>
                </w:p>
              </w:tc>
              <w:tc>
                <w:tcPr>
                  <w:tcW w:w="1645" w:type="dxa"/>
                  <w:noWrap w:val="0"/>
                  <w:tcMar>
                    <w:top w:w="15" w:type="dxa"/>
                    <w:left w:w="15" w:type="dxa"/>
                    <w:right w:w="15" w:type="dxa"/>
                  </w:tcMar>
                  <w:vAlign w:val="center"/>
                </w:tcPr>
                <w:p w14:paraId="5358553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962174.56</w:t>
                  </w:r>
                </w:p>
              </w:tc>
              <w:tc>
                <w:tcPr>
                  <w:tcW w:w="1536" w:type="dxa"/>
                  <w:noWrap w:val="0"/>
                  <w:tcMar>
                    <w:top w:w="15" w:type="dxa"/>
                    <w:left w:w="15" w:type="dxa"/>
                    <w:right w:w="15" w:type="dxa"/>
                  </w:tcMar>
                  <w:vAlign w:val="center"/>
                </w:tcPr>
                <w:p w14:paraId="6A1F81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536" w:type="dxa"/>
                  <w:noWrap w:val="0"/>
                  <w:tcMar>
                    <w:top w:w="15" w:type="dxa"/>
                    <w:left w:w="15" w:type="dxa"/>
                    <w:right w:w="15" w:type="dxa"/>
                  </w:tcMar>
                  <w:vAlign w:val="center"/>
                </w:tcPr>
                <w:p w14:paraId="7331168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962174.56</w:t>
                  </w:r>
                </w:p>
              </w:tc>
            </w:tr>
            <w:tr w14:paraId="7A82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847" w:type="pct"/>
                  <w:vMerge w:val="continue"/>
                  <w:noWrap w:val="0"/>
                  <w:tcMar>
                    <w:top w:w="15" w:type="dxa"/>
                    <w:left w:w="15" w:type="dxa"/>
                    <w:right w:w="15" w:type="dxa"/>
                  </w:tcMar>
                  <w:vAlign w:val="center"/>
                </w:tcPr>
                <w:p w14:paraId="52981C7E">
                  <w:pPr>
                    <w:keepNext w:val="0"/>
                    <w:keepLines w:val="0"/>
                    <w:widowControl/>
                    <w:suppressLineNumbers w:val="0"/>
                    <w:jc w:val="center"/>
                    <w:textAlignment w:val="center"/>
                    <w:rPr>
                      <w:color w:val="auto"/>
                    </w:rPr>
                  </w:pPr>
                </w:p>
              </w:tc>
              <w:tc>
                <w:tcPr>
                  <w:tcW w:w="407" w:type="pct"/>
                  <w:gridSpan w:val="2"/>
                  <w:vMerge w:val="continue"/>
                  <w:noWrap w:val="0"/>
                  <w:tcMar>
                    <w:top w:w="15" w:type="dxa"/>
                    <w:left w:w="15" w:type="dxa"/>
                    <w:right w:w="15" w:type="dxa"/>
                  </w:tcMar>
                  <w:vAlign w:val="center"/>
                </w:tcPr>
                <w:p w14:paraId="079C983F">
                  <w:pPr>
                    <w:keepNext w:val="0"/>
                    <w:keepLines w:val="0"/>
                    <w:widowControl/>
                    <w:suppressLineNumbers w:val="0"/>
                    <w:jc w:val="center"/>
                    <w:textAlignment w:val="center"/>
                    <w:rPr>
                      <w:color w:val="auto"/>
                    </w:rPr>
                  </w:pPr>
                </w:p>
              </w:tc>
              <w:tc>
                <w:tcPr>
                  <w:tcW w:w="1110" w:type="pct"/>
                  <w:noWrap w:val="0"/>
                  <w:tcMar>
                    <w:top w:w="15" w:type="dxa"/>
                    <w:left w:w="15" w:type="dxa"/>
                    <w:right w:w="15" w:type="dxa"/>
                  </w:tcMar>
                  <w:vAlign w:val="center"/>
                </w:tcPr>
                <w:p w14:paraId="56F76B30">
                  <w:pPr>
                    <w:keepNext w:val="0"/>
                    <w:keepLines w:val="0"/>
                    <w:widowControl/>
                    <w:suppressLineNumbers w:val="0"/>
                    <w:jc w:val="center"/>
                    <w:textAlignment w:val="center"/>
                    <w:rPr>
                      <w:rFonts w:hint="default"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集电线路</w:t>
                  </w:r>
                </w:p>
              </w:tc>
              <w:tc>
                <w:tcPr>
                  <w:tcW w:w="1645" w:type="dxa"/>
                  <w:noWrap w:val="0"/>
                  <w:tcMar>
                    <w:top w:w="15" w:type="dxa"/>
                    <w:left w:w="15" w:type="dxa"/>
                    <w:right w:w="15" w:type="dxa"/>
                  </w:tcMar>
                  <w:vAlign w:val="center"/>
                </w:tcPr>
                <w:p w14:paraId="37192D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54600</w:t>
                  </w:r>
                </w:p>
              </w:tc>
              <w:tc>
                <w:tcPr>
                  <w:tcW w:w="1536" w:type="dxa"/>
                  <w:noWrap w:val="0"/>
                  <w:tcMar>
                    <w:top w:w="15" w:type="dxa"/>
                    <w:left w:w="15" w:type="dxa"/>
                    <w:right w:w="15" w:type="dxa"/>
                  </w:tcMar>
                  <w:vAlign w:val="center"/>
                </w:tcPr>
                <w:p w14:paraId="294E13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536" w:type="dxa"/>
                  <w:noWrap w:val="0"/>
                  <w:tcMar>
                    <w:top w:w="15" w:type="dxa"/>
                    <w:left w:w="15" w:type="dxa"/>
                    <w:right w:w="15" w:type="dxa"/>
                  </w:tcMar>
                  <w:vAlign w:val="center"/>
                </w:tcPr>
                <w:p w14:paraId="5DA1C6A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54600</w:t>
                  </w:r>
                </w:p>
              </w:tc>
            </w:tr>
            <w:tr w14:paraId="45B9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366" w:type="pct"/>
                  <w:gridSpan w:val="4"/>
                  <w:noWrap w:val="0"/>
                  <w:tcMar>
                    <w:top w:w="15" w:type="dxa"/>
                    <w:left w:w="15" w:type="dxa"/>
                    <w:right w:w="15" w:type="dxa"/>
                  </w:tcMar>
                  <w:vAlign w:val="center"/>
                </w:tcPr>
                <w:p w14:paraId="23DA3954">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合计</w:t>
                  </w:r>
                </w:p>
              </w:tc>
              <w:tc>
                <w:tcPr>
                  <w:tcW w:w="1645" w:type="dxa"/>
                  <w:noWrap w:val="0"/>
                  <w:tcMar>
                    <w:top w:w="15" w:type="dxa"/>
                    <w:left w:w="15" w:type="dxa"/>
                    <w:right w:w="15" w:type="dxa"/>
                  </w:tcMar>
                  <w:vAlign w:val="center"/>
                </w:tcPr>
                <w:p w14:paraId="6E76DD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1018632.34</w:t>
                  </w:r>
                </w:p>
              </w:tc>
              <w:tc>
                <w:tcPr>
                  <w:tcW w:w="1536" w:type="dxa"/>
                  <w:noWrap w:val="0"/>
                  <w:tcMar>
                    <w:top w:w="15" w:type="dxa"/>
                    <w:left w:w="15" w:type="dxa"/>
                    <w:right w:w="15" w:type="dxa"/>
                  </w:tcMar>
                  <w:vAlign w:val="center"/>
                </w:tcPr>
                <w:p w14:paraId="6CC02B4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24930</w:t>
                  </w:r>
                </w:p>
              </w:tc>
              <w:tc>
                <w:tcPr>
                  <w:tcW w:w="1536" w:type="dxa"/>
                  <w:noWrap w:val="0"/>
                  <w:tcMar>
                    <w:top w:w="15" w:type="dxa"/>
                    <w:left w:w="15" w:type="dxa"/>
                    <w:right w:w="15" w:type="dxa"/>
                  </w:tcMar>
                  <w:vAlign w:val="center"/>
                </w:tcPr>
                <w:p w14:paraId="38DD29B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1043562.34</w:t>
                  </w:r>
                </w:p>
              </w:tc>
            </w:tr>
          </w:tbl>
          <w:p w14:paraId="255FABE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val="en-US" w:eastAsia="zh-CN"/>
              </w:rPr>
              <w:t>10</w:t>
            </w:r>
            <w:r>
              <w:rPr>
                <w:rFonts w:hint="default" w:ascii="Times New Roman" w:hAnsi="Times New Roman" w:eastAsia="宋体" w:cs="Times New Roman"/>
                <w:b/>
                <w:bCs/>
                <w:color w:val="auto"/>
                <w:sz w:val="24"/>
                <w:szCs w:val="24"/>
                <w:highlight w:val="none"/>
                <w:lang w:eastAsia="zh-CN"/>
              </w:rPr>
              <w:t>、工程土石方</w:t>
            </w:r>
          </w:p>
          <w:p w14:paraId="67B2801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bCs/>
                <w:snapToGrid w:val="0"/>
                <w:color w:val="auto"/>
                <w:kern w:val="0"/>
                <w:szCs w:val="21"/>
                <w:highlight w:val="none"/>
                <w:lang w:val="en-US" w:eastAsia="zh-CN"/>
              </w:rPr>
            </w:pPr>
            <w:r>
              <w:rPr>
                <w:rFonts w:hint="default" w:ascii="Times New Roman" w:hAnsi="Times New Roman" w:cs="Times New Roman" w:eastAsiaTheme="minorEastAsia"/>
                <w:color w:val="auto"/>
                <w:kern w:val="0"/>
                <w:sz w:val="24"/>
                <w:szCs w:val="24"/>
                <w:lang w:val="en-US" w:eastAsia="zh-CN" w:bidi="ar"/>
              </w:rPr>
              <w:t>项目光伏组件支架采用薄壁钢结构，支架基础采用预制钢筋混凝土管桩和灌注桩</w:t>
            </w:r>
            <w:r>
              <w:rPr>
                <w:rFonts w:hint="eastAsia" w:ascii="Times New Roman" w:hAnsi="Times New Roman" w:cs="Times New Roman"/>
                <w:color w:val="auto"/>
                <w:kern w:val="0"/>
                <w:sz w:val="24"/>
                <w:szCs w:val="24"/>
                <w:lang w:val="en-US" w:eastAsia="zh-CN" w:bidi="ar"/>
              </w:rPr>
              <w:t>，均依地形条件建设，不进行大开挖工程，且</w:t>
            </w:r>
            <w:r>
              <w:rPr>
                <w:rFonts w:hint="default" w:ascii="Times New Roman" w:hAnsi="Times New Roman" w:cs="Times New Roman" w:eastAsiaTheme="minorEastAsia"/>
                <w:color w:val="auto"/>
                <w:kern w:val="0"/>
                <w:sz w:val="24"/>
                <w:szCs w:val="24"/>
                <w:lang w:val="en-US" w:eastAsia="zh-CN" w:bidi="ar"/>
              </w:rPr>
              <w:t>场区整体地形平坦开阔，在原有地表基础上经过简单平整或碾压即可满足施工要求。工程区基础等土方开挖回填后的剩余渣量均用作</w:t>
            </w:r>
            <w:r>
              <w:rPr>
                <w:rFonts w:hint="eastAsia" w:ascii="Times New Roman" w:hAnsi="Times New Roman" w:cs="Times New Roman"/>
                <w:color w:val="auto"/>
                <w:kern w:val="0"/>
                <w:sz w:val="24"/>
                <w:szCs w:val="24"/>
                <w:lang w:val="en-US" w:eastAsia="zh-CN" w:bidi="ar"/>
              </w:rPr>
              <w:t>站区场地及改造道路</w:t>
            </w:r>
            <w:r>
              <w:rPr>
                <w:rFonts w:hint="default" w:ascii="Times New Roman" w:hAnsi="Times New Roman" w:cs="Times New Roman" w:eastAsiaTheme="minorEastAsia"/>
                <w:color w:val="auto"/>
                <w:kern w:val="0"/>
                <w:sz w:val="24"/>
                <w:szCs w:val="24"/>
                <w:lang w:val="en-US" w:eastAsia="zh-CN" w:bidi="ar"/>
              </w:rPr>
              <w:t>平整。根据项目设计资料，建设过程中区域内可实现挖填平衡，无弃方外运处置，施工过程中各施工单元土石方走向平衡见表2-</w:t>
            </w:r>
            <w:r>
              <w:rPr>
                <w:rFonts w:hint="eastAsia" w:ascii="Times New Roman" w:hAnsi="Times New Roman" w:cs="Times New Roman" w:eastAsiaTheme="minorEastAsia"/>
                <w:color w:val="auto"/>
                <w:kern w:val="0"/>
                <w:sz w:val="24"/>
                <w:szCs w:val="24"/>
                <w:lang w:val="en-US" w:eastAsia="zh-CN" w:bidi="ar"/>
              </w:rPr>
              <w:t>6</w:t>
            </w:r>
            <w:r>
              <w:rPr>
                <w:rFonts w:hint="default" w:ascii="Times New Roman" w:hAnsi="Times New Roman" w:cs="Times New Roman" w:eastAsiaTheme="minorEastAsia"/>
                <w:color w:val="auto"/>
                <w:kern w:val="0"/>
                <w:sz w:val="24"/>
                <w:szCs w:val="24"/>
                <w:lang w:val="en-US" w:eastAsia="zh-CN" w:bidi="ar"/>
              </w:rPr>
              <w:t>和图2-</w:t>
            </w:r>
            <w:r>
              <w:rPr>
                <w:rFonts w:hint="eastAsia" w:ascii="Times New Roman" w:hAnsi="Times New Roman" w:cs="Times New Roman"/>
                <w:color w:val="auto"/>
                <w:kern w:val="0"/>
                <w:sz w:val="24"/>
                <w:szCs w:val="24"/>
                <w:lang w:val="en-US" w:eastAsia="zh-CN" w:bidi="ar"/>
              </w:rPr>
              <w:t>2</w:t>
            </w:r>
            <w:r>
              <w:rPr>
                <w:rFonts w:hint="default" w:ascii="Times New Roman" w:hAnsi="Times New Roman" w:cs="Times New Roman" w:eastAsiaTheme="minorEastAsia"/>
                <w:color w:val="auto"/>
                <w:kern w:val="0"/>
                <w:sz w:val="24"/>
                <w:szCs w:val="24"/>
                <w:lang w:val="en-US" w:eastAsia="zh-CN" w:bidi="ar"/>
              </w:rPr>
              <w:t>。</w:t>
            </w:r>
          </w:p>
          <w:p w14:paraId="171B7CE1">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snapToGrid w:val="0"/>
                <w:color w:val="auto"/>
                <w:kern w:val="0"/>
                <w:szCs w:val="21"/>
                <w:highlight w:val="none"/>
                <w:lang w:val="en-US" w:eastAsia="zh-CN"/>
              </w:rPr>
              <w:t>表2-</w:t>
            </w:r>
            <w:r>
              <w:rPr>
                <w:rFonts w:hint="eastAsia" w:ascii="Times New Roman" w:hAnsi="Times New Roman" w:eastAsia="宋体" w:cs="Times New Roman"/>
                <w:b/>
                <w:bCs/>
                <w:snapToGrid w:val="0"/>
                <w:color w:val="auto"/>
                <w:kern w:val="0"/>
                <w:szCs w:val="21"/>
                <w:highlight w:val="none"/>
                <w:lang w:val="en-US" w:eastAsia="zh-CN"/>
              </w:rPr>
              <w:t>6</w:t>
            </w:r>
            <w:r>
              <w:rPr>
                <w:rFonts w:hint="default" w:ascii="Times New Roman" w:hAnsi="Times New Roman" w:eastAsia="宋体" w:cs="Times New Roman"/>
                <w:b/>
                <w:bCs/>
                <w:snapToGrid w:val="0"/>
                <w:color w:val="auto"/>
                <w:kern w:val="0"/>
                <w:szCs w:val="21"/>
                <w:highlight w:val="none"/>
                <w:lang w:val="en-US" w:eastAsia="zh-CN"/>
              </w:rPr>
              <w:t>工程土石方平衡一览表</w:t>
            </w:r>
            <w:r>
              <w:rPr>
                <w:rFonts w:hint="eastAsia" w:ascii="Times New Roman" w:hAnsi="Times New Roman" w:eastAsia="宋体" w:cs="Times New Roman"/>
                <w:b/>
                <w:bCs/>
                <w:snapToGrid w:val="0"/>
                <w:color w:val="auto"/>
                <w:kern w:val="0"/>
                <w:szCs w:val="21"/>
                <w:highlight w:val="none"/>
                <w:lang w:val="en-US" w:eastAsia="zh-CN"/>
              </w:rPr>
              <w:t xml:space="preserve">       </w:t>
            </w:r>
            <w:r>
              <w:rPr>
                <w:rFonts w:hint="default" w:ascii="Times New Roman" w:hAnsi="Times New Roman" w:eastAsia="宋体" w:cs="Times New Roman"/>
                <w:b/>
                <w:bCs/>
                <w:snapToGrid w:val="0"/>
                <w:color w:val="auto"/>
                <w:kern w:val="0"/>
                <w:szCs w:val="21"/>
                <w:highlight w:val="none"/>
                <w:lang w:val="en-US" w:eastAsia="zh-CN"/>
              </w:rPr>
              <w:t>单位：</w:t>
            </w:r>
            <w:r>
              <w:rPr>
                <w:rFonts w:hint="default" w:ascii="Times New Roman" w:hAnsi="Times New Roman" w:eastAsia="宋体" w:cs="Times New Roman"/>
                <w:b/>
                <w:bCs/>
                <w:color w:val="auto"/>
                <w:szCs w:val="21"/>
                <w:highlight w:val="none"/>
              </w:rPr>
              <w:t>m</w:t>
            </w:r>
            <w:r>
              <w:rPr>
                <w:rFonts w:hint="default" w:ascii="Times New Roman" w:hAnsi="Times New Roman" w:eastAsia="宋体" w:cs="Times New Roman"/>
                <w:b/>
                <w:bCs/>
                <w:color w:val="auto"/>
                <w:szCs w:val="21"/>
                <w:highlight w:val="none"/>
                <w:vertAlign w:val="superscript"/>
              </w:rPr>
              <w:t>3</w:t>
            </w:r>
          </w:p>
          <w:tbl>
            <w:tblPr>
              <w:tblStyle w:val="24"/>
              <w:tblW w:w="474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0"/>
              <w:gridCol w:w="2336"/>
              <w:gridCol w:w="1156"/>
              <w:gridCol w:w="1414"/>
              <w:gridCol w:w="1414"/>
              <w:gridCol w:w="1414"/>
            </w:tblGrid>
            <w:tr w14:paraId="0C09D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4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4153F4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区域</w:t>
                  </w:r>
                </w:p>
              </w:tc>
              <w:tc>
                <w:tcPr>
                  <w:tcW w:w="13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F1D2B8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项目</w:t>
                  </w:r>
                </w:p>
              </w:tc>
              <w:tc>
                <w:tcPr>
                  <w:tcW w:w="681" w:type="pct"/>
                  <w:tcBorders>
                    <w:top w:val="single" w:color="000000" w:sz="8" w:space="0"/>
                    <w:left w:val="nil"/>
                    <w:bottom w:val="single" w:color="000000" w:sz="8" w:space="0"/>
                    <w:right w:val="single" w:color="000000" w:sz="8" w:space="0"/>
                  </w:tcBorders>
                  <w:shd w:val="clear" w:color="auto" w:fill="auto"/>
                  <w:vAlign w:val="center"/>
                </w:tcPr>
                <w:p w14:paraId="36F2F4C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开挖</w:t>
                  </w:r>
                </w:p>
              </w:tc>
              <w:tc>
                <w:tcPr>
                  <w:tcW w:w="833" w:type="pct"/>
                  <w:tcBorders>
                    <w:top w:val="single" w:color="000000" w:sz="8" w:space="0"/>
                    <w:left w:val="nil"/>
                    <w:bottom w:val="single" w:color="000000" w:sz="8" w:space="0"/>
                    <w:right w:val="single" w:color="000000" w:sz="8" w:space="0"/>
                  </w:tcBorders>
                  <w:shd w:val="clear" w:color="auto" w:fill="auto"/>
                  <w:vAlign w:val="center"/>
                </w:tcPr>
                <w:p w14:paraId="362E48B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回填</w:t>
                  </w:r>
                </w:p>
              </w:tc>
              <w:tc>
                <w:tcPr>
                  <w:tcW w:w="833" w:type="pct"/>
                  <w:tcBorders>
                    <w:top w:val="single" w:color="000000" w:sz="8" w:space="0"/>
                    <w:left w:val="nil"/>
                    <w:bottom w:val="single" w:color="000000" w:sz="8" w:space="0"/>
                    <w:right w:val="single" w:color="000000" w:sz="8" w:space="0"/>
                  </w:tcBorders>
                  <w:shd w:val="clear" w:color="auto" w:fill="auto"/>
                  <w:vAlign w:val="center"/>
                </w:tcPr>
                <w:p w14:paraId="3F9A640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调出</w:t>
                  </w:r>
                </w:p>
              </w:tc>
              <w:tc>
                <w:tcPr>
                  <w:tcW w:w="83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14E43F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调入</w:t>
                  </w:r>
                </w:p>
              </w:tc>
            </w:tr>
            <w:tr w14:paraId="6AEEB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442" w:type="pct"/>
                  <w:vMerge w:val="restart"/>
                  <w:tcBorders>
                    <w:top w:val="nil"/>
                    <w:left w:val="single" w:color="000000" w:sz="8" w:space="0"/>
                    <w:bottom w:val="single" w:color="000000" w:sz="8" w:space="0"/>
                    <w:right w:val="single" w:color="000000" w:sz="8" w:space="0"/>
                  </w:tcBorders>
                  <w:shd w:val="clear" w:color="auto" w:fill="auto"/>
                  <w:vAlign w:val="center"/>
                </w:tcPr>
                <w:p w14:paraId="5A99236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光伏区域</w:t>
                  </w:r>
                </w:p>
              </w:tc>
              <w:tc>
                <w:tcPr>
                  <w:tcW w:w="1376" w:type="pct"/>
                  <w:tcBorders>
                    <w:top w:val="nil"/>
                    <w:left w:val="single" w:color="000000" w:sz="8" w:space="0"/>
                    <w:bottom w:val="single" w:color="000000" w:sz="8" w:space="0"/>
                    <w:right w:val="single" w:color="000000" w:sz="8" w:space="0"/>
                  </w:tcBorders>
                  <w:shd w:val="clear" w:color="auto" w:fill="auto"/>
                  <w:vAlign w:val="center"/>
                </w:tcPr>
                <w:p w14:paraId="4EA3E37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阵列基础（预制桩）</w:t>
                  </w:r>
                </w:p>
              </w:tc>
              <w:tc>
                <w:tcPr>
                  <w:tcW w:w="681" w:type="pct"/>
                  <w:tcBorders>
                    <w:top w:val="nil"/>
                    <w:left w:val="nil"/>
                    <w:bottom w:val="single" w:color="000000" w:sz="8" w:space="0"/>
                    <w:right w:val="single" w:color="000000" w:sz="8" w:space="0"/>
                  </w:tcBorders>
                  <w:shd w:val="clear" w:color="auto" w:fill="auto"/>
                  <w:vAlign w:val="center"/>
                </w:tcPr>
                <w:p w14:paraId="280524A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424</w:t>
                  </w:r>
                </w:p>
              </w:tc>
              <w:tc>
                <w:tcPr>
                  <w:tcW w:w="833" w:type="pct"/>
                  <w:tcBorders>
                    <w:top w:val="nil"/>
                    <w:left w:val="nil"/>
                    <w:bottom w:val="single" w:color="000000" w:sz="8" w:space="0"/>
                    <w:right w:val="single" w:color="000000" w:sz="8" w:space="0"/>
                  </w:tcBorders>
                  <w:shd w:val="clear" w:color="auto" w:fill="auto"/>
                  <w:vAlign w:val="center"/>
                </w:tcPr>
                <w:p w14:paraId="2C1992B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833" w:type="pct"/>
                  <w:tcBorders>
                    <w:top w:val="nil"/>
                    <w:left w:val="nil"/>
                    <w:bottom w:val="single" w:color="000000" w:sz="8" w:space="0"/>
                    <w:right w:val="single" w:color="000000" w:sz="8" w:space="0"/>
                  </w:tcBorders>
                  <w:shd w:val="clear" w:color="auto" w:fill="auto"/>
                  <w:vAlign w:val="center"/>
                </w:tcPr>
                <w:p w14:paraId="6A0154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424</w:t>
                  </w:r>
                </w:p>
              </w:tc>
              <w:tc>
                <w:tcPr>
                  <w:tcW w:w="833" w:type="pct"/>
                  <w:tcBorders>
                    <w:top w:val="nil"/>
                    <w:left w:val="single" w:color="000000" w:sz="8" w:space="0"/>
                    <w:bottom w:val="single" w:color="000000" w:sz="8" w:space="0"/>
                    <w:right w:val="single" w:color="000000" w:sz="8" w:space="0"/>
                  </w:tcBorders>
                  <w:shd w:val="clear" w:color="auto" w:fill="auto"/>
                  <w:vAlign w:val="center"/>
                </w:tcPr>
                <w:p w14:paraId="03811C4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auto"/>
                      <w:kern w:val="0"/>
                      <w:sz w:val="21"/>
                      <w:szCs w:val="21"/>
                      <w:u w:val="none"/>
                      <w:lang w:val="en-US" w:eastAsia="zh-CN" w:bidi="ar"/>
                    </w:rPr>
                  </w:pPr>
                </w:p>
              </w:tc>
            </w:tr>
            <w:tr w14:paraId="6DDFC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442" w:type="pct"/>
                  <w:vMerge w:val="continue"/>
                  <w:tcBorders>
                    <w:top w:val="nil"/>
                    <w:left w:val="single" w:color="000000" w:sz="8" w:space="0"/>
                    <w:bottom w:val="single" w:color="000000" w:sz="8" w:space="0"/>
                    <w:right w:val="single" w:color="000000" w:sz="8" w:space="0"/>
                  </w:tcBorders>
                  <w:shd w:val="clear" w:color="auto" w:fill="auto"/>
                  <w:vAlign w:val="center"/>
                </w:tcPr>
                <w:p w14:paraId="56B13D5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auto"/>
                      <w:kern w:val="0"/>
                      <w:sz w:val="21"/>
                      <w:szCs w:val="21"/>
                      <w:u w:val="none"/>
                      <w:lang w:val="en-US" w:eastAsia="zh-CN" w:bidi="ar"/>
                    </w:rPr>
                  </w:pPr>
                </w:p>
              </w:tc>
              <w:tc>
                <w:tcPr>
                  <w:tcW w:w="1376" w:type="pct"/>
                  <w:tcBorders>
                    <w:top w:val="nil"/>
                    <w:left w:val="single" w:color="000000" w:sz="8" w:space="0"/>
                    <w:bottom w:val="single" w:color="000000" w:sz="8" w:space="0"/>
                    <w:right w:val="single" w:color="000000" w:sz="8" w:space="0"/>
                  </w:tcBorders>
                  <w:shd w:val="clear" w:color="auto" w:fill="auto"/>
                  <w:vAlign w:val="center"/>
                </w:tcPr>
                <w:p w14:paraId="7FE9CB9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场区接地</w:t>
                  </w:r>
                </w:p>
              </w:tc>
              <w:tc>
                <w:tcPr>
                  <w:tcW w:w="681" w:type="pct"/>
                  <w:tcBorders>
                    <w:top w:val="nil"/>
                    <w:left w:val="nil"/>
                    <w:bottom w:val="single" w:color="000000" w:sz="8" w:space="0"/>
                    <w:right w:val="single" w:color="000000" w:sz="8" w:space="0"/>
                  </w:tcBorders>
                  <w:shd w:val="clear" w:color="auto" w:fill="auto"/>
                  <w:vAlign w:val="center"/>
                </w:tcPr>
                <w:p w14:paraId="292F37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9600</w:t>
                  </w:r>
                </w:p>
              </w:tc>
              <w:tc>
                <w:tcPr>
                  <w:tcW w:w="833" w:type="pct"/>
                  <w:tcBorders>
                    <w:top w:val="nil"/>
                    <w:left w:val="nil"/>
                    <w:bottom w:val="single" w:color="000000" w:sz="8" w:space="0"/>
                    <w:right w:val="single" w:color="000000" w:sz="8" w:space="0"/>
                  </w:tcBorders>
                  <w:shd w:val="clear" w:color="auto" w:fill="auto"/>
                  <w:vAlign w:val="center"/>
                </w:tcPr>
                <w:p w14:paraId="4E9608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9600</w:t>
                  </w:r>
                </w:p>
              </w:tc>
              <w:tc>
                <w:tcPr>
                  <w:tcW w:w="833" w:type="pct"/>
                  <w:tcBorders>
                    <w:top w:val="nil"/>
                    <w:left w:val="nil"/>
                    <w:bottom w:val="single" w:color="000000" w:sz="8" w:space="0"/>
                    <w:right w:val="single" w:color="000000" w:sz="8" w:space="0"/>
                  </w:tcBorders>
                  <w:shd w:val="clear" w:color="auto" w:fill="auto"/>
                  <w:vAlign w:val="center"/>
                </w:tcPr>
                <w:p w14:paraId="22A2BC5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833" w:type="pct"/>
                  <w:tcBorders>
                    <w:top w:val="nil"/>
                    <w:left w:val="single" w:color="000000" w:sz="8" w:space="0"/>
                    <w:bottom w:val="single" w:color="000000" w:sz="8" w:space="0"/>
                    <w:right w:val="single" w:color="000000" w:sz="8" w:space="0"/>
                  </w:tcBorders>
                  <w:shd w:val="clear" w:color="auto" w:fill="auto"/>
                  <w:vAlign w:val="center"/>
                </w:tcPr>
                <w:p w14:paraId="7D296CD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auto"/>
                      <w:kern w:val="0"/>
                      <w:sz w:val="21"/>
                      <w:szCs w:val="21"/>
                      <w:u w:val="none"/>
                      <w:lang w:val="en-US" w:eastAsia="zh-CN" w:bidi="ar"/>
                    </w:rPr>
                  </w:pPr>
                </w:p>
              </w:tc>
            </w:tr>
            <w:tr w14:paraId="63CA7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442" w:type="pct"/>
                  <w:vMerge w:val="continue"/>
                  <w:tcBorders>
                    <w:top w:val="nil"/>
                    <w:left w:val="single" w:color="000000" w:sz="8" w:space="0"/>
                    <w:bottom w:val="single" w:color="000000" w:sz="8" w:space="0"/>
                    <w:right w:val="single" w:color="000000" w:sz="8" w:space="0"/>
                  </w:tcBorders>
                  <w:shd w:val="clear" w:color="auto" w:fill="auto"/>
                  <w:vAlign w:val="center"/>
                </w:tcPr>
                <w:p w14:paraId="725F132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auto"/>
                      <w:kern w:val="0"/>
                      <w:sz w:val="21"/>
                      <w:szCs w:val="21"/>
                      <w:u w:val="none"/>
                      <w:lang w:val="en-US" w:eastAsia="zh-CN" w:bidi="ar"/>
                    </w:rPr>
                  </w:pPr>
                </w:p>
              </w:tc>
              <w:tc>
                <w:tcPr>
                  <w:tcW w:w="1376" w:type="pct"/>
                  <w:tcBorders>
                    <w:top w:val="nil"/>
                    <w:left w:val="single" w:color="000000" w:sz="8" w:space="0"/>
                    <w:bottom w:val="single" w:color="000000" w:sz="8" w:space="0"/>
                    <w:right w:val="single" w:color="000000" w:sz="8" w:space="0"/>
                  </w:tcBorders>
                  <w:shd w:val="clear" w:color="auto" w:fill="auto"/>
                  <w:vAlign w:val="center"/>
                </w:tcPr>
                <w:p w14:paraId="6BD3A14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排水沟</w:t>
                  </w:r>
                </w:p>
              </w:tc>
              <w:tc>
                <w:tcPr>
                  <w:tcW w:w="681" w:type="pct"/>
                  <w:tcBorders>
                    <w:top w:val="nil"/>
                    <w:left w:val="nil"/>
                    <w:bottom w:val="single" w:color="000000" w:sz="8" w:space="0"/>
                    <w:right w:val="single" w:color="000000" w:sz="8" w:space="0"/>
                  </w:tcBorders>
                  <w:shd w:val="clear" w:color="auto" w:fill="auto"/>
                  <w:vAlign w:val="center"/>
                </w:tcPr>
                <w:p w14:paraId="1492CF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1368</w:t>
                  </w:r>
                </w:p>
              </w:tc>
              <w:tc>
                <w:tcPr>
                  <w:tcW w:w="833" w:type="pct"/>
                  <w:tcBorders>
                    <w:top w:val="nil"/>
                    <w:left w:val="nil"/>
                    <w:bottom w:val="single" w:color="000000" w:sz="8" w:space="0"/>
                    <w:right w:val="single" w:color="000000" w:sz="8" w:space="0"/>
                  </w:tcBorders>
                  <w:shd w:val="clear" w:color="auto" w:fill="auto"/>
                  <w:vAlign w:val="center"/>
                </w:tcPr>
                <w:p w14:paraId="449186D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833" w:type="pct"/>
                  <w:tcBorders>
                    <w:top w:val="nil"/>
                    <w:left w:val="nil"/>
                    <w:bottom w:val="single" w:color="000000" w:sz="8" w:space="0"/>
                    <w:right w:val="single" w:color="000000" w:sz="8" w:space="0"/>
                  </w:tcBorders>
                  <w:shd w:val="clear" w:color="auto" w:fill="auto"/>
                  <w:vAlign w:val="center"/>
                </w:tcPr>
                <w:p w14:paraId="509C59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1368</w:t>
                  </w:r>
                </w:p>
              </w:tc>
              <w:tc>
                <w:tcPr>
                  <w:tcW w:w="833" w:type="pct"/>
                  <w:tcBorders>
                    <w:top w:val="nil"/>
                    <w:left w:val="single" w:color="000000" w:sz="8" w:space="0"/>
                    <w:bottom w:val="single" w:color="000000" w:sz="8" w:space="0"/>
                    <w:right w:val="single" w:color="000000" w:sz="8" w:space="0"/>
                  </w:tcBorders>
                  <w:shd w:val="clear" w:color="auto" w:fill="auto"/>
                  <w:vAlign w:val="center"/>
                </w:tcPr>
                <w:p w14:paraId="36252BD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auto"/>
                      <w:kern w:val="0"/>
                      <w:sz w:val="21"/>
                      <w:szCs w:val="21"/>
                      <w:u w:val="none"/>
                      <w:lang w:val="en-US" w:eastAsia="zh-CN" w:bidi="ar"/>
                    </w:rPr>
                  </w:pPr>
                </w:p>
              </w:tc>
            </w:tr>
            <w:tr w14:paraId="4BE89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442" w:type="pct"/>
                  <w:vMerge w:val="continue"/>
                  <w:tcBorders>
                    <w:top w:val="nil"/>
                    <w:left w:val="single" w:color="000000" w:sz="8" w:space="0"/>
                    <w:bottom w:val="single" w:color="000000" w:sz="8" w:space="0"/>
                    <w:right w:val="single" w:color="000000" w:sz="8" w:space="0"/>
                  </w:tcBorders>
                  <w:shd w:val="clear" w:color="auto" w:fill="auto"/>
                  <w:vAlign w:val="center"/>
                </w:tcPr>
                <w:p w14:paraId="3A111A9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auto"/>
                      <w:kern w:val="0"/>
                      <w:sz w:val="21"/>
                      <w:szCs w:val="21"/>
                      <w:u w:val="none"/>
                      <w:lang w:val="en-US" w:eastAsia="zh-CN" w:bidi="ar"/>
                    </w:rPr>
                  </w:pPr>
                </w:p>
              </w:tc>
              <w:tc>
                <w:tcPr>
                  <w:tcW w:w="1376" w:type="pct"/>
                  <w:tcBorders>
                    <w:top w:val="nil"/>
                    <w:left w:val="single" w:color="000000" w:sz="8" w:space="0"/>
                    <w:bottom w:val="single" w:color="000000" w:sz="8" w:space="0"/>
                    <w:right w:val="single" w:color="000000" w:sz="8" w:space="0"/>
                  </w:tcBorders>
                  <w:shd w:val="clear" w:color="auto" w:fill="auto"/>
                  <w:vAlign w:val="center"/>
                </w:tcPr>
                <w:p w14:paraId="61EAFF8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集电线路</w:t>
                  </w:r>
                </w:p>
              </w:tc>
              <w:tc>
                <w:tcPr>
                  <w:tcW w:w="681" w:type="pct"/>
                  <w:tcBorders>
                    <w:top w:val="nil"/>
                    <w:left w:val="nil"/>
                    <w:bottom w:val="single" w:color="000000" w:sz="8" w:space="0"/>
                    <w:right w:val="single" w:color="000000" w:sz="8" w:space="0"/>
                  </w:tcBorders>
                  <w:shd w:val="clear" w:color="auto" w:fill="auto"/>
                  <w:vAlign w:val="center"/>
                </w:tcPr>
                <w:p w14:paraId="33AB2D3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56240.74</w:t>
                  </w:r>
                </w:p>
              </w:tc>
              <w:tc>
                <w:tcPr>
                  <w:tcW w:w="833" w:type="pct"/>
                  <w:tcBorders>
                    <w:top w:val="nil"/>
                    <w:left w:val="nil"/>
                    <w:bottom w:val="single" w:color="000000" w:sz="8" w:space="0"/>
                    <w:right w:val="single" w:color="000000" w:sz="8" w:space="0"/>
                  </w:tcBorders>
                  <w:shd w:val="clear" w:color="auto" w:fill="auto"/>
                  <w:vAlign w:val="center"/>
                </w:tcPr>
                <w:p w14:paraId="21C555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56240.74</w:t>
                  </w:r>
                </w:p>
              </w:tc>
              <w:tc>
                <w:tcPr>
                  <w:tcW w:w="833" w:type="pct"/>
                  <w:tcBorders>
                    <w:top w:val="nil"/>
                    <w:left w:val="nil"/>
                    <w:bottom w:val="single" w:color="000000" w:sz="8" w:space="0"/>
                    <w:right w:val="single" w:color="000000" w:sz="8" w:space="0"/>
                  </w:tcBorders>
                  <w:shd w:val="clear" w:color="auto" w:fill="auto"/>
                  <w:vAlign w:val="center"/>
                </w:tcPr>
                <w:p w14:paraId="0135618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833" w:type="pct"/>
                  <w:tcBorders>
                    <w:top w:val="nil"/>
                    <w:left w:val="single" w:color="000000" w:sz="8" w:space="0"/>
                    <w:bottom w:val="single" w:color="000000" w:sz="8" w:space="0"/>
                    <w:right w:val="single" w:color="000000" w:sz="8" w:space="0"/>
                  </w:tcBorders>
                  <w:shd w:val="clear" w:color="auto" w:fill="auto"/>
                  <w:vAlign w:val="center"/>
                </w:tcPr>
                <w:p w14:paraId="677F7C6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auto"/>
                      <w:kern w:val="0"/>
                      <w:sz w:val="21"/>
                      <w:szCs w:val="21"/>
                      <w:u w:val="none"/>
                      <w:lang w:val="en-US" w:eastAsia="zh-CN" w:bidi="ar"/>
                    </w:rPr>
                  </w:pPr>
                </w:p>
              </w:tc>
            </w:tr>
            <w:tr w14:paraId="7F420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442" w:type="pct"/>
                  <w:vMerge w:val="continue"/>
                  <w:tcBorders>
                    <w:top w:val="nil"/>
                    <w:left w:val="single" w:color="000000" w:sz="8" w:space="0"/>
                    <w:bottom w:val="single" w:color="000000" w:sz="8" w:space="0"/>
                    <w:right w:val="single" w:color="000000" w:sz="8" w:space="0"/>
                  </w:tcBorders>
                  <w:shd w:val="clear" w:color="auto" w:fill="auto"/>
                  <w:vAlign w:val="center"/>
                </w:tcPr>
                <w:p w14:paraId="7870B9C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auto"/>
                      <w:kern w:val="0"/>
                      <w:sz w:val="21"/>
                      <w:szCs w:val="21"/>
                      <w:u w:val="none"/>
                      <w:lang w:val="en-US" w:eastAsia="zh-CN" w:bidi="ar"/>
                    </w:rPr>
                  </w:pPr>
                </w:p>
              </w:tc>
              <w:tc>
                <w:tcPr>
                  <w:tcW w:w="1376" w:type="pct"/>
                  <w:tcBorders>
                    <w:top w:val="nil"/>
                    <w:left w:val="single" w:color="000000" w:sz="8" w:space="0"/>
                    <w:bottom w:val="single" w:color="000000" w:sz="8" w:space="0"/>
                    <w:right w:val="single" w:color="000000" w:sz="8" w:space="0"/>
                  </w:tcBorders>
                  <w:shd w:val="clear" w:color="auto" w:fill="auto"/>
                  <w:vAlign w:val="center"/>
                </w:tcPr>
                <w:p w14:paraId="6B1BBEA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场内道路</w:t>
                  </w:r>
                </w:p>
              </w:tc>
              <w:tc>
                <w:tcPr>
                  <w:tcW w:w="681" w:type="pct"/>
                  <w:tcBorders>
                    <w:top w:val="nil"/>
                    <w:left w:val="nil"/>
                    <w:bottom w:val="single" w:color="000000" w:sz="8" w:space="0"/>
                    <w:right w:val="single" w:color="000000" w:sz="8" w:space="0"/>
                  </w:tcBorders>
                  <w:shd w:val="clear" w:color="auto" w:fill="auto"/>
                  <w:vAlign w:val="center"/>
                </w:tcPr>
                <w:p w14:paraId="44A3914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9425</w:t>
                  </w:r>
                </w:p>
              </w:tc>
              <w:tc>
                <w:tcPr>
                  <w:tcW w:w="833" w:type="pct"/>
                  <w:tcBorders>
                    <w:top w:val="nil"/>
                    <w:left w:val="nil"/>
                    <w:bottom w:val="single" w:color="000000" w:sz="8" w:space="0"/>
                    <w:right w:val="single" w:color="000000" w:sz="8" w:space="0"/>
                  </w:tcBorders>
                  <w:shd w:val="clear" w:color="auto" w:fill="auto"/>
                  <w:vAlign w:val="center"/>
                </w:tcPr>
                <w:p w14:paraId="427C246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11217</w:t>
                  </w:r>
                </w:p>
              </w:tc>
              <w:tc>
                <w:tcPr>
                  <w:tcW w:w="833" w:type="pct"/>
                  <w:tcBorders>
                    <w:top w:val="nil"/>
                    <w:left w:val="nil"/>
                    <w:bottom w:val="single" w:color="000000" w:sz="8" w:space="0"/>
                    <w:right w:val="single" w:color="000000" w:sz="8" w:space="0"/>
                  </w:tcBorders>
                  <w:shd w:val="clear" w:color="auto" w:fill="auto"/>
                  <w:vAlign w:val="center"/>
                </w:tcPr>
                <w:p w14:paraId="3A14EB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iCs w:val="0"/>
                      <w:color w:val="auto"/>
                      <w:kern w:val="0"/>
                      <w:sz w:val="21"/>
                      <w:szCs w:val="21"/>
                      <w:u w:val="none"/>
                      <w:lang w:val="en-US" w:eastAsia="zh-CN" w:bidi="ar"/>
                    </w:rPr>
                  </w:pPr>
                </w:p>
              </w:tc>
              <w:tc>
                <w:tcPr>
                  <w:tcW w:w="833" w:type="pct"/>
                  <w:tcBorders>
                    <w:top w:val="nil"/>
                    <w:left w:val="single" w:color="000000" w:sz="8" w:space="0"/>
                    <w:bottom w:val="single" w:color="000000" w:sz="8" w:space="0"/>
                    <w:right w:val="single" w:color="000000" w:sz="8" w:space="0"/>
                  </w:tcBorders>
                  <w:shd w:val="clear" w:color="auto" w:fill="auto"/>
                  <w:vAlign w:val="center"/>
                </w:tcPr>
                <w:p w14:paraId="65D5D6C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1792</w:t>
                  </w:r>
                </w:p>
              </w:tc>
            </w:tr>
            <w:tr w14:paraId="608AF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442" w:type="pct"/>
                  <w:tcBorders>
                    <w:top w:val="nil"/>
                    <w:left w:val="single" w:color="000000" w:sz="8" w:space="0"/>
                    <w:bottom w:val="single" w:color="000000" w:sz="8" w:space="0"/>
                    <w:right w:val="single" w:color="000000" w:sz="8" w:space="0"/>
                  </w:tcBorders>
                  <w:shd w:val="clear" w:color="auto" w:fill="auto"/>
                  <w:vAlign w:val="center"/>
                </w:tcPr>
                <w:p w14:paraId="3CBAAC8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合计</w:t>
                  </w:r>
                </w:p>
              </w:tc>
              <w:tc>
                <w:tcPr>
                  <w:tcW w:w="1376" w:type="pct"/>
                  <w:tcBorders>
                    <w:top w:val="nil"/>
                    <w:left w:val="single" w:color="000000" w:sz="8" w:space="0"/>
                    <w:bottom w:val="single" w:color="000000" w:sz="8" w:space="0"/>
                    <w:right w:val="single" w:color="000000" w:sz="8" w:space="0"/>
                  </w:tcBorders>
                  <w:shd w:val="clear" w:color="auto" w:fill="auto"/>
                  <w:vAlign w:val="center"/>
                </w:tcPr>
                <w:p w14:paraId="5D26A34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合计</w:t>
                  </w:r>
                </w:p>
              </w:tc>
              <w:tc>
                <w:tcPr>
                  <w:tcW w:w="1159" w:type="dxa"/>
                  <w:tcBorders>
                    <w:top w:val="nil"/>
                    <w:left w:val="nil"/>
                    <w:bottom w:val="single" w:color="000000" w:sz="8" w:space="0"/>
                    <w:right w:val="single" w:color="000000" w:sz="8" w:space="0"/>
                  </w:tcBorders>
                  <w:shd w:val="clear" w:color="auto" w:fill="auto"/>
                  <w:vAlign w:val="center"/>
                </w:tcPr>
                <w:p w14:paraId="52C4DB4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77057.74</w:t>
                  </w:r>
                </w:p>
              </w:tc>
              <w:tc>
                <w:tcPr>
                  <w:tcW w:w="1417" w:type="dxa"/>
                  <w:tcBorders>
                    <w:top w:val="nil"/>
                    <w:left w:val="nil"/>
                    <w:bottom w:val="single" w:color="000000" w:sz="8" w:space="0"/>
                    <w:right w:val="single" w:color="000000" w:sz="8" w:space="0"/>
                  </w:tcBorders>
                  <w:shd w:val="clear" w:color="auto" w:fill="auto"/>
                  <w:vAlign w:val="center"/>
                </w:tcPr>
                <w:p w14:paraId="67811F8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77057.74</w:t>
                  </w:r>
                </w:p>
              </w:tc>
              <w:tc>
                <w:tcPr>
                  <w:tcW w:w="1418" w:type="dxa"/>
                  <w:tcBorders>
                    <w:top w:val="nil"/>
                    <w:left w:val="nil"/>
                    <w:bottom w:val="single" w:color="000000" w:sz="8" w:space="0"/>
                    <w:right w:val="single" w:color="000000" w:sz="8" w:space="0"/>
                  </w:tcBorders>
                  <w:shd w:val="clear" w:color="auto" w:fill="auto"/>
                  <w:vAlign w:val="center"/>
                </w:tcPr>
                <w:p w14:paraId="55209F4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1792</w:t>
                  </w:r>
                </w:p>
              </w:tc>
              <w:tc>
                <w:tcPr>
                  <w:tcW w:w="1418" w:type="dxa"/>
                  <w:tcBorders>
                    <w:top w:val="nil"/>
                    <w:left w:val="nil"/>
                    <w:bottom w:val="single" w:color="000000" w:sz="8" w:space="0"/>
                    <w:right w:val="single" w:color="000000" w:sz="8" w:space="0"/>
                  </w:tcBorders>
                  <w:shd w:val="clear" w:color="auto" w:fill="auto"/>
                  <w:vAlign w:val="center"/>
                </w:tcPr>
                <w:p w14:paraId="1BD616D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1792</w:t>
                  </w:r>
                </w:p>
              </w:tc>
            </w:tr>
          </w:tbl>
          <w:p w14:paraId="35B30AC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rPr>
            </w:pPr>
            <w:r>
              <w:rPr>
                <w:rFonts w:hint="default" w:ascii="Times New Roman" w:hAnsi="Times New Roman" w:eastAsia="宋体" w:cs="Times New Roman"/>
                <w:color w:val="auto"/>
                <w:sz w:val="24"/>
                <w:szCs w:val="24"/>
                <w:highlight w:val="none"/>
                <w:lang w:eastAsia="zh-CN"/>
              </w:rPr>
              <w:t>由表2-</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eastAsia="zh-CN"/>
              </w:rPr>
              <w:t>可知</w:t>
            </w:r>
            <w:r>
              <w:rPr>
                <w:rFonts w:hint="default" w:ascii="Times New Roman" w:hAnsi="Times New Roman" w:eastAsia="宋体" w:cs="Times New Roman"/>
                <w:i w:val="0"/>
                <w:iCs w:val="0"/>
                <w:color w:val="auto"/>
                <w:sz w:val="24"/>
                <w:szCs w:val="24"/>
                <w:highlight w:val="none"/>
                <w:lang w:eastAsia="zh-CN"/>
              </w:rPr>
              <w:t>，本项目施工过程中总</w:t>
            </w:r>
            <w:r>
              <w:rPr>
                <w:rFonts w:hint="eastAsia" w:ascii="Times New Roman" w:hAnsi="Times New Roman" w:eastAsia="宋体" w:cs="Times New Roman"/>
                <w:i w:val="0"/>
                <w:iCs w:val="0"/>
                <w:color w:val="auto"/>
                <w:sz w:val="24"/>
                <w:szCs w:val="24"/>
                <w:highlight w:val="none"/>
                <w:lang w:val="en-US" w:eastAsia="zh-CN"/>
              </w:rPr>
              <w:t>土石方</w:t>
            </w:r>
            <w:r>
              <w:rPr>
                <w:rFonts w:hint="default" w:ascii="Times New Roman" w:hAnsi="Times New Roman" w:eastAsia="宋体" w:cs="Times New Roman"/>
                <w:i w:val="0"/>
                <w:iCs w:val="0"/>
                <w:color w:val="auto"/>
                <w:sz w:val="24"/>
                <w:szCs w:val="24"/>
                <w:highlight w:val="none"/>
                <w:lang w:eastAsia="zh-CN"/>
              </w:rPr>
              <w:t>挖方量为</w:t>
            </w:r>
            <w:r>
              <w:rPr>
                <w:rFonts w:hint="eastAsia" w:ascii="Times New Roman" w:hAnsi="Times New Roman" w:eastAsia="宋体" w:cs="Times New Roman"/>
                <w:i w:val="0"/>
                <w:iCs w:val="0"/>
                <w:color w:val="auto"/>
                <w:sz w:val="24"/>
                <w:szCs w:val="24"/>
                <w:highlight w:val="none"/>
                <w:lang w:val="en-US" w:eastAsia="zh-CN"/>
              </w:rPr>
              <w:t>77057.74</w:t>
            </w:r>
            <w:r>
              <w:rPr>
                <w:rFonts w:hint="default" w:ascii="Times New Roman" w:hAnsi="Times New Roman" w:eastAsia="宋体" w:cs="Times New Roman"/>
                <w:i w:val="0"/>
                <w:iCs w:val="0"/>
                <w:color w:val="auto"/>
                <w:sz w:val="24"/>
                <w:szCs w:val="24"/>
                <w:highlight w:val="none"/>
                <w:lang w:eastAsia="zh-CN"/>
              </w:rPr>
              <w:t>m</w:t>
            </w:r>
            <w:r>
              <w:rPr>
                <w:rFonts w:hint="default" w:ascii="Times New Roman" w:hAnsi="Times New Roman" w:eastAsia="宋体" w:cs="Times New Roman"/>
                <w:i w:val="0"/>
                <w:iCs w:val="0"/>
                <w:color w:val="auto"/>
                <w:sz w:val="24"/>
                <w:szCs w:val="24"/>
                <w:highlight w:val="none"/>
                <w:vertAlign w:val="superscript"/>
                <w:lang w:eastAsia="zh-CN"/>
              </w:rPr>
              <w:t>3</w:t>
            </w:r>
            <w:r>
              <w:rPr>
                <w:rFonts w:hint="default" w:ascii="Times New Roman" w:hAnsi="Times New Roman" w:eastAsia="宋体" w:cs="Times New Roman"/>
                <w:i w:val="0"/>
                <w:iCs w:val="0"/>
                <w:color w:val="auto"/>
                <w:sz w:val="24"/>
                <w:szCs w:val="24"/>
                <w:highlight w:val="none"/>
                <w:lang w:eastAsia="zh-CN"/>
              </w:rPr>
              <w:t>，</w:t>
            </w:r>
            <w:r>
              <w:rPr>
                <w:rFonts w:hint="eastAsia" w:ascii="Times New Roman" w:hAnsi="Times New Roman" w:eastAsia="宋体" w:cs="Times New Roman"/>
                <w:i w:val="0"/>
                <w:iCs w:val="0"/>
                <w:color w:val="auto"/>
                <w:sz w:val="24"/>
                <w:szCs w:val="24"/>
                <w:highlight w:val="none"/>
                <w:lang w:val="en-US" w:eastAsia="zh-CN"/>
              </w:rPr>
              <w:t>土石方总回填</w:t>
            </w:r>
            <w:r>
              <w:rPr>
                <w:rFonts w:hint="default" w:ascii="Times New Roman" w:hAnsi="Times New Roman" w:eastAsia="宋体" w:cs="Times New Roman"/>
                <w:i w:val="0"/>
                <w:iCs w:val="0"/>
                <w:color w:val="auto"/>
                <w:sz w:val="24"/>
                <w:szCs w:val="24"/>
                <w:highlight w:val="none"/>
                <w:lang w:eastAsia="zh-CN"/>
              </w:rPr>
              <w:t>量</w:t>
            </w:r>
            <w:r>
              <w:rPr>
                <w:rFonts w:hint="eastAsia" w:ascii="Times New Roman" w:hAnsi="Times New Roman" w:eastAsia="宋体" w:cs="Times New Roman"/>
                <w:i w:val="0"/>
                <w:iCs w:val="0"/>
                <w:color w:val="auto"/>
                <w:sz w:val="24"/>
                <w:szCs w:val="24"/>
                <w:highlight w:val="none"/>
                <w:lang w:val="en-US" w:eastAsia="zh-CN"/>
              </w:rPr>
              <w:t>77057.74</w:t>
            </w:r>
            <w:r>
              <w:rPr>
                <w:rFonts w:hint="default" w:ascii="Times New Roman" w:hAnsi="Times New Roman" w:eastAsia="宋体" w:cs="Times New Roman"/>
                <w:i w:val="0"/>
                <w:iCs w:val="0"/>
                <w:color w:val="auto"/>
                <w:sz w:val="24"/>
                <w:szCs w:val="24"/>
                <w:highlight w:val="none"/>
                <w:lang w:eastAsia="zh-CN"/>
              </w:rPr>
              <w:t>m</w:t>
            </w:r>
            <w:r>
              <w:rPr>
                <w:rFonts w:hint="default" w:ascii="Times New Roman" w:hAnsi="Times New Roman" w:eastAsia="宋体" w:cs="Times New Roman"/>
                <w:i w:val="0"/>
                <w:iCs w:val="0"/>
                <w:color w:val="auto"/>
                <w:sz w:val="24"/>
                <w:szCs w:val="24"/>
                <w:highlight w:val="none"/>
                <w:vertAlign w:val="superscript"/>
                <w:lang w:eastAsia="zh-CN"/>
              </w:rPr>
              <w:t>3</w:t>
            </w:r>
            <w:r>
              <w:rPr>
                <w:rFonts w:hint="default" w:ascii="Times New Roman" w:hAnsi="Times New Roman" w:eastAsia="宋体" w:cs="Times New Roman"/>
                <w:i w:val="0"/>
                <w:iCs w:val="0"/>
                <w:color w:val="auto"/>
                <w:sz w:val="24"/>
                <w:szCs w:val="24"/>
                <w:highlight w:val="none"/>
                <w:lang w:eastAsia="zh-CN"/>
              </w:rPr>
              <w:t>。无弃方产生。</w:t>
            </w:r>
          </w:p>
          <w:p w14:paraId="4364EFD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仿宋" w:cs="Times New Roman"/>
                <w:b/>
                <w:color w:val="auto"/>
                <w:sz w:val="24"/>
                <w:szCs w:val="22"/>
                <w:highlight w:val="none"/>
              </w:rPr>
            </w:pPr>
            <w:r>
              <w:rPr>
                <w:color w:val="auto"/>
              </w:rPr>
              <w:drawing>
                <wp:inline distT="0" distB="0" distL="114300" distR="114300">
                  <wp:extent cx="5681345" cy="3216275"/>
                  <wp:effectExtent l="0" t="0" r="0"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8"/>
                          <a:srcRect b="61327"/>
                          <a:stretch>
                            <a:fillRect/>
                          </a:stretch>
                        </pic:blipFill>
                        <pic:spPr>
                          <a:xfrm>
                            <a:off x="0" y="0"/>
                            <a:ext cx="5681345" cy="3216275"/>
                          </a:xfrm>
                          <a:prstGeom prst="rect">
                            <a:avLst/>
                          </a:prstGeom>
                          <a:noFill/>
                          <a:ln>
                            <a:noFill/>
                          </a:ln>
                        </pic:spPr>
                      </pic:pic>
                    </a:graphicData>
                  </a:graphic>
                </wp:inline>
              </w:drawing>
            </w:r>
          </w:p>
          <w:p w14:paraId="40D4CCF0">
            <w:pPr>
              <w:pStyle w:val="28"/>
              <w:snapToGrid w:val="0"/>
              <w:spacing w:line="360" w:lineRule="auto"/>
              <w:ind w:firstLine="422" w:firstLineChars="200"/>
              <w:jc w:val="center"/>
              <w:rPr>
                <w:rFonts w:hint="default" w:ascii="Times New Roman" w:hAnsi="Times New Roman" w:eastAsia="宋体" w:cs="Times New Roman"/>
                <w:b/>
                <w:color w:val="auto"/>
                <w:sz w:val="21"/>
                <w:szCs w:val="21"/>
                <w:highlight w:val="none"/>
                <w:shd w:val="clear" w:color="auto" w:fill="auto"/>
                <w:lang w:eastAsia="zh-CN"/>
              </w:rPr>
            </w:pPr>
            <w:r>
              <w:rPr>
                <w:rFonts w:hint="default" w:ascii="Times New Roman" w:hAnsi="Times New Roman" w:eastAsia="宋体" w:cs="Times New Roman"/>
                <w:b/>
                <w:color w:val="auto"/>
                <w:sz w:val="21"/>
                <w:szCs w:val="21"/>
                <w:highlight w:val="none"/>
                <w:shd w:val="clear" w:color="auto" w:fill="auto"/>
              </w:rPr>
              <w:t>图</w:t>
            </w:r>
            <w:r>
              <w:rPr>
                <w:rFonts w:hint="default" w:ascii="Times New Roman" w:hAnsi="Times New Roman" w:eastAsia="宋体" w:cs="Times New Roman"/>
                <w:b/>
                <w:color w:val="auto"/>
                <w:sz w:val="21"/>
                <w:szCs w:val="21"/>
                <w:highlight w:val="none"/>
                <w:shd w:val="clear" w:color="auto" w:fill="auto"/>
                <w:lang w:val="en-US" w:eastAsia="zh-CN"/>
              </w:rPr>
              <w:t>2</w:t>
            </w:r>
            <w:r>
              <w:rPr>
                <w:rFonts w:hint="default" w:ascii="Times New Roman" w:hAnsi="Times New Roman" w:eastAsia="宋体" w:cs="Times New Roman"/>
                <w:b/>
                <w:color w:val="auto"/>
                <w:sz w:val="21"/>
                <w:szCs w:val="21"/>
                <w:highlight w:val="none"/>
                <w:shd w:val="clear" w:color="auto" w:fill="auto"/>
              </w:rPr>
              <w:t>-</w:t>
            </w:r>
            <w:r>
              <w:rPr>
                <w:rFonts w:hint="eastAsia" w:ascii="Times New Roman" w:cs="Times New Roman"/>
                <w:b/>
                <w:color w:val="auto"/>
                <w:sz w:val="21"/>
                <w:szCs w:val="21"/>
                <w:highlight w:val="none"/>
                <w:shd w:val="clear" w:color="auto" w:fill="auto"/>
                <w:lang w:val="en-US" w:eastAsia="zh-CN"/>
              </w:rPr>
              <w:t xml:space="preserve">2 </w:t>
            </w:r>
            <w:r>
              <w:rPr>
                <w:rFonts w:hint="default" w:ascii="Times New Roman" w:hAnsi="Times New Roman" w:eastAsia="宋体" w:cs="Times New Roman"/>
                <w:b/>
                <w:color w:val="auto"/>
                <w:sz w:val="21"/>
                <w:szCs w:val="21"/>
                <w:highlight w:val="none"/>
                <w:shd w:val="clear" w:color="auto" w:fill="auto"/>
              </w:rPr>
              <w:t>土石方平衡及流向框图</w:t>
            </w:r>
            <w:r>
              <w:rPr>
                <w:rFonts w:hint="default" w:ascii="Times New Roman" w:hAnsi="Times New Roman" w:eastAsia="宋体" w:cs="Times New Roman"/>
                <w:b/>
                <w:color w:val="auto"/>
                <w:sz w:val="21"/>
                <w:szCs w:val="21"/>
                <w:highlight w:val="none"/>
                <w:shd w:val="clear" w:color="auto" w:fill="auto"/>
                <w:lang w:eastAsia="zh-CN"/>
              </w:rPr>
              <w:t>（单位：</w:t>
            </w:r>
            <w:r>
              <w:rPr>
                <w:rFonts w:hint="default" w:ascii="Times New Roman" w:hAnsi="Times New Roman" w:eastAsia="宋体" w:cs="Times New Roman"/>
                <w:b/>
                <w:color w:val="auto"/>
                <w:sz w:val="21"/>
                <w:szCs w:val="21"/>
                <w:highlight w:val="none"/>
                <w:shd w:val="clear" w:color="auto" w:fill="auto"/>
                <w:lang w:val="en-US" w:eastAsia="zh-CN"/>
              </w:rPr>
              <w:t>m</w:t>
            </w:r>
            <w:r>
              <w:rPr>
                <w:rFonts w:hint="default" w:ascii="Times New Roman" w:hAnsi="Times New Roman" w:eastAsia="宋体" w:cs="Times New Roman"/>
                <w:b/>
                <w:color w:val="auto"/>
                <w:sz w:val="21"/>
                <w:szCs w:val="21"/>
                <w:highlight w:val="none"/>
                <w:shd w:val="clear" w:color="auto" w:fill="auto"/>
                <w:vertAlign w:val="superscript"/>
                <w:lang w:val="en-US" w:eastAsia="zh-CN"/>
              </w:rPr>
              <w:t>3</w:t>
            </w:r>
            <w:r>
              <w:rPr>
                <w:rFonts w:hint="default" w:ascii="Times New Roman" w:hAnsi="Times New Roman" w:eastAsia="宋体" w:cs="Times New Roman"/>
                <w:b/>
                <w:color w:val="auto"/>
                <w:sz w:val="21"/>
                <w:szCs w:val="21"/>
                <w:highlight w:val="none"/>
                <w:shd w:val="clear" w:color="auto" w:fill="auto"/>
                <w:lang w:eastAsia="zh-CN"/>
              </w:rPr>
              <w:t>）</w:t>
            </w:r>
          </w:p>
          <w:p w14:paraId="42386415">
            <w:pPr>
              <w:rPr>
                <w:color w:val="auto"/>
              </w:rPr>
            </w:pPr>
          </w:p>
        </w:tc>
      </w:tr>
      <w:tr w14:paraId="043527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456" w:type="dxa"/>
            <w:noWrap w:val="0"/>
            <w:vAlign w:val="center"/>
          </w:tcPr>
          <w:p w14:paraId="28772B80">
            <w:pPr>
              <w:adjustRightInd w:val="0"/>
              <w:snapToGrid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 w:val="24"/>
                <w:szCs w:val="24"/>
                <w:highlight w:val="none"/>
              </w:rPr>
              <w:t>总平面及现场布置</w:t>
            </w:r>
          </w:p>
        </w:tc>
        <w:tc>
          <w:tcPr>
            <w:tcW w:w="8725" w:type="dxa"/>
            <w:noWrap w:val="0"/>
            <w:vAlign w:val="center"/>
          </w:tcPr>
          <w:p w14:paraId="5AFF2B3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1</w:t>
            </w:r>
            <w:r>
              <w:rPr>
                <w:rFonts w:hint="default" w:ascii="Times New Roman" w:hAnsi="Times New Roman" w:cs="Times New Roman" w:eastAsiaTheme="minorEastAsia"/>
                <w:color w:val="auto"/>
                <w:kern w:val="0"/>
                <w:sz w:val="24"/>
                <w:szCs w:val="24"/>
                <w:lang w:val="en-US" w:eastAsia="zh-CN" w:bidi="ar"/>
              </w:rPr>
              <w:t>光伏场区布置</w:t>
            </w:r>
          </w:p>
          <w:p w14:paraId="0E5605C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①</w:t>
            </w:r>
            <w:r>
              <w:rPr>
                <w:rFonts w:hint="default" w:ascii="Times New Roman" w:hAnsi="Times New Roman" w:cs="Times New Roman" w:eastAsiaTheme="minorEastAsia"/>
                <w:color w:val="auto"/>
                <w:kern w:val="0"/>
                <w:sz w:val="24"/>
                <w:szCs w:val="24"/>
                <w:lang w:val="en-US" w:eastAsia="zh-CN" w:bidi="ar"/>
              </w:rPr>
              <w:t>阵列布置</w:t>
            </w:r>
          </w:p>
          <w:p w14:paraId="73E7F71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auto"/>
                <w:kern w:val="0"/>
                <w:sz w:val="24"/>
                <w:szCs w:val="24"/>
                <w:lang w:val="en-US" w:eastAsia="zh-CN" w:bidi="ar"/>
              </w:rPr>
            </w:pPr>
            <w:r>
              <w:rPr>
                <w:rFonts w:hint="default" w:ascii="Times New Roman" w:hAnsi="Times New Roman" w:cs="Times New Roman" w:eastAsiaTheme="minorEastAsia"/>
                <w:color w:val="auto"/>
                <w:kern w:val="0"/>
                <w:sz w:val="24"/>
                <w:szCs w:val="24"/>
                <w:lang w:val="en-US" w:eastAsia="zh-CN" w:bidi="ar"/>
              </w:rPr>
              <w:t>本光伏电站总装机容量为60MW，全部为单晶硅双面双玻电池组件。推荐采用分块发电、集中并网方案。本设计阶段推荐采用680Wp规格的单晶硅双面双玻电池组件，组件数量共计106288块。逆变器选用</w:t>
            </w:r>
            <w:r>
              <w:rPr>
                <w:rFonts w:hint="eastAsia" w:ascii="Times New Roman" w:hAnsi="Times New Roman" w:cs="Times New Roman"/>
                <w:color w:val="auto"/>
                <w:kern w:val="0"/>
                <w:sz w:val="24"/>
                <w:szCs w:val="24"/>
                <w:lang w:val="en-US" w:eastAsia="zh-CN" w:bidi="ar"/>
              </w:rPr>
              <w:t>300kW</w:t>
            </w:r>
            <w:r>
              <w:rPr>
                <w:rFonts w:hint="default" w:ascii="Times New Roman" w:hAnsi="Times New Roman" w:cs="Times New Roman" w:eastAsiaTheme="minorEastAsia"/>
                <w:color w:val="auto"/>
                <w:kern w:val="0"/>
                <w:sz w:val="24"/>
                <w:szCs w:val="24"/>
                <w:lang w:val="en-US" w:eastAsia="zh-CN" w:bidi="ar"/>
              </w:rPr>
              <w:t>的组串式逆变器，共计</w:t>
            </w:r>
            <w:r>
              <w:rPr>
                <w:rFonts w:hint="eastAsia" w:ascii="Times New Roman" w:hAnsi="Times New Roman" w:cs="Times New Roman"/>
                <w:color w:val="auto"/>
                <w:kern w:val="0"/>
                <w:sz w:val="24"/>
                <w:szCs w:val="24"/>
                <w:lang w:val="en-US" w:eastAsia="zh-CN" w:bidi="ar"/>
              </w:rPr>
              <w:t>200</w:t>
            </w:r>
            <w:r>
              <w:rPr>
                <w:rFonts w:hint="default" w:ascii="Times New Roman" w:hAnsi="Times New Roman" w:cs="Times New Roman" w:eastAsiaTheme="minorEastAsia"/>
                <w:color w:val="auto"/>
                <w:kern w:val="0"/>
                <w:sz w:val="24"/>
                <w:szCs w:val="24"/>
                <w:lang w:val="en-US" w:eastAsia="zh-CN" w:bidi="ar"/>
              </w:rPr>
              <w:t>台。每10/8/6台300kW组串式逆变器接入一台3.</w:t>
            </w:r>
            <w:r>
              <w:rPr>
                <w:rFonts w:hint="eastAsia" w:ascii="Times New Roman" w:hAnsi="Times New Roman" w:cs="Times New Roman"/>
                <w:color w:val="auto"/>
                <w:kern w:val="0"/>
                <w:sz w:val="24"/>
                <w:szCs w:val="24"/>
                <w:lang w:val="en-US" w:eastAsia="zh-CN" w:bidi="ar"/>
              </w:rPr>
              <w:t>0</w:t>
            </w:r>
            <w:r>
              <w:rPr>
                <w:rFonts w:hint="default" w:ascii="Times New Roman" w:hAnsi="Times New Roman" w:cs="Times New Roman" w:eastAsiaTheme="minorEastAsia"/>
                <w:color w:val="auto"/>
                <w:kern w:val="0"/>
                <w:sz w:val="24"/>
                <w:szCs w:val="24"/>
                <w:lang w:val="en-US" w:eastAsia="zh-CN" w:bidi="ar"/>
              </w:rPr>
              <w:t>MW/2.4MW/1.8MW箱式升压变压器，构成一个光伏发电单元；本项目共21个光伏发电单元。</w:t>
            </w:r>
          </w:p>
          <w:p w14:paraId="624F955B">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color w:val="auto"/>
                <w:kern w:val="0"/>
                <w:sz w:val="24"/>
                <w:szCs w:val="24"/>
                <w:lang w:val="en-US" w:eastAsia="zh-CN" w:bidi="ar"/>
              </w:rPr>
            </w:pPr>
            <w:r>
              <w:rPr>
                <w:color w:val="auto"/>
              </w:rPr>
              <w:drawing>
                <wp:inline distT="0" distB="0" distL="114300" distR="114300">
                  <wp:extent cx="4333875" cy="1405890"/>
                  <wp:effectExtent l="0" t="0" r="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9"/>
                          <a:srcRect b="14781"/>
                          <a:stretch>
                            <a:fillRect/>
                          </a:stretch>
                        </pic:blipFill>
                        <pic:spPr>
                          <a:xfrm>
                            <a:off x="0" y="0"/>
                            <a:ext cx="4333875" cy="1405890"/>
                          </a:xfrm>
                          <a:prstGeom prst="rect">
                            <a:avLst/>
                          </a:prstGeom>
                          <a:noFill/>
                          <a:ln>
                            <a:noFill/>
                          </a:ln>
                        </pic:spPr>
                      </pic:pic>
                    </a:graphicData>
                  </a:graphic>
                </wp:inline>
              </w:drawing>
            </w:r>
          </w:p>
          <w:p w14:paraId="6B991382">
            <w:pPr>
              <w:adjustRightInd w:val="0"/>
              <w:snapToGrid w:val="0"/>
              <w:jc w:val="center"/>
              <w:rPr>
                <w:rFonts w:hint="eastAsia" w:ascii="Times New Roman" w:hAnsi="Times New Roman" w:eastAsia="宋体" w:cs="Times New Roman"/>
                <w:b/>
                <w:bCs/>
                <w:snapToGrid w:val="0"/>
                <w:color w:val="auto"/>
                <w:kern w:val="0"/>
                <w:szCs w:val="21"/>
                <w:highlight w:val="none"/>
                <w:lang w:val="en-US" w:eastAsia="zh-CN"/>
              </w:rPr>
            </w:pPr>
            <w:r>
              <w:rPr>
                <w:rFonts w:hint="default" w:ascii="Times New Roman" w:hAnsi="Times New Roman" w:eastAsia="宋体" w:cs="Times New Roman"/>
                <w:b/>
                <w:color w:val="auto"/>
                <w:sz w:val="21"/>
                <w:szCs w:val="21"/>
                <w:highlight w:val="none"/>
                <w:shd w:val="clear" w:color="auto" w:fill="auto"/>
              </w:rPr>
              <w:t>图</w:t>
            </w:r>
            <w:r>
              <w:rPr>
                <w:rFonts w:hint="default" w:ascii="Times New Roman" w:hAnsi="Times New Roman" w:eastAsia="宋体" w:cs="Times New Roman"/>
                <w:b/>
                <w:color w:val="auto"/>
                <w:sz w:val="21"/>
                <w:szCs w:val="21"/>
                <w:highlight w:val="none"/>
                <w:shd w:val="clear" w:color="auto" w:fill="auto"/>
                <w:lang w:val="en-US" w:eastAsia="zh-CN"/>
              </w:rPr>
              <w:t>2</w:t>
            </w:r>
            <w:r>
              <w:rPr>
                <w:rFonts w:hint="eastAsia" w:ascii="Times New Roman" w:hAnsi="Times New Roman" w:eastAsia="宋体" w:cs="Times New Roman"/>
                <w:b/>
                <w:color w:val="auto"/>
                <w:sz w:val="21"/>
                <w:szCs w:val="21"/>
                <w:highlight w:val="none"/>
                <w:shd w:val="clear" w:color="auto" w:fill="auto"/>
                <w:lang w:val="en-US" w:eastAsia="zh-CN"/>
              </w:rPr>
              <w:t>-3</w:t>
            </w:r>
            <w:r>
              <w:rPr>
                <w:rFonts w:hint="eastAsia" w:ascii="Times New Roman" w:hAnsi="Times New Roman" w:eastAsia="宋体" w:cs="Times New Roman"/>
                <w:b/>
                <w:bCs/>
                <w:snapToGrid w:val="0"/>
                <w:color w:val="auto"/>
                <w:kern w:val="0"/>
                <w:szCs w:val="21"/>
                <w:highlight w:val="none"/>
                <w:lang w:val="en-US" w:eastAsia="zh-CN"/>
              </w:rPr>
              <w:t xml:space="preserve"> 组件排布示意图</w:t>
            </w:r>
          </w:p>
          <w:p w14:paraId="270F1BC8">
            <w:pPr>
              <w:pStyle w:val="2"/>
              <w:rPr>
                <w:rFonts w:hint="eastAsia" w:ascii="Times New Roman" w:hAnsi="Times New Roman" w:eastAsia="宋体" w:cs="Times New Roman"/>
                <w:b/>
                <w:bCs/>
                <w:snapToGrid w:val="0"/>
                <w:color w:val="auto"/>
                <w:kern w:val="0"/>
                <w:szCs w:val="21"/>
                <w:highlight w:val="none"/>
                <w:lang w:val="en-US" w:eastAsia="zh-CN"/>
              </w:rPr>
            </w:pPr>
          </w:p>
          <w:p w14:paraId="13DDD88E">
            <w:pPr>
              <w:pStyle w:val="3"/>
              <w:rPr>
                <w:rFonts w:hint="eastAsia" w:ascii="Times New Roman" w:hAnsi="Times New Roman" w:eastAsia="宋体" w:cs="Times New Roman"/>
                <w:b/>
                <w:bCs/>
                <w:snapToGrid w:val="0"/>
                <w:color w:val="auto"/>
                <w:kern w:val="0"/>
                <w:szCs w:val="21"/>
                <w:highlight w:val="none"/>
                <w:lang w:val="en-US" w:eastAsia="zh-CN"/>
              </w:rPr>
            </w:pPr>
          </w:p>
          <w:p w14:paraId="1E9B8DBC">
            <w:pPr>
              <w:rPr>
                <w:rFonts w:hint="eastAsia" w:ascii="Times New Roman" w:hAnsi="Times New Roman" w:eastAsia="宋体" w:cs="Times New Roman"/>
                <w:b/>
                <w:bCs/>
                <w:snapToGrid w:val="0"/>
                <w:color w:val="auto"/>
                <w:kern w:val="0"/>
                <w:szCs w:val="21"/>
                <w:highlight w:val="none"/>
                <w:lang w:val="en-US" w:eastAsia="zh-CN"/>
              </w:rPr>
            </w:pPr>
          </w:p>
          <w:p w14:paraId="3FB66435">
            <w:pPr>
              <w:pStyle w:val="2"/>
              <w:rPr>
                <w:color w:val="auto"/>
              </w:rPr>
            </w:pPr>
          </w:p>
          <w:p w14:paraId="3F2CF640">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color w:val="auto"/>
                <w:kern w:val="0"/>
                <w:sz w:val="24"/>
                <w:szCs w:val="24"/>
                <w:lang w:val="en-US" w:eastAsia="zh-CN" w:bidi="ar"/>
              </w:rPr>
            </w:pPr>
            <w:r>
              <w:rPr>
                <w:color w:val="auto"/>
              </w:rPr>
              <w:drawing>
                <wp:inline distT="0" distB="0" distL="114300" distR="114300">
                  <wp:extent cx="2482215" cy="3391535"/>
                  <wp:effectExtent l="0" t="0" r="0" b="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0"/>
                          <a:srcRect b="5452"/>
                          <a:stretch>
                            <a:fillRect/>
                          </a:stretch>
                        </pic:blipFill>
                        <pic:spPr>
                          <a:xfrm>
                            <a:off x="0" y="0"/>
                            <a:ext cx="2482215" cy="3391535"/>
                          </a:xfrm>
                          <a:prstGeom prst="rect">
                            <a:avLst/>
                          </a:prstGeom>
                          <a:noFill/>
                          <a:ln>
                            <a:noFill/>
                          </a:ln>
                        </pic:spPr>
                      </pic:pic>
                    </a:graphicData>
                  </a:graphic>
                </wp:inline>
              </w:drawing>
            </w:r>
          </w:p>
          <w:p w14:paraId="55FFCEEB">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bCs/>
                <w:snapToGrid w:val="0"/>
                <w:color w:val="auto"/>
                <w:kern w:val="0"/>
                <w:szCs w:val="21"/>
                <w:highlight w:val="none"/>
                <w:lang w:val="en-US" w:eastAsia="zh-CN"/>
              </w:rPr>
            </w:pPr>
            <w:r>
              <w:rPr>
                <w:rFonts w:hint="default" w:ascii="Times New Roman" w:hAnsi="Times New Roman" w:eastAsia="宋体" w:cs="Times New Roman"/>
                <w:b/>
                <w:color w:val="auto"/>
                <w:sz w:val="21"/>
                <w:szCs w:val="21"/>
                <w:highlight w:val="none"/>
                <w:shd w:val="clear" w:color="auto" w:fill="auto"/>
              </w:rPr>
              <w:t>图</w:t>
            </w:r>
            <w:r>
              <w:rPr>
                <w:rFonts w:hint="default" w:ascii="Times New Roman" w:hAnsi="Times New Roman" w:eastAsia="宋体" w:cs="Times New Roman"/>
                <w:b/>
                <w:color w:val="auto"/>
                <w:sz w:val="21"/>
                <w:szCs w:val="21"/>
                <w:highlight w:val="none"/>
                <w:shd w:val="clear" w:color="auto" w:fill="auto"/>
                <w:lang w:val="en-US" w:eastAsia="zh-CN"/>
              </w:rPr>
              <w:t>2</w:t>
            </w:r>
            <w:r>
              <w:rPr>
                <w:rFonts w:hint="default" w:ascii="Times New Roman" w:hAnsi="Times New Roman" w:eastAsia="宋体" w:cs="Times New Roman"/>
                <w:b/>
                <w:color w:val="auto"/>
                <w:sz w:val="21"/>
                <w:szCs w:val="21"/>
                <w:highlight w:val="none"/>
                <w:shd w:val="clear" w:color="auto" w:fill="auto"/>
              </w:rPr>
              <w:t>-</w:t>
            </w:r>
            <w:r>
              <w:rPr>
                <w:rFonts w:hint="eastAsia" w:ascii="Times New Roman" w:cs="Times New Roman"/>
                <w:b/>
                <w:color w:val="auto"/>
                <w:sz w:val="21"/>
                <w:szCs w:val="21"/>
                <w:highlight w:val="none"/>
                <w:shd w:val="clear" w:color="auto" w:fill="auto"/>
                <w:lang w:val="en-US" w:eastAsia="zh-CN"/>
              </w:rPr>
              <w:t>4</w:t>
            </w:r>
            <w:r>
              <w:rPr>
                <w:rFonts w:hint="eastAsia" w:ascii="Times New Roman" w:hAnsi="Times New Roman" w:eastAsia="宋体" w:cs="Times New Roman"/>
                <w:b/>
                <w:bCs/>
                <w:snapToGrid w:val="0"/>
                <w:color w:val="auto"/>
                <w:kern w:val="0"/>
                <w:szCs w:val="21"/>
                <w:highlight w:val="none"/>
                <w:lang w:val="en-US" w:eastAsia="zh-CN"/>
              </w:rPr>
              <w:t xml:space="preserve"> 支架结构图</w:t>
            </w:r>
          </w:p>
          <w:p w14:paraId="00C2250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②</w:t>
            </w:r>
            <w:r>
              <w:rPr>
                <w:rFonts w:hint="default" w:ascii="Times New Roman" w:hAnsi="Times New Roman" w:cs="Times New Roman" w:eastAsiaTheme="minorEastAsia"/>
                <w:color w:val="auto"/>
                <w:kern w:val="0"/>
                <w:sz w:val="24"/>
                <w:szCs w:val="24"/>
                <w:lang w:val="en-US" w:eastAsia="zh-CN" w:bidi="ar"/>
              </w:rPr>
              <w:t>道路布置</w:t>
            </w:r>
          </w:p>
          <w:p w14:paraId="31C556F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auto"/>
                <w:kern w:val="0"/>
                <w:sz w:val="24"/>
                <w:szCs w:val="24"/>
                <w:lang w:val="en-US" w:eastAsia="zh-CN" w:bidi="ar"/>
              </w:rPr>
            </w:pPr>
            <w:r>
              <w:rPr>
                <w:rFonts w:hint="default" w:ascii="Times New Roman" w:hAnsi="Times New Roman" w:cs="Times New Roman" w:eastAsiaTheme="minorEastAsia"/>
                <w:color w:val="auto"/>
                <w:kern w:val="0"/>
                <w:sz w:val="24"/>
                <w:szCs w:val="24"/>
                <w:lang w:val="en-US" w:eastAsia="zh-CN" w:bidi="ar"/>
              </w:rPr>
              <w:t>场内改造道路长度约为5.54km，道路路基宽为4.5m，路面宽为3.5m，路面结构采用15cm泥结碎石路面。</w:t>
            </w:r>
          </w:p>
          <w:p w14:paraId="5BA5BE3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③</w:t>
            </w:r>
            <w:r>
              <w:rPr>
                <w:rFonts w:hint="default" w:ascii="Times New Roman" w:hAnsi="Times New Roman" w:cs="Times New Roman" w:eastAsiaTheme="minorEastAsia"/>
                <w:color w:val="auto"/>
                <w:kern w:val="0"/>
                <w:sz w:val="24"/>
                <w:szCs w:val="24"/>
                <w:lang w:val="en-US" w:eastAsia="zh-CN" w:bidi="ar"/>
              </w:rPr>
              <w:t>围栏布置</w:t>
            </w:r>
          </w:p>
          <w:p w14:paraId="3E0F3CB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auto"/>
                <w:kern w:val="0"/>
                <w:sz w:val="24"/>
                <w:szCs w:val="24"/>
                <w:lang w:val="en-US" w:eastAsia="zh-CN" w:bidi="ar"/>
              </w:rPr>
            </w:pPr>
            <w:r>
              <w:rPr>
                <w:rFonts w:hint="default" w:ascii="Times New Roman" w:hAnsi="Times New Roman" w:cs="Times New Roman" w:eastAsiaTheme="minorEastAsia"/>
                <w:color w:val="auto"/>
                <w:kern w:val="0"/>
                <w:sz w:val="24"/>
                <w:szCs w:val="24"/>
                <w:lang w:val="en-US" w:eastAsia="zh-CN" w:bidi="ar"/>
              </w:rPr>
              <w:t>光伏阵列区采用1.8m高铁丝围栏将光伏电站防护起来，根据现场实际情况在合适地方布置围栏大门，宽度4m，数量不少于10个。</w:t>
            </w:r>
          </w:p>
          <w:p w14:paraId="454CB66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color w:val="auto"/>
                <w:kern w:val="0"/>
                <w:sz w:val="24"/>
                <w:szCs w:val="24"/>
                <w:lang w:val="en-US" w:eastAsia="zh-CN" w:bidi="ar"/>
              </w:rPr>
            </w:pPr>
            <w:bookmarkStart w:id="2" w:name="bookmark53"/>
            <w:bookmarkEnd w:id="2"/>
            <w:r>
              <w:rPr>
                <w:rFonts w:hint="default" w:ascii="Times New Roman" w:hAnsi="Times New Roman" w:cs="Times New Roman" w:eastAsiaTheme="minorEastAsia"/>
                <w:color w:val="auto"/>
                <w:kern w:val="0"/>
                <w:sz w:val="24"/>
                <w:szCs w:val="24"/>
                <w:lang w:val="en-US" w:eastAsia="zh-CN" w:bidi="ar"/>
              </w:rPr>
              <w:t>本项目</w:t>
            </w:r>
            <w:r>
              <w:rPr>
                <w:rFonts w:hint="eastAsia" w:ascii="Times New Roman" w:hAnsi="Times New Roman" w:cs="Times New Roman"/>
                <w:color w:val="auto"/>
                <w:kern w:val="0"/>
                <w:sz w:val="24"/>
                <w:szCs w:val="24"/>
                <w:lang w:val="en-US" w:eastAsia="zh-CN" w:bidi="ar"/>
              </w:rPr>
              <w:t>光伏区</w:t>
            </w:r>
            <w:r>
              <w:rPr>
                <w:rFonts w:hint="default" w:ascii="Times New Roman" w:hAnsi="Times New Roman" w:cs="Times New Roman" w:eastAsiaTheme="minorEastAsia"/>
                <w:color w:val="auto"/>
                <w:kern w:val="0"/>
                <w:sz w:val="24"/>
                <w:szCs w:val="24"/>
                <w:lang w:val="en-US" w:eastAsia="zh-CN" w:bidi="ar"/>
              </w:rPr>
              <w:t>总平面布置详见附图3。</w:t>
            </w:r>
          </w:p>
          <w:p w14:paraId="0A35F3B4">
            <w:pPr>
              <w:adjustRightInd w:val="0"/>
              <w:snapToGrid w:val="0"/>
              <w:spacing w:line="360"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2、现场</w:t>
            </w:r>
            <w:r>
              <w:rPr>
                <w:rFonts w:hint="default" w:ascii="Times New Roman" w:hAnsi="Times New Roman" w:cs="Times New Roman"/>
                <w:color w:val="auto"/>
                <w:sz w:val="24"/>
              </w:rPr>
              <w:t>布置</w:t>
            </w:r>
          </w:p>
          <w:p w14:paraId="419F6B19">
            <w:pPr>
              <w:pStyle w:val="2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不在布设施工营地，施工机械设备租用居民院落停放，使用商品混凝土，车辆无法到达区域人工小推车运输，光伏组组件安装时，设备直接运输至现场进行组装，施工人员食宿租赁附近民居，现场办公租赁附近民居。</w:t>
            </w:r>
          </w:p>
          <w:p w14:paraId="22D065C6">
            <w:pPr>
              <w:pStyle w:val="2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项目施工总体布置见附图</w:t>
            </w:r>
            <w:r>
              <w:rPr>
                <w:rFonts w:hint="eastAsia" w:ascii="Times New Roman" w:cs="Times New Roman"/>
                <w:color w:val="auto"/>
                <w:kern w:val="2"/>
                <w:sz w:val="24"/>
                <w:szCs w:val="24"/>
                <w:highlight w:val="none"/>
                <w:lang w:val="en-US" w:eastAsia="zh-CN" w:bidi="ar-SA"/>
              </w:rPr>
              <w:t>4</w:t>
            </w:r>
          </w:p>
        </w:tc>
      </w:tr>
      <w:tr w14:paraId="5F8FCF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0" w:hRule="atLeast"/>
          <w:jc w:val="center"/>
        </w:trPr>
        <w:tc>
          <w:tcPr>
            <w:tcW w:w="456" w:type="dxa"/>
            <w:noWrap w:val="0"/>
            <w:vAlign w:val="center"/>
          </w:tcPr>
          <w:p w14:paraId="7650FF38">
            <w:pPr>
              <w:adjustRightInd w:val="0"/>
              <w:snapToGrid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 w:val="24"/>
                <w:szCs w:val="24"/>
                <w:highlight w:val="none"/>
              </w:rPr>
              <w:t>施工方案</w:t>
            </w:r>
          </w:p>
        </w:tc>
        <w:tc>
          <w:tcPr>
            <w:tcW w:w="8725" w:type="dxa"/>
            <w:noWrap w:val="0"/>
            <w:vAlign w:val="center"/>
          </w:tcPr>
          <w:p w14:paraId="5E55A086">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宋体" w:cs="Times New Roman"/>
                <w:b/>
                <w:color w:val="auto"/>
                <w:sz w:val="24"/>
                <w:szCs w:val="24"/>
                <w:highlight w:val="none"/>
                <w:lang w:val="en-US" w:eastAsia="zh-CN"/>
              </w:rPr>
            </w:pPr>
            <w:r>
              <w:rPr>
                <w:rFonts w:hint="eastAsia"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lang w:val="en-US" w:eastAsia="zh-CN"/>
              </w:rPr>
              <w:t>、施工方案</w:t>
            </w:r>
          </w:p>
          <w:p w14:paraId="1FD4429C">
            <w:pPr>
              <w:adjustRightInd w:val="0"/>
              <w:snapToGrid w:val="0"/>
              <w:spacing w:line="360" w:lineRule="auto"/>
              <w:ind w:firstLine="482" w:firstLineChars="200"/>
              <w:rPr>
                <w:rFonts w:hint="default" w:ascii="Times New Roman" w:hAnsi="Times New Roman" w:cs="Times New Roman"/>
                <w:b/>
                <w:bCs/>
                <w:color w:val="auto"/>
                <w:sz w:val="24"/>
                <w:szCs w:val="32"/>
                <w:lang w:val="en-US" w:eastAsia="zh-CN"/>
              </w:rPr>
            </w:pPr>
            <w:r>
              <w:rPr>
                <w:rFonts w:hint="eastAsia" w:ascii="Times New Roman" w:hAnsi="Times New Roman" w:cs="Times New Roman"/>
                <w:b/>
                <w:bCs/>
                <w:color w:val="auto"/>
                <w:sz w:val="24"/>
                <w:szCs w:val="32"/>
                <w:lang w:val="en-US" w:eastAsia="zh-CN"/>
              </w:rPr>
              <w:t>（1）</w:t>
            </w:r>
            <w:r>
              <w:rPr>
                <w:rFonts w:hint="default" w:ascii="Times New Roman" w:hAnsi="Times New Roman" w:cs="Times New Roman"/>
                <w:b/>
                <w:bCs/>
                <w:color w:val="auto"/>
                <w:sz w:val="24"/>
                <w:szCs w:val="32"/>
                <w:lang w:val="en-US" w:eastAsia="zh-CN"/>
              </w:rPr>
              <w:t>交通运输</w:t>
            </w:r>
          </w:p>
          <w:p w14:paraId="179FD93C">
            <w:pPr>
              <w:pStyle w:val="3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本光伏电站场址位于陕西省汉中市洋县磨子桥镇境内，与白河村、张山下村、朗顶村、牛家砭村相邻。场区位于东经107°29′32"～107°31′50"，北纬33°10′6"~33°11′22"之间。场区总用地面积约</w:t>
            </w:r>
            <w:r>
              <w:rPr>
                <w:rFonts w:hint="eastAsia" w:ascii="Times New Roman" w:hAnsi="Times New Roman" w:eastAsia="宋体" w:cs="Times New Roman"/>
                <w:color w:val="auto"/>
                <w:kern w:val="2"/>
                <w:sz w:val="24"/>
                <w:szCs w:val="24"/>
                <w:highlight w:val="none"/>
                <w:lang w:val="en-US" w:eastAsia="zh-CN" w:bidi="ar-SA"/>
              </w:rPr>
              <w:t>1043562.34m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，工程规划总装机容量60MW。场址距洋县直线距离6km，距汉中市直线距离47km，场址周围有高速路（G5）、县道（X101）、乡村道路通过，对外交通运输条件较便利。</w:t>
            </w:r>
          </w:p>
          <w:p w14:paraId="3AE4435A">
            <w:pPr>
              <w:adjustRightInd w:val="0"/>
              <w:snapToGrid w:val="0"/>
              <w:spacing w:line="360" w:lineRule="auto"/>
              <w:ind w:firstLine="482" w:firstLineChars="200"/>
              <w:rPr>
                <w:rFonts w:hint="default" w:ascii="Times New Roman" w:hAnsi="Times New Roman" w:cs="Times New Roman"/>
                <w:b/>
                <w:bCs/>
                <w:color w:val="auto"/>
                <w:sz w:val="24"/>
                <w:szCs w:val="32"/>
                <w:lang w:val="en-US" w:eastAsia="zh-CN"/>
              </w:rPr>
            </w:pPr>
            <w:r>
              <w:rPr>
                <w:rFonts w:hint="eastAsia" w:ascii="Times New Roman" w:hAnsi="Times New Roman" w:cs="Times New Roman"/>
                <w:b/>
                <w:bCs/>
                <w:color w:val="auto"/>
                <w:sz w:val="24"/>
                <w:szCs w:val="32"/>
                <w:lang w:val="en-US" w:eastAsia="zh-CN"/>
              </w:rPr>
              <w:t>（2）</w:t>
            </w:r>
            <w:r>
              <w:rPr>
                <w:rFonts w:hint="default" w:ascii="Times New Roman" w:hAnsi="Times New Roman" w:cs="Times New Roman"/>
                <w:b/>
                <w:bCs/>
                <w:color w:val="auto"/>
                <w:sz w:val="24"/>
                <w:szCs w:val="32"/>
                <w:lang w:val="en-US" w:eastAsia="zh-CN"/>
              </w:rPr>
              <w:t>施工用水</w:t>
            </w:r>
          </w:p>
          <w:p w14:paraId="34D61E46">
            <w:pPr>
              <w:pStyle w:val="3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项目用水包括建筑施工用水、施工机械用水、生活用水等，水源从周边村庄拉运。</w:t>
            </w:r>
          </w:p>
          <w:p w14:paraId="5505558C">
            <w:pPr>
              <w:adjustRightInd w:val="0"/>
              <w:snapToGrid w:val="0"/>
              <w:spacing w:line="360" w:lineRule="auto"/>
              <w:ind w:firstLine="482" w:firstLineChars="200"/>
              <w:rPr>
                <w:rFonts w:hint="default" w:ascii="Times New Roman" w:hAnsi="Times New Roman" w:cs="Times New Roman"/>
                <w:b/>
                <w:bCs/>
                <w:color w:val="auto"/>
                <w:sz w:val="24"/>
                <w:szCs w:val="32"/>
                <w:lang w:val="en-US" w:eastAsia="zh-CN"/>
              </w:rPr>
            </w:pPr>
            <w:r>
              <w:rPr>
                <w:rFonts w:hint="eastAsia" w:ascii="Times New Roman" w:hAnsi="Times New Roman" w:cs="Times New Roman"/>
                <w:b/>
                <w:bCs/>
                <w:color w:val="auto"/>
                <w:sz w:val="24"/>
                <w:szCs w:val="32"/>
                <w:lang w:val="en-US" w:eastAsia="zh-CN"/>
              </w:rPr>
              <w:t>（3）</w:t>
            </w:r>
            <w:r>
              <w:rPr>
                <w:rFonts w:hint="default" w:ascii="Times New Roman" w:hAnsi="Times New Roman" w:cs="Times New Roman"/>
                <w:b/>
                <w:bCs/>
                <w:color w:val="auto"/>
                <w:sz w:val="24"/>
                <w:szCs w:val="32"/>
                <w:lang w:val="en-US" w:eastAsia="zh-CN"/>
              </w:rPr>
              <w:t>施工用电</w:t>
            </w:r>
          </w:p>
          <w:p w14:paraId="7837CE9B">
            <w:pPr>
              <w:pStyle w:val="3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可引接附近村庄10kV农网，引接长度约2km。另备用4台75kW柴油发电机作为施工备用电源。</w:t>
            </w:r>
          </w:p>
          <w:p w14:paraId="49C35394">
            <w:pPr>
              <w:adjustRightInd w:val="0"/>
              <w:snapToGrid w:val="0"/>
              <w:spacing w:line="360" w:lineRule="auto"/>
              <w:ind w:firstLine="482" w:firstLineChars="200"/>
              <w:rPr>
                <w:rFonts w:hint="default" w:ascii="Times New Roman" w:hAnsi="Times New Roman" w:cs="Times New Roman"/>
                <w:b/>
                <w:bCs/>
                <w:color w:val="auto"/>
                <w:sz w:val="24"/>
                <w:szCs w:val="32"/>
                <w:lang w:val="en-US" w:eastAsia="zh-CN"/>
              </w:rPr>
            </w:pPr>
            <w:r>
              <w:rPr>
                <w:rFonts w:hint="eastAsia" w:ascii="Times New Roman" w:hAnsi="Times New Roman" w:cs="Times New Roman"/>
                <w:b/>
                <w:bCs/>
                <w:color w:val="auto"/>
                <w:sz w:val="24"/>
                <w:szCs w:val="32"/>
                <w:lang w:val="en-US" w:eastAsia="zh-CN"/>
              </w:rPr>
              <w:t>（4）</w:t>
            </w:r>
            <w:r>
              <w:rPr>
                <w:rFonts w:hint="default" w:ascii="Times New Roman" w:hAnsi="Times New Roman" w:cs="Times New Roman"/>
                <w:b/>
                <w:bCs/>
                <w:color w:val="auto"/>
                <w:sz w:val="24"/>
                <w:szCs w:val="32"/>
                <w:lang w:val="en-US" w:eastAsia="zh-CN"/>
              </w:rPr>
              <w:t>建筑材料</w:t>
            </w:r>
          </w:p>
          <w:p w14:paraId="7DEB573F">
            <w:pPr>
              <w:pStyle w:val="3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建筑材料来源：本工程所需的主要材料为</w:t>
            </w:r>
            <w:r>
              <w:rPr>
                <w:rFonts w:hint="eastAsia" w:ascii="Times New Roman" w:hAnsi="Times New Roman" w:eastAsia="宋体" w:cs="Times New Roman"/>
                <w:color w:val="auto"/>
                <w:sz w:val="24"/>
                <w:szCs w:val="24"/>
                <w:highlight w:val="none"/>
                <w:lang w:val="en-US" w:eastAsia="zh-CN"/>
              </w:rPr>
              <w:t>商品混凝土，</w:t>
            </w:r>
            <w:r>
              <w:rPr>
                <w:rFonts w:hint="default" w:ascii="Times New Roman" w:hAnsi="Times New Roman" w:eastAsia="宋体" w:cs="Times New Roman"/>
                <w:color w:val="auto"/>
                <w:sz w:val="24"/>
                <w:szCs w:val="24"/>
                <w:highlight w:val="none"/>
                <w:lang w:val="en-US" w:eastAsia="zh-CN"/>
              </w:rPr>
              <w:t>钢材、木材、油料等，可以从洋县购买。</w:t>
            </w:r>
          </w:p>
          <w:p w14:paraId="3FBDC6F4">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1"/>
                <w:szCs w:val="24"/>
                <w:lang w:val="en-US" w:eastAsia="zh-CN"/>
              </w:rPr>
              <w:t>表2-8    建筑材料消耗情况</w:t>
            </w:r>
          </w:p>
          <w:tbl>
            <w:tblPr>
              <w:tblStyle w:val="58"/>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56"/>
              <w:gridCol w:w="3561"/>
              <w:gridCol w:w="917"/>
              <w:gridCol w:w="1192"/>
              <w:gridCol w:w="2412"/>
            </w:tblGrid>
            <w:tr w14:paraId="224B6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5000" w:type="pct"/>
                  <w:gridSpan w:val="5"/>
                  <w:noWrap w:val="0"/>
                  <w:vAlign w:val="center"/>
                </w:tcPr>
                <w:p w14:paraId="0FD474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光伏阵列基础项目量表</w:t>
                  </w:r>
                </w:p>
              </w:tc>
            </w:tr>
            <w:tr w14:paraId="42C05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79" w:type="pct"/>
                  <w:noWrap w:val="0"/>
                  <w:vAlign w:val="center"/>
                </w:tcPr>
                <w:p w14:paraId="71F8AF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1992" w:type="pct"/>
                  <w:noWrap w:val="0"/>
                  <w:vAlign w:val="center"/>
                </w:tcPr>
                <w:p w14:paraId="2961C6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p>
              </w:tc>
              <w:tc>
                <w:tcPr>
                  <w:tcW w:w="513" w:type="pct"/>
                  <w:noWrap w:val="0"/>
                  <w:vAlign w:val="center"/>
                </w:tcPr>
                <w:p w14:paraId="7C08C0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单位</w:t>
                  </w:r>
                </w:p>
              </w:tc>
              <w:tc>
                <w:tcPr>
                  <w:tcW w:w="667" w:type="pct"/>
                  <w:noWrap w:val="0"/>
                  <w:vAlign w:val="center"/>
                </w:tcPr>
                <w:p w14:paraId="041136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数量</w:t>
                  </w:r>
                </w:p>
              </w:tc>
              <w:tc>
                <w:tcPr>
                  <w:tcW w:w="1346" w:type="pct"/>
                  <w:noWrap w:val="0"/>
                  <w:vAlign w:val="center"/>
                </w:tcPr>
                <w:p w14:paraId="2B86B9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备注</w:t>
                  </w:r>
                </w:p>
              </w:tc>
            </w:tr>
            <w:tr w14:paraId="01397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79" w:type="pct"/>
                  <w:noWrap w:val="0"/>
                  <w:vAlign w:val="center"/>
                </w:tcPr>
                <w:p w14:paraId="4B64C2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w:t>
                  </w:r>
                </w:p>
              </w:tc>
              <w:tc>
                <w:tcPr>
                  <w:tcW w:w="1992" w:type="pct"/>
                  <w:noWrap w:val="0"/>
                  <w:vAlign w:val="center"/>
                </w:tcPr>
                <w:p w14:paraId="21D929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光伏阵列基础</w:t>
                  </w:r>
                </w:p>
              </w:tc>
              <w:tc>
                <w:tcPr>
                  <w:tcW w:w="513" w:type="pct"/>
                  <w:noWrap w:val="0"/>
                  <w:vAlign w:val="center"/>
                </w:tcPr>
                <w:p w14:paraId="001035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667" w:type="pct"/>
                  <w:noWrap w:val="0"/>
                  <w:vAlign w:val="center"/>
                </w:tcPr>
                <w:p w14:paraId="317E5E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346" w:type="pct"/>
                  <w:noWrap w:val="0"/>
                  <w:vAlign w:val="center"/>
                </w:tcPr>
                <w:p w14:paraId="323C5B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7B652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79" w:type="pct"/>
                  <w:noWrap w:val="0"/>
                  <w:vAlign w:val="center"/>
                </w:tcPr>
                <w:p w14:paraId="59FFAA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92" w:type="pct"/>
                  <w:noWrap w:val="0"/>
                  <w:vAlign w:val="center"/>
                </w:tcPr>
                <w:p w14:paraId="2826A2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预制桩</w:t>
                  </w:r>
                </w:p>
              </w:tc>
              <w:tc>
                <w:tcPr>
                  <w:tcW w:w="513" w:type="pct"/>
                  <w:noWrap w:val="0"/>
                  <w:vAlign w:val="center"/>
                </w:tcPr>
                <w:p w14:paraId="7516DB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w:t>
                  </w:r>
                </w:p>
              </w:tc>
              <w:tc>
                <w:tcPr>
                  <w:tcW w:w="667" w:type="pct"/>
                  <w:noWrap w:val="0"/>
                  <w:vAlign w:val="center"/>
                </w:tcPr>
                <w:p w14:paraId="2AA0DA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15184</w:t>
                  </w:r>
                </w:p>
              </w:tc>
              <w:tc>
                <w:tcPr>
                  <w:tcW w:w="1346" w:type="pct"/>
                  <w:noWrap w:val="0"/>
                  <w:vAlign w:val="center"/>
                </w:tcPr>
                <w:p w14:paraId="60EB69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PHC300-B-70型预制管桩</w:t>
                  </w:r>
                </w:p>
              </w:tc>
            </w:tr>
            <w:tr w14:paraId="0E9FE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79" w:type="pct"/>
                  <w:noWrap w:val="0"/>
                  <w:vAlign w:val="center"/>
                </w:tcPr>
                <w:p w14:paraId="0F4D46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992" w:type="pct"/>
                  <w:noWrap w:val="0"/>
                  <w:vAlign w:val="center"/>
                </w:tcPr>
                <w:p w14:paraId="5E6A39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阵列支架钢材</w:t>
                  </w:r>
                </w:p>
              </w:tc>
              <w:tc>
                <w:tcPr>
                  <w:tcW w:w="513" w:type="pct"/>
                  <w:noWrap w:val="0"/>
                  <w:vAlign w:val="center"/>
                </w:tcPr>
                <w:p w14:paraId="7A1CE2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667" w:type="pct"/>
                  <w:noWrap w:val="0"/>
                  <w:vAlign w:val="center"/>
                </w:tcPr>
                <w:p w14:paraId="655477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2239</w:t>
                  </w:r>
                </w:p>
              </w:tc>
              <w:tc>
                <w:tcPr>
                  <w:tcW w:w="1346" w:type="pct"/>
                  <w:noWrap w:val="0"/>
                  <w:vAlign w:val="center"/>
                </w:tcPr>
                <w:p w14:paraId="18E374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冷弯薄壁型钢</w:t>
                  </w:r>
                </w:p>
              </w:tc>
            </w:tr>
            <w:tr w14:paraId="12DB5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79" w:type="pct"/>
                  <w:noWrap w:val="0"/>
                  <w:vAlign w:val="center"/>
                </w:tcPr>
                <w:p w14:paraId="79E242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992" w:type="pct"/>
                  <w:noWrap w:val="0"/>
                  <w:vAlign w:val="center"/>
                </w:tcPr>
                <w:p w14:paraId="6F94D5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逆变器支架</w:t>
                  </w:r>
                </w:p>
              </w:tc>
              <w:tc>
                <w:tcPr>
                  <w:tcW w:w="513" w:type="pct"/>
                  <w:noWrap w:val="0"/>
                  <w:vAlign w:val="center"/>
                </w:tcPr>
                <w:p w14:paraId="646D5D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w:t>
                  </w:r>
                </w:p>
              </w:tc>
              <w:tc>
                <w:tcPr>
                  <w:tcW w:w="667" w:type="pct"/>
                  <w:noWrap w:val="0"/>
                  <w:vAlign w:val="center"/>
                </w:tcPr>
                <w:p w14:paraId="5DA39E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1346" w:type="pct"/>
                  <w:noWrap w:val="0"/>
                  <w:vAlign w:val="center"/>
                </w:tcPr>
                <w:p w14:paraId="5ADA11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4B8F6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79" w:type="pct"/>
                  <w:noWrap w:val="0"/>
                  <w:vAlign w:val="center"/>
                </w:tcPr>
                <w:p w14:paraId="44C9DA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1992" w:type="pct"/>
                  <w:noWrap w:val="0"/>
                  <w:vAlign w:val="center"/>
                </w:tcPr>
                <w:p w14:paraId="732806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箱式变压器</w:t>
                  </w:r>
                </w:p>
              </w:tc>
              <w:tc>
                <w:tcPr>
                  <w:tcW w:w="513" w:type="pct"/>
                  <w:noWrap w:val="0"/>
                  <w:vAlign w:val="center"/>
                </w:tcPr>
                <w:p w14:paraId="180DB2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667" w:type="pct"/>
                  <w:noWrap w:val="0"/>
                  <w:vAlign w:val="center"/>
                </w:tcPr>
                <w:p w14:paraId="586CA8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346" w:type="pct"/>
                  <w:noWrap w:val="0"/>
                  <w:vAlign w:val="center"/>
                </w:tcPr>
                <w:p w14:paraId="33A1FF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1B3D5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79" w:type="pct"/>
                  <w:noWrap w:val="0"/>
                  <w:vAlign w:val="center"/>
                </w:tcPr>
                <w:p w14:paraId="5D8CD8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4.1</w:t>
                  </w:r>
                </w:p>
              </w:tc>
              <w:tc>
                <w:tcPr>
                  <w:tcW w:w="1992" w:type="pct"/>
                  <w:noWrap w:val="0"/>
                  <w:vAlign w:val="top"/>
                </w:tcPr>
                <w:p w14:paraId="352279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钢筋</w:t>
                  </w:r>
                </w:p>
              </w:tc>
              <w:tc>
                <w:tcPr>
                  <w:tcW w:w="513" w:type="pct"/>
                  <w:noWrap w:val="0"/>
                  <w:vAlign w:val="top"/>
                </w:tcPr>
                <w:p w14:paraId="0FDE81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w:t>
                  </w:r>
                </w:p>
              </w:tc>
              <w:tc>
                <w:tcPr>
                  <w:tcW w:w="667" w:type="pct"/>
                  <w:noWrap w:val="0"/>
                  <w:vAlign w:val="top"/>
                </w:tcPr>
                <w:p w14:paraId="36E986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33.6</w:t>
                  </w:r>
                </w:p>
              </w:tc>
              <w:tc>
                <w:tcPr>
                  <w:tcW w:w="1346" w:type="pct"/>
                  <w:noWrap w:val="0"/>
                  <w:vAlign w:val="center"/>
                </w:tcPr>
                <w:p w14:paraId="0B17FE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15A89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79" w:type="pct"/>
                  <w:noWrap w:val="0"/>
                  <w:vAlign w:val="center"/>
                </w:tcPr>
                <w:p w14:paraId="6FBAED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w:t>
                  </w:r>
                </w:p>
              </w:tc>
              <w:tc>
                <w:tcPr>
                  <w:tcW w:w="1992" w:type="pct"/>
                  <w:noWrap w:val="0"/>
                  <w:vAlign w:val="top"/>
                </w:tcPr>
                <w:p w14:paraId="5AE9FC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预埋槽钢</w:t>
                  </w:r>
                </w:p>
              </w:tc>
              <w:tc>
                <w:tcPr>
                  <w:tcW w:w="513" w:type="pct"/>
                  <w:noWrap w:val="0"/>
                  <w:vAlign w:val="top"/>
                </w:tcPr>
                <w:p w14:paraId="6E0309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w:t>
                  </w:r>
                </w:p>
              </w:tc>
              <w:tc>
                <w:tcPr>
                  <w:tcW w:w="667" w:type="pct"/>
                  <w:noWrap w:val="0"/>
                  <w:vAlign w:val="top"/>
                </w:tcPr>
                <w:p w14:paraId="420504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2.76</w:t>
                  </w:r>
                </w:p>
              </w:tc>
              <w:tc>
                <w:tcPr>
                  <w:tcW w:w="1346" w:type="pct"/>
                  <w:noWrap w:val="0"/>
                  <w:vAlign w:val="center"/>
                </w:tcPr>
                <w:p w14:paraId="7B2A81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64619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79" w:type="pct"/>
                  <w:noWrap w:val="0"/>
                  <w:vAlign w:val="center"/>
                </w:tcPr>
                <w:p w14:paraId="6EBC4F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w:t>
                  </w:r>
                </w:p>
              </w:tc>
              <w:tc>
                <w:tcPr>
                  <w:tcW w:w="1992" w:type="pct"/>
                  <w:noWrap w:val="0"/>
                  <w:vAlign w:val="top"/>
                </w:tcPr>
                <w:p w14:paraId="055B13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护栏及爬梯</w:t>
                  </w:r>
                </w:p>
              </w:tc>
              <w:tc>
                <w:tcPr>
                  <w:tcW w:w="513" w:type="pct"/>
                  <w:noWrap w:val="0"/>
                  <w:vAlign w:val="top"/>
                </w:tcPr>
                <w:p w14:paraId="459239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w:t>
                  </w:r>
                </w:p>
              </w:tc>
              <w:tc>
                <w:tcPr>
                  <w:tcW w:w="667" w:type="pct"/>
                  <w:noWrap w:val="0"/>
                  <w:vAlign w:val="top"/>
                </w:tcPr>
                <w:p w14:paraId="7670C1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1346" w:type="pct"/>
                  <w:noWrap w:val="0"/>
                  <w:vAlign w:val="center"/>
                </w:tcPr>
                <w:p w14:paraId="2E6931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06039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79" w:type="pct"/>
                  <w:noWrap w:val="0"/>
                  <w:vAlign w:val="center"/>
                </w:tcPr>
                <w:p w14:paraId="601BC5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1992" w:type="pct"/>
                  <w:noWrap w:val="0"/>
                  <w:vAlign w:val="center"/>
                </w:tcPr>
                <w:p w14:paraId="595A9B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场区围栏</w:t>
                  </w:r>
                </w:p>
              </w:tc>
              <w:tc>
                <w:tcPr>
                  <w:tcW w:w="513" w:type="pct"/>
                  <w:noWrap w:val="0"/>
                  <w:vAlign w:val="center"/>
                </w:tcPr>
                <w:p w14:paraId="06111D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667" w:type="pct"/>
                  <w:noWrap w:val="0"/>
                  <w:vAlign w:val="center"/>
                </w:tcPr>
                <w:p w14:paraId="4EE3F9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346" w:type="pct"/>
                  <w:noWrap w:val="0"/>
                  <w:vAlign w:val="center"/>
                </w:tcPr>
                <w:p w14:paraId="07D2BB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42F27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79" w:type="pct"/>
                  <w:noWrap w:val="0"/>
                  <w:vAlign w:val="center"/>
                </w:tcPr>
                <w:p w14:paraId="094671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w:t>
                  </w:r>
                </w:p>
              </w:tc>
              <w:tc>
                <w:tcPr>
                  <w:tcW w:w="1992" w:type="pct"/>
                  <w:noWrap w:val="0"/>
                  <w:vAlign w:val="center"/>
                </w:tcPr>
                <w:p w14:paraId="4C71AF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护栏网围墙高度为1.</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m</w:t>
                  </w:r>
                </w:p>
              </w:tc>
              <w:tc>
                <w:tcPr>
                  <w:tcW w:w="513" w:type="pct"/>
                  <w:noWrap w:val="0"/>
                  <w:vAlign w:val="center"/>
                </w:tcPr>
                <w:p w14:paraId="7CAF76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km</w:t>
                  </w:r>
                </w:p>
              </w:tc>
              <w:tc>
                <w:tcPr>
                  <w:tcW w:w="667" w:type="pct"/>
                  <w:noWrap w:val="0"/>
                  <w:vAlign w:val="center"/>
                </w:tcPr>
                <w:p w14:paraId="5832F8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w:t>
                  </w:r>
                </w:p>
              </w:tc>
              <w:tc>
                <w:tcPr>
                  <w:tcW w:w="1346" w:type="pct"/>
                  <w:noWrap w:val="0"/>
                  <w:vAlign w:val="center"/>
                </w:tcPr>
                <w:p w14:paraId="640E9D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7503C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79" w:type="pct"/>
                  <w:noWrap w:val="0"/>
                  <w:vAlign w:val="center"/>
                </w:tcPr>
                <w:p w14:paraId="280088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1992" w:type="pct"/>
                  <w:noWrap w:val="0"/>
                  <w:vAlign w:val="top"/>
                </w:tcPr>
                <w:p w14:paraId="51C3EF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光伏区排水沟</w:t>
                  </w:r>
                </w:p>
              </w:tc>
              <w:tc>
                <w:tcPr>
                  <w:tcW w:w="513" w:type="pct"/>
                  <w:noWrap w:val="0"/>
                  <w:vAlign w:val="top"/>
                </w:tcPr>
                <w:p w14:paraId="13D661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667" w:type="pct"/>
                  <w:noWrap w:val="0"/>
                  <w:vAlign w:val="top"/>
                </w:tcPr>
                <w:p w14:paraId="719212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346" w:type="pct"/>
                  <w:noWrap w:val="0"/>
                  <w:vAlign w:val="center"/>
                </w:tcPr>
                <w:p w14:paraId="508739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5C45F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79" w:type="pct"/>
                  <w:noWrap w:val="0"/>
                  <w:vAlign w:val="center"/>
                </w:tcPr>
                <w:p w14:paraId="0B403B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6.1</w:t>
                  </w:r>
                </w:p>
              </w:tc>
              <w:tc>
                <w:tcPr>
                  <w:tcW w:w="1992" w:type="pct"/>
                  <w:noWrap w:val="0"/>
                  <w:vAlign w:val="top"/>
                </w:tcPr>
                <w:p w14:paraId="4F7095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M7.5 浆砌石</w:t>
                  </w:r>
                </w:p>
              </w:tc>
              <w:tc>
                <w:tcPr>
                  <w:tcW w:w="513" w:type="pct"/>
                  <w:noWrap w:val="0"/>
                  <w:vAlign w:val="top"/>
                </w:tcPr>
                <w:p w14:paraId="7BF67F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p>
              </w:tc>
              <w:tc>
                <w:tcPr>
                  <w:tcW w:w="667" w:type="pct"/>
                  <w:noWrap w:val="0"/>
                  <w:vAlign w:val="top"/>
                </w:tcPr>
                <w:p w14:paraId="056581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576</w:t>
                  </w:r>
                </w:p>
              </w:tc>
              <w:tc>
                <w:tcPr>
                  <w:tcW w:w="1346" w:type="pct"/>
                  <w:noWrap w:val="0"/>
                  <w:vAlign w:val="center"/>
                </w:tcPr>
                <w:p w14:paraId="2BCB2C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1BA2F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79" w:type="pct"/>
                  <w:noWrap w:val="0"/>
                  <w:vAlign w:val="center"/>
                </w:tcPr>
                <w:p w14:paraId="513699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1992" w:type="pct"/>
                  <w:noWrap w:val="0"/>
                  <w:vAlign w:val="center"/>
                </w:tcPr>
                <w:p w14:paraId="727DE2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混凝土</w:t>
                  </w:r>
                </w:p>
              </w:tc>
              <w:tc>
                <w:tcPr>
                  <w:tcW w:w="513" w:type="pct"/>
                  <w:noWrap w:val="0"/>
                  <w:vAlign w:val="center"/>
                </w:tcPr>
                <w:p w14:paraId="205066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p>
              </w:tc>
              <w:tc>
                <w:tcPr>
                  <w:tcW w:w="667" w:type="pct"/>
                  <w:noWrap w:val="0"/>
                  <w:vAlign w:val="center"/>
                </w:tcPr>
                <w:p w14:paraId="1F9CF4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w:t>
                  </w:r>
                </w:p>
              </w:tc>
              <w:tc>
                <w:tcPr>
                  <w:tcW w:w="1346" w:type="pct"/>
                  <w:noWrap w:val="0"/>
                  <w:vAlign w:val="center"/>
                </w:tcPr>
                <w:p w14:paraId="454849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bl>
          <w:p w14:paraId="41539F16">
            <w:pPr>
              <w:adjustRightInd w:val="0"/>
              <w:snapToGrid w:val="0"/>
              <w:spacing w:line="360" w:lineRule="auto"/>
              <w:ind w:firstLine="482" w:firstLineChars="200"/>
              <w:rPr>
                <w:rFonts w:hint="default" w:ascii="Times New Roman" w:hAnsi="Times New Roman" w:cs="Times New Roman"/>
                <w:b/>
                <w:bCs/>
                <w:color w:val="auto"/>
                <w:sz w:val="24"/>
                <w:szCs w:val="32"/>
              </w:rPr>
            </w:pPr>
            <w:r>
              <w:rPr>
                <w:rFonts w:hint="eastAsia" w:ascii="Times New Roman" w:hAnsi="Times New Roman" w:cs="Times New Roman"/>
                <w:b/>
                <w:bCs/>
                <w:color w:val="auto"/>
                <w:sz w:val="24"/>
                <w:szCs w:val="32"/>
                <w:lang w:val="en-US" w:eastAsia="zh-CN"/>
              </w:rPr>
              <w:t>（5）</w:t>
            </w:r>
            <w:r>
              <w:rPr>
                <w:rFonts w:hint="default" w:ascii="Times New Roman" w:hAnsi="Times New Roman" w:cs="Times New Roman"/>
                <w:b/>
                <w:bCs/>
                <w:color w:val="auto"/>
                <w:sz w:val="24"/>
                <w:szCs w:val="32"/>
              </w:rPr>
              <w:t>本项目主要施工设备</w:t>
            </w:r>
          </w:p>
          <w:p w14:paraId="6C098B2F">
            <w:pPr>
              <w:pStyle w:val="28"/>
              <w:snapToGrid w:val="0"/>
              <w:spacing w:line="360" w:lineRule="auto"/>
              <w:ind w:firstLine="480" w:firstLineChars="200"/>
              <w:rPr>
                <w:rFonts w:hint="default" w:ascii="Times New Roman" w:hAnsi="Times New Roman" w:cs="Times New Roman"/>
                <w:b/>
                <w:bCs/>
                <w:color w:val="auto"/>
                <w:szCs w:val="21"/>
              </w:rPr>
            </w:pPr>
            <w:r>
              <w:rPr>
                <w:rFonts w:hint="default" w:ascii="Times New Roman" w:hAnsi="Times New Roman" w:cs="Times New Roman"/>
                <w:color w:val="auto"/>
              </w:rPr>
              <w:t>本项目主要施工设备见表2-3。</w:t>
            </w:r>
          </w:p>
          <w:p w14:paraId="49506297">
            <w:pPr>
              <w:adjustRightInd w:val="0"/>
              <w:snapToGrid w:val="0"/>
              <w:spacing w:line="36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表2-</w:t>
            </w:r>
            <w:r>
              <w:rPr>
                <w:rFonts w:hint="eastAsia" w:ascii="Times New Roman" w:hAnsi="Times New Roman" w:cs="Times New Roman"/>
                <w:b/>
                <w:bCs/>
                <w:color w:val="auto"/>
                <w:szCs w:val="21"/>
                <w:lang w:val="en-US" w:eastAsia="zh-CN"/>
              </w:rPr>
              <w:t>9</w:t>
            </w:r>
            <w:r>
              <w:rPr>
                <w:rFonts w:hint="default" w:ascii="Times New Roman" w:hAnsi="Times New Roman" w:cs="Times New Roman"/>
                <w:b/>
                <w:bCs/>
                <w:color w:val="auto"/>
                <w:szCs w:val="21"/>
              </w:rPr>
              <w:t xml:space="preserve"> 项目主要施工设备一览表</w:t>
            </w:r>
          </w:p>
          <w:tbl>
            <w:tblPr>
              <w:tblStyle w:val="5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18"/>
              <w:gridCol w:w="1456"/>
              <w:gridCol w:w="2088"/>
              <w:gridCol w:w="2152"/>
              <w:gridCol w:w="937"/>
              <w:gridCol w:w="1382"/>
            </w:tblGrid>
            <w:tr w14:paraId="025BA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14" w:type="pct"/>
                  <w:tcBorders>
                    <w:top w:val="single" w:color="000000" w:sz="10" w:space="0"/>
                    <w:left w:val="single" w:color="000000" w:sz="10" w:space="0"/>
                  </w:tcBorders>
                  <w:vAlign w:val="top"/>
                </w:tcPr>
                <w:p w14:paraId="51F8140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序号</w:t>
                  </w:r>
                </w:p>
              </w:tc>
              <w:tc>
                <w:tcPr>
                  <w:tcW w:w="815" w:type="pct"/>
                  <w:tcBorders>
                    <w:top w:val="single" w:color="000000" w:sz="10" w:space="0"/>
                  </w:tcBorders>
                  <w:vAlign w:val="top"/>
                </w:tcPr>
                <w:p w14:paraId="4E65408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名称</w:t>
                  </w:r>
                </w:p>
              </w:tc>
              <w:tc>
                <w:tcPr>
                  <w:tcW w:w="1168" w:type="pct"/>
                  <w:tcBorders>
                    <w:top w:val="single" w:color="000000" w:sz="10" w:space="0"/>
                  </w:tcBorders>
                  <w:vAlign w:val="top"/>
                </w:tcPr>
                <w:p w14:paraId="5B50394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型号及规格</w:t>
                  </w:r>
                </w:p>
              </w:tc>
              <w:tc>
                <w:tcPr>
                  <w:tcW w:w="1204" w:type="pct"/>
                  <w:tcBorders>
                    <w:top w:val="single" w:color="000000" w:sz="10" w:space="0"/>
                  </w:tcBorders>
                  <w:vAlign w:val="top"/>
                </w:tcPr>
                <w:p w14:paraId="0943BF4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单位</w:t>
                  </w:r>
                </w:p>
              </w:tc>
              <w:tc>
                <w:tcPr>
                  <w:tcW w:w="524" w:type="pct"/>
                  <w:tcBorders>
                    <w:top w:val="single" w:color="000000" w:sz="10" w:space="0"/>
                  </w:tcBorders>
                  <w:vAlign w:val="top"/>
                </w:tcPr>
                <w:p w14:paraId="30AD579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数量</w:t>
                  </w:r>
                </w:p>
              </w:tc>
              <w:tc>
                <w:tcPr>
                  <w:tcW w:w="773" w:type="pct"/>
                  <w:tcBorders>
                    <w:top w:val="single" w:color="000000" w:sz="10" w:space="0"/>
                    <w:right w:val="single" w:color="000000" w:sz="10" w:space="0"/>
                  </w:tcBorders>
                  <w:vAlign w:val="top"/>
                </w:tcPr>
                <w:p w14:paraId="23FFCB2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备注</w:t>
                  </w:r>
                </w:p>
              </w:tc>
            </w:tr>
            <w:tr w14:paraId="4861F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14" w:type="pct"/>
                  <w:tcBorders>
                    <w:left w:val="single" w:color="000000" w:sz="10" w:space="0"/>
                  </w:tcBorders>
                  <w:vAlign w:val="top"/>
                </w:tcPr>
                <w:p w14:paraId="7CE52AC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w:t>
                  </w:r>
                </w:p>
              </w:tc>
              <w:tc>
                <w:tcPr>
                  <w:tcW w:w="815" w:type="pct"/>
                  <w:vAlign w:val="top"/>
                </w:tcPr>
                <w:p w14:paraId="7E13BF7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汽车吊</w:t>
                  </w:r>
                </w:p>
              </w:tc>
              <w:tc>
                <w:tcPr>
                  <w:tcW w:w="1168" w:type="pct"/>
                  <w:vAlign w:val="top"/>
                </w:tcPr>
                <w:p w14:paraId="152F2E0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30t</w:t>
                  </w:r>
                </w:p>
              </w:tc>
              <w:tc>
                <w:tcPr>
                  <w:tcW w:w="1204" w:type="pct"/>
                  <w:vAlign w:val="top"/>
                </w:tcPr>
                <w:p w14:paraId="20A118A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台</w:t>
                  </w:r>
                </w:p>
              </w:tc>
              <w:tc>
                <w:tcPr>
                  <w:tcW w:w="524" w:type="pct"/>
                  <w:vAlign w:val="top"/>
                </w:tcPr>
                <w:p w14:paraId="320F2F0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6</w:t>
                  </w:r>
                </w:p>
              </w:tc>
              <w:tc>
                <w:tcPr>
                  <w:tcW w:w="773" w:type="pct"/>
                  <w:tcBorders>
                    <w:right w:val="single" w:color="000000" w:sz="10" w:space="0"/>
                  </w:tcBorders>
                  <w:vAlign w:val="top"/>
                </w:tcPr>
                <w:p w14:paraId="4D2DBFA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49B99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14" w:type="pct"/>
                  <w:tcBorders>
                    <w:left w:val="single" w:color="000000" w:sz="10" w:space="0"/>
                  </w:tcBorders>
                  <w:vAlign w:val="top"/>
                </w:tcPr>
                <w:p w14:paraId="2806C31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2</w:t>
                  </w:r>
                </w:p>
              </w:tc>
              <w:tc>
                <w:tcPr>
                  <w:tcW w:w="815" w:type="pct"/>
                  <w:vAlign w:val="top"/>
                </w:tcPr>
                <w:p w14:paraId="4E74C9C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蛙式打夯机</w:t>
                  </w:r>
                </w:p>
              </w:tc>
              <w:tc>
                <w:tcPr>
                  <w:tcW w:w="1168" w:type="pct"/>
                  <w:vAlign w:val="top"/>
                </w:tcPr>
                <w:p w14:paraId="79515735">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HW-01</w:t>
                  </w:r>
                </w:p>
              </w:tc>
              <w:tc>
                <w:tcPr>
                  <w:tcW w:w="1204" w:type="pct"/>
                  <w:vAlign w:val="top"/>
                </w:tcPr>
                <w:p w14:paraId="5191FDF5">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台</w:t>
                  </w:r>
                </w:p>
              </w:tc>
              <w:tc>
                <w:tcPr>
                  <w:tcW w:w="524" w:type="pct"/>
                  <w:vAlign w:val="top"/>
                </w:tcPr>
                <w:p w14:paraId="3B8846E5">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40</w:t>
                  </w:r>
                </w:p>
              </w:tc>
              <w:tc>
                <w:tcPr>
                  <w:tcW w:w="773" w:type="pct"/>
                  <w:tcBorders>
                    <w:right w:val="single" w:color="000000" w:sz="10" w:space="0"/>
                  </w:tcBorders>
                  <w:vAlign w:val="top"/>
                </w:tcPr>
                <w:p w14:paraId="041E17A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2E2BF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14" w:type="pct"/>
                  <w:tcBorders>
                    <w:left w:val="single" w:color="000000" w:sz="10" w:space="0"/>
                  </w:tcBorders>
                  <w:vAlign w:val="top"/>
                </w:tcPr>
                <w:p w14:paraId="30DA1BE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3</w:t>
                  </w:r>
                </w:p>
              </w:tc>
              <w:tc>
                <w:tcPr>
                  <w:tcW w:w="815" w:type="pct"/>
                  <w:vAlign w:val="top"/>
                </w:tcPr>
                <w:p w14:paraId="3526877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履带式推土机</w:t>
                  </w:r>
                </w:p>
              </w:tc>
              <w:tc>
                <w:tcPr>
                  <w:tcW w:w="1168" w:type="pct"/>
                  <w:vAlign w:val="top"/>
                </w:tcPr>
                <w:p w14:paraId="76AD159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132kW</w:t>
                  </w:r>
                </w:p>
              </w:tc>
              <w:tc>
                <w:tcPr>
                  <w:tcW w:w="1204" w:type="pct"/>
                  <w:vAlign w:val="top"/>
                </w:tcPr>
                <w:p w14:paraId="6E6BAB0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台</w:t>
                  </w:r>
                </w:p>
              </w:tc>
              <w:tc>
                <w:tcPr>
                  <w:tcW w:w="524" w:type="pct"/>
                  <w:vAlign w:val="top"/>
                </w:tcPr>
                <w:p w14:paraId="3616659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8</w:t>
                  </w:r>
                </w:p>
              </w:tc>
              <w:tc>
                <w:tcPr>
                  <w:tcW w:w="773" w:type="pct"/>
                  <w:tcBorders>
                    <w:right w:val="single" w:color="000000" w:sz="10" w:space="0"/>
                  </w:tcBorders>
                  <w:vAlign w:val="top"/>
                </w:tcPr>
                <w:p w14:paraId="665173B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5AFDF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14" w:type="pct"/>
                  <w:tcBorders>
                    <w:left w:val="single" w:color="000000" w:sz="10" w:space="0"/>
                  </w:tcBorders>
                  <w:vAlign w:val="top"/>
                </w:tcPr>
                <w:p w14:paraId="0570286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4</w:t>
                  </w:r>
                </w:p>
              </w:tc>
              <w:tc>
                <w:tcPr>
                  <w:tcW w:w="815" w:type="pct"/>
                  <w:vAlign w:val="top"/>
                </w:tcPr>
                <w:p w14:paraId="33EDDEA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混凝土搅拌机</w:t>
                  </w:r>
                </w:p>
              </w:tc>
              <w:tc>
                <w:tcPr>
                  <w:tcW w:w="1168" w:type="pct"/>
                  <w:vAlign w:val="top"/>
                </w:tcPr>
                <w:p w14:paraId="0EDD4F7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JS500</w:t>
                  </w:r>
                </w:p>
              </w:tc>
              <w:tc>
                <w:tcPr>
                  <w:tcW w:w="1204" w:type="pct"/>
                  <w:vAlign w:val="top"/>
                </w:tcPr>
                <w:p w14:paraId="2E9B577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台</w:t>
                  </w:r>
                </w:p>
              </w:tc>
              <w:tc>
                <w:tcPr>
                  <w:tcW w:w="524" w:type="pct"/>
                  <w:vAlign w:val="top"/>
                </w:tcPr>
                <w:p w14:paraId="6893860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2</w:t>
                  </w:r>
                </w:p>
              </w:tc>
              <w:tc>
                <w:tcPr>
                  <w:tcW w:w="773" w:type="pct"/>
                  <w:tcBorders>
                    <w:right w:val="single" w:color="000000" w:sz="10" w:space="0"/>
                  </w:tcBorders>
                  <w:vAlign w:val="top"/>
                </w:tcPr>
                <w:p w14:paraId="77583285">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一备一用</w:t>
                  </w:r>
                </w:p>
              </w:tc>
            </w:tr>
            <w:tr w14:paraId="4F052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14" w:type="pct"/>
                  <w:tcBorders>
                    <w:left w:val="single" w:color="000000" w:sz="10" w:space="0"/>
                  </w:tcBorders>
                  <w:vAlign w:val="top"/>
                </w:tcPr>
                <w:p w14:paraId="59B9D83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5</w:t>
                  </w:r>
                </w:p>
              </w:tc>
              <w:tc>
                <w:tcPr>
                  <w:tcW w:w="815" w:type="pct"/>
                  <w:vAlign w:val="top"/>
                </w:tcPr>
                <w:p w14:paraId="43FFD42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小型自卸汽车</w:t>
                  </w:r>
                </w:p>
              </w:tc>
              <w:tc>
                <w:tcPr>
                  <w:tcW w:w="1168" w:type="pct"/>
                  <w:vAlign w:val="top"/>
                </w:tcPr>
                <w:p w14:paraId="3355E17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1.5m³</w:t>
                  </w:r>
                </w:p>
              </w:tc>
              <w:tc>
                <w:tcPr>
                  <w:tcW w:w="1204" w:type="pct"/>
                  <w:vAlign w:val="top"/>
                </w:tcPr>
                <w:p w14:paraId="5882523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台</w:t>
                  </w:r>
                </w:p>
              </w:tc>
              <w:tc>
                <w:tcPr>
                  <w:tcW w:w="524" w:type="pct"/>
                  <w:vAlign w:val="top"/>
                </w:tcPr>
                <w:p w14:paraId="2A4DB7C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20</w:t>
                  </w:r>
                </w:p>
              </w:tc>
              <w:tc>
                <w:tcPr>
                  <w:tcW w:w="773" w:type="pct"/>
                  <w:tcBorders>
                    <w:right w:val="single" w:color="000000" w:sz="10" w:space="0"/>
                  </w:tcBorders>
                  <w:vAlign w:val="top"/>
                </w:tcPr>
                <w:p w14:paraId="654FA4B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26CFF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14" w:type="pct"/>
                  <w:tcBorders>
                    <w:left w:val="single" w:color="000000" w:sz="10" w:space="0"/>
                  </w:tcBorders>
                  <w:vAlign w:val="top"/>
                </w:tcPr>
                <w:p w14:paraId="008C158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6</w:t>
                  </w:r>
                </w:p>
              </w:tc>
              <w:tc>
                <w:tcPr>
                  <w:tcW w:w="815" w:type="pct"/>
                  <w:vAlign w:val="top"/>
                </w:tcPr>
                <w:p w14:paraId="4D14ADD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提升机</w:t>
                  </w:r>
                </w:p>
              </w:tc>
              <w:tc>
                <w:tcPr>
                  <w:tcW w:w="1168" w:type="pct"/>
                  <w:vAlign w:val="top"/>
                </w:tcPr>
                <w:p w14:paraId="5B0C1B6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1204" w:type="pct"/>
                  <w:vAlign w:val="top"/>
                </w:tcPr>
                <w:p w14:paraId="1BD1410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台</w:t>
                  </w:r>
                </w:p>
              </w:tc>
              <w:tc>
                <w:tcPr>
                  <w:tcW w:w="524" w:type="pct"/>
                  <w:vAlign w:val="top"/>
                </w:tcPr>
                <w:p w14:paraId="6FBED1A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4</w:t>
                  </w:r>
                </w:p>
              </w:tc>
              <w:tc>
                <w:tcPr>
                  <w:tcW w:w="773" w:type="pct"/>
                  <w:tcBorders>
                    <w:right w:val="single" w:color="000000" w:sz="10" w:space="0"/>
                  </w:tcBorders>
                  <w:vAlign w:val="top"/>
                </w:tcPr>
                <w:p w14:paraId="3DC0DBE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35B91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14" w:type="pct"/>
                  <w:tcBorders>
                    <w:left w:val="single" w:color="000000" w:sz="10" w:space="0"/>
                  </w:tcBorders>
                  <w:vAlign w:val="top"/>
                </w:tcPr>
                <w:p w14:paraId="5D43A88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7</w:t>
                  </w:r>
                </w:p>
              </w:tc>
              <w:tc>
                <w:tcPr>
                  <w:tcW w:w="815" w:type="pct"/>
                  <w:vAlign w:val="top"/>
                </w:tcPr>
                <w:p w14:paraId="2C87335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压路机</w:t>
                  </w:r>
                </w:p>
              </w:tc>
              <w:tc>
                <w:tcPr>
                  <w:tcW w:w="1168" w:type="pct"/>
                  <w:vAlign w:val="top"/>
                </w:tcPr>
                <w:p w14:paraId="1E57865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15t</w:t>
                  </w:r>
                </w:p>
              </w:tc>
              <w:tc>
                <w:tcPr>
                  <w:tcW w:w="1204" w:type="pct"/>
                  <w:vAlign w:val="top"/>
                </w:tcPr>
                <w:p w14:paraId="5DA01CB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辆</w:t>
                  </w:r>
                </w:p>
              </w:tc>
              <w:tc>
                <w:tcPr>
                  <w:tcW w:w="524" w:type="pct"/>
                  <w:vAlign w:val="top"/>
                </w:tcPr>
                <w:p w14:paraId="1E44A85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4</w:t>
                  </w:r>
                </w:p>
              </w:tc>
              <w:tc>
                <w:tcPr>
                  <w:tcW w:w="773" w:type="pct"/>
                  <w:tcBorders>
                    <w:right w:val="single" w:color="000000" w:sz="10" w:space="0"/>
                  </w:tcBorders>
                  <w:vAlign w:val="top"/>
                </w:tcPr>
                <w:p w14:paraId="7B7183D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68E33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14" w:type="pct"/>
                  <w:tcBorders>
                    <w:left w:val="single" w:color="000000" w:sz="10" w:space="0"/>
                  </w:tcBorders>
                  <w:vAlign w:val="top"/>
                </w:tcPr>
                <w:p w14:paraId="16CCA41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8</w:t>
                  </w:r>
                </w:p>
              </w:tc>
              <w:tc>
                <w:tcPr>
                  <w:tcW w:w="815" w:type="pct"/>
                  <w:vAlign w:val="top"/>
                </w:tcPr>
                <w:p w14:paraId="5B4C0D0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钢筋调直机</w:t>
                  </w:r>
                </w:p>
              </w:tc>
              <w:tc>
                <w:tcPr>
                  <w:tcW w:w="1168" w:type="pct"/>
                  <w:vAlign w:val="top"/>
                </w:tcPr>
                <w:p w14:paraId="391A60B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¢10内</w:t>
                  </w:r>
                </w:p>
              </w:tc>
              <w:tc>
                <w:tcPr>
                  <w:tcW w:w="1204" w:type="pct"/>
                  <w:vAlign w:val="top"/>
                </w:tcPr>
                <w:p w14:paraId="64735C7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台</w:t>
                  </w:r>
                </w:p>
              </w:tc>
              <w:tc>
                <w:tcPr>
                  <w:tcW w:w="524" w:type="pct"/>
                  <w:vAlign w:val="top"/>
                </w:tcPr>
                <w:p w14:paraId="7174798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8</w:t>
                  </w:r>
                </w:p>
              </w:tc>
              <w:tc>
                <w:tcPr>
                  <w:tcW w:w="773" w:type="pct"/>
                  <w:tcBorders>
                    <w:right w:val="single" w:color="000000" w:sz="10" w:space="0"/>
                  </w:tcBorders>
                  <w:vAlign w:val="top"/>
                </w:tcPr>
                <w:p w14:paraId="28ED76C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3DA24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14" w:type="pct"/>
                  <w:tcBorders>
                    <w:left w:val="single" w:color="000000" w:sz="10" w:space="0"/>
                  </w:tcBorders>
                  <w:vAlign w:val="top"/>
                </w:tcPr>
                <w:p w14:paraId="0A1B227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9</w:t>
                  </w:r>
                </w:p>
              </w:tc>
              <w:tc>
                <w:tcPr>
                  <w:tcW w:w="815" w:type="pct"/>
                  <w:vAlign w:val="top"/>
                </w:tcPr>
                <w:p w14:paraId="7F8DCB05">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钢筋切断机</w:t>
                  </w:r>
                </w:p>
              </w:tc>
              <w:tc>
                <w:tcPr>
                  <w:tcW w:w="1168" w:type="pct"/>
                  <w:vAlign w:val="top"/>
                </w:tcPr>
                <w:p w14:paraId="624AB1D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¢40内</w:t>
                  </w:r>
                </w:p>
              </w:tc>
              <w:tc>
                <w:tcPr>
                  <w:tcW w:w="1204" w:type="pct"/>
                  <w:vAlign w:val="top"/>
                </w:tcPr>
                <w:p w14:paraId="24040F9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台</w:t>
                  </w:r>
                </w:p>
              </w:tc>
              <w:tc>
                <w:tcPr>
                  <w:tcW w:w="524" w:type="pct"/>
                  <w:vAlign w:val="top"/>
                </w:tcPr>
                <w:p w14:paraId="0325309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10</w:t>
                  </w:r>
                </w:p>
              </w:tc>
              <w:tc>
                <w:tcPr>
                  <w:tcW w:w="773" w:type="pct"/>
                  <w:tcBorders>
                    <w:right w:val="single" w:color="000000" w:sz="10" w:space="0"/>
                  </w:tcBorders>
                  <w:vAlign w:val="top"/>
                </w:tcPr>
                <w:p w14:paraId="719C9F2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048B3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14" w:type="pct"/>
                  <w:tcBorders>
                    <w:left w:val="single" w:color="000000" w:sz="10" w:space="0"/>
                  </w:tcBorders>
                  <w:vAlign w:val="top"/>
                </w:tcPr>
                <w:p w14:paraId="16E536B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10</w:t>
                  </w:r>
                </w:p>
              </w:tc>
              <w:tc>
                <w:tcPr>
                  <w:tcW w:w="815" w:type="pct"/>
                  <w:vAlign w:val="top"/>
                </w:tcPr>
                <w:p w14:paraId="2119174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钢筋弯曲机</w:t>
                  </w:r>
                </w:p>
              </w:tc>
              <w:tc>
                <w:tcPr>
                  <w:tcW w:w="1168" w:type="pct"/>
                  <w:vAlign w:val="top"/>
                </w:tcPr>
                <w:p w14:paraId="6905560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¢40内</w:t>
                  </w:r>
                </w:p>
              </w:tc>
              <w:tc>
                <w:tcPr>
                  <w:tcW w:w="1204" w:type="pct"/>
                  <w:vAlign w:val="top"/>
                </w:tcPr>
                <w:p w14:paraId="1BA1F7B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台</w:t>
                  </w:r>
                </w:p>
              </w:tc>
              <w:tc>
                <w:tcPr>
                  <w:tcW w:w="524" w:type="pct"/>
                  <w:vAlign w:val="top"/>
                </w:tcPr>
                <w:p w14:paraId="41A6A7E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8</w:t>
                  </w:r>
                </w:p>
              </w:tc>
              <w:tc>
                <w:tcPr>
                  <w:tcW w:w="773" w:type="pct"/>
                  <w:tcBorders>
                    <w:right w:val="single" w:color="000000" w:sz="10" w:space="0"/>
                  </w:tcBorders>
                  <w:vAlign w:val="top"/>
                </w:tcPr>
                <w:p w14:paraId="3CB89E6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2A460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14" w:type="pct"/>
                  <w:tcBorders>
                    <w:left w:val="single" w:color="000000" w:sz="10" w:space="0"/>
                  </w:tcBorders>
                  <w:vAlign w:val="top"/>
                </w:tcPr>
                <w:p w14:paraId="3744E42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11</w:t>
                  </w:r>
                </w:p>
              </w:tc>
              <w:tc>
                <w:tcPr>
                  <w:tcW w:w="815" w:type="pct"/>
                  <w:vAlign w:val="top"/>
                </w:tcPr>
                <w:p w14:paraId="2902AF2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钢筋电焊机</w:t>
                  </w:r>
                </w:p>
              </w:tc>
              <w:tc>
                <w:tcPr>
                  <w:tcW w:w="1168" w:type="pct"/>
                  <w:vAlign w:val="top"/>
                </w:tcPr>
                <w:p w14:paraId="68D99B0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HD32</w:t>
                  </w:r>
                </w:p>
              </w:tc>
              <w:tc>
                <w:tcPr>
                  <w:tcW w:w="1204" w:type="pct"/>
                  <w:vAlign w:val="top"/>
                </w:tcPr>
                <w:p w14:paraId="7A096B3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台</w:t>
                  </w:r>
                </w:p>
              </w:tc>
              <w:tc>
                <w:tcPr>
                  <w:tcW w:w="524" w:type="pct"/>
                  <w:vAlign w:val="top"/>
                </w:tcPr>
                <w:p w14:paraId="000E0DE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8</w:t>
                  </w:r>
                </w:p>
              </w:tc>
              <w:tc>
                <w:tcPr>
                  <w:tcW w:w="773" w:type="pct"/>
                  <w:tcBorders>
                    <w:right w:val="single" w:color="000000" w:sz="10" w:space="0"/>
                  </w:tcBorders>
                  <w:vAlign w:val="top"/>
                </w:tcPr>
                <w:p w14:paraId="5F52E6F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62019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14" w:type="pct"/>
                  <w:tcBorders>
                    <w:left w:val="single" w:color="000000" w:sz="10" w:space="0"/>
                  </w:tcBorders>
                  <w:vAlign w:val="top"/>
                </w:tcPr>
                <w:p w14:paraId="0B15B46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12</w:t>
                  </w:r>
                </w:p>
              </w:tc>
              <w:tc>
                <w:tcPr>
                  <w:tcW w:w="815" w:type="pct"/>
                  <w:vAlign w:val="top"/>
                </w:tcPr>
                <w:p w14:paraId="1D8D940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钢筋对焊机</w:t>
                  </w:r>
                </w:p>
              </w:tc>
              <w:tc>
                <w:tcPr>
                  <w:tcW w:w="1168" w:type="pct"/>
                  <w:vAlign w:val="top"/>
                </w:tcPr>
                <w:p w14:paraId="7E363C4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UN100</w:t>
                  </w:r>
                </w:p>
              </w:tc>
              <w:tc>
                <w:tcPr>
                  <w:tcW w:w="1204" w:type="pct"/>
                  <w:vAlign w:val="top"/>
                </w:tcPr>
                <w:p w14:paraId="384E0E8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台</w:t>
                  </w:r>
                </w:p>
              </w:tc>
              <w:tc>
                <w:tcPr>
                  <w:tcW w:w="524" w:type="pct"/>
                  <w:vAlign w:val="top"/>
                </w:tcPr>
                <w:p w14:paraId="1679C5E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8</w:t>
                  </w:r>
                </w:p>
              </w:tc>
              <w:tc>
                <w:tcPr>
                  <w:tcW w:w="773" w:type="pct"/>
                  <w:tcBorders>
                    <w:right w:val="single" w:color="000000" w:sz="10" w:space="0"/>
                  </w:tcBorders>
                  <w:vAlign w:val="top"/>
                </w:tcPr>
                <w:p w14:paraId="2E0A81E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37C93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14" w:type="pct"/>
                  <w:tcBorders>
                    <w:left w:val="single" w:color="000000" w:sz="10" w:space="0"/>
                  </w:tcBorders>
                  <w:vAlign w:val="top"/>
                </w:tcPr>
                <w:p w14:paraId="3C1895D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13</w:t>
                  </w:r>
                </w:p>
              </w:tc>
              <w:tc>
                <w:tcPr>
                  <w:tcW w:w="815" w:type="pct"/>
                  <w:vAlign w:val="top"/>
                </w:tcPr>
                <w:p w14:paraId="7938E6A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电焊机</w:t>
                  </w:r>
                </w:p>
              </w:tc>
              <w:tc>
                <w:tcPr>
                  <w:tcW w:w="1168" w:type="pct"/>
                  <w:vAlign w:val="top"/>
                </w:tcPr>
                <w:p w14:paraId="7C5E52B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交直流</w:t>
                  </w:r>
                </w:p>
              </w:tc>
              <w:tc>
                <w:tcPr>
                  <w:tcW w:w="1204" w:type="pct"/>
                  <w:vAlign w:val="top"/>
                </w:tcPr>
                <w:p w14:paraId="6D4ADA6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台</w:t>
                  </w:r>
                </w:p>
              </w:tc>
              <w:tc>
                <w:tcPr>
                  <w:tcW w:w="524" w:type="pct"/>
                  <w:vAlign w:val="top"/>
                </w:tcPr>
                <w:p w14:paraId="502C18F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10</w:t>
                  </w:r>
                </w:p>
              </w:tc>
              <w:tc>
                <w:tcPr>
                  <w:tcW w:w="773" w:type="pct"/>
                  <w:tcBorders>
                    <w:right w:val="single" w:color="000000" w:sz="10" w:space="0"/>
                  </w:tcBorders>
                  <w:vAlign w:val="top"/>
                </w:tcPr>
                <w:p w14:paraId="469C813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55BB9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14" w:type="pct"/>
                  <w:tcBorders>
                    <w:left w:val="single" w:color="000000" w:sz="10" w:space="0"/>
                  </w:tcBorders>
                  <w:vAlign w:val="top"/>
                </w:tcPr>
                <w:p w14:paraId="0707764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14</w:t>
                  </w:r>
                </w:p>
              </w:tc>
              <w:tc>
                <w:tcPr>
                  <w:tcW w:w="815" w:type="pct"/>
                  <w:vAlign w:val="top"/>
                </w:tcPr>
                <w:p w14:paraId="166653F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反铲挖掘机</w:t>
                  </w:r>
                </w:p>
              </w:tc>
              <w:tc>
                <w:tcPr>
                  <w:tcW w:w="1168" w:type="pct"/>
                  <w:vAlign w:val="top"/>
                </w:tcPr>
                <w:p w14:paraId="00432BA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0.6 m³</w:t>
                  </w:r>
                </w:p>
              </w:tc>
              <w:tc>
                <w:tcPr>
                  <w:tcW w:w="1204" w:type="pct"/>
                  <w:vAlign w:val="top"/>
                </w:tcPr>
                <w:p w14:paraId="1B7DD38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台</w:t>
                  </w:r>
                </w:p>
              </w:tc>
              <w:tc>
                <w:tcPr>
                  <w:tcW w:w="524" w:type="pct"/>
                  <w:vAlign w:val="top"/>
                </w:tcPr>
                <w:p w14:paraId="7C3CFC35">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8</w:t>
                  </w:r>
                </w:p>
              </w:tc>
              <w:tc>
                <w:tcPr>
                  <w:tcW w:w="773" w:type="pct"/>
                  <w:tcBorders>
                    <w:right w:val="single" w:color="000000" w:sz="10" w:space="0"/>
                  </w:tcBorders>
                  <w:vAlign w:val="top"/>
                </w:tcPr>
                <w:p w14:paraId="1A8EA19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5B5DF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14" w:type="pct"/>
                  <w:tcBorders>
                    <w:left w:val="single" w:color="000000" w:sz="10" w:space="0"/>
                  </w:tcBorders>
                  <w:vAlign w:val="top"/>
                </w:tcPr>
                <w:p w14:paraId="5E75FB8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15</w:t>
                  </w:r>
                </w:p>
              </w:tc>
              <w:tc>
                <w:tcPr>
                  <w:tcW w:w="815" w:type="pct"/>
                  <w:vAlign w:val="top"/>
                </w:tcPr>
                <w:p w14:paraId="63D55AB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插入式振捣器</w:t>
                  </w:r>
                </w:p>
              </w:tc>
              <w:tc>
                <w:tcPr>
                  <w:tcW w:w="1168" w:type="pct"/>
                  <w:vAlign w:val="top"/>
                </w:tcPr>
                <w:p w14:paraId="4467E37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CZ-25/35</w:t>
                  </w:r>
                </w:p>
              </w:tc>
              <w:tc>
                <w:tcPr>
                  <w:tcW w:w="1204" w:type="pct"/>
                  <w:vAlign w:val="top"/>
                </w:tcPr>
                <w:p w14:paraId="5340020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只</w:t>
                  </w:r>
                </w:p>
              </w:tc>
              <w:tc>
                <w:tcPr>
                  <w:tcW w:w="524" w:type="pct"/>
                  <w:vAlign w:val="top"/>
                </w:tcPr>
                <w:p w14:paraId="5174A08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160</w:t>
                  </w:r>
                </w:p>
              </w:tc>
              <w:tc>
                <w:tcPr>
                  <w:tcW w:w="773" w:type="pct"/>
                  <w:tcBorders>
                    <w:right w:val="single" w:color="000000" w:sz="10" w:space="0"/>
                  </w:tcBorders>
                  <w:vAlign w:val="top"/>
                </w:tcPr>
                <w:p w14:paraId="4456794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5C4DA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14" w:type="pct"/>
                  <w:tcBorders>
                    <w:left w:val="single" w:color="000000" w:sz="10" w:space="0"/>
                  </w:tcBorders>
                  <w:vAlign w:val="top"/>
                </w:tcPr>
                <w:p w14:paraId="462C0EC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16</w:t>
                  </w:r>
                </w:p>
              </w:tc>
              <w:tc>
                <w:tcPr>
                  <w:tcW w:w="815" w:type="pct"/>
                  <w:vAlign w:val="top"/>
                </w:tcPr>
                <w:p w14:paraId="26FD85A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柴油发动机</w:t>
                  </w:r>
                </w:p>
              </w:tc>
              <w:tc>
                <w:tcPr>
                  <w:tcW w:w="1168" w:type="pct"/>
                  <w:vAlign w:val="top"/>
                </w:tcPr>
                <w:p w14:paraId="569BCBB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75kw</w:t>
                  </w:r>
                </w:p>
              </w:tc>
              <w:tc>
                <w:tcPr>
                  <w:tcW w:w="1204" w:type="pct"/>
                  <w:vAlign w:val="top"/>
                </w:tcPr>
                <w:p w14:paraId="00C3F72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台</w:t>
                  </w:r>
                </w:p>
              </w:tc>
              <w:tc>
                <w:tcPr>
                  <w:tcW w:w="524" w:type="pct"/>
                  <w:vAlign w:val="top"/>
                </w:tcPr>
                <w:p w14:paraId="7CA4DFC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2</w:t>
                  </w:r>
                </w:p>
              </w:tc>
              <w:tc>
                <w:tcPr>
                  <w:tcW w:w="773" w:type="pct"/>
                  <w:tcBorders>
                    <w:right w:val="single" w:color="000000" w:sz="10" w:space="0"/>
                  </w:tcBorders>
                  <w:vAlign w:val="top"/>
                </w:tcPr>
                <w:p w14:paraId="7862B13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6A21E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14" w:type="pct"/>
                  <w:tcBorders>
                    <w:left w:val="single" w:color="000000" w:sz="10" w:space="0"/>
                    <w:bottom w:val="single" w:color="000000" w:sz="10" w:space="0"/>
                  </w:tcBorders>
                  <w:vAlign w:val="top"/>
                </w:tcPr>
                <w:p w14:paraId="611140A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17</w:t>
                  </w:r>
                </w:p>
              </w:tc>
              <w:tc>
                <w:tcPr>
                  <w:tcW w:w="815" w:type="pct"/>
                  <w:tcBorders>
                    <w:bottom w:val="single" w:color="000000" w:sz="10" w:space="0"/>
                  </w:tcBorders>
                  <w:vAlign w:val="top"/>
                </w:tcPr>
                <w:p w14:paraId="542727A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打孔机</w:t>
                  </w:r>
                </w:p>
              </w:tc>
              <w:tc>
                <w:tcPr>
                  <w:tcW w:w="1168" w:type="pct"/>
                  <w:tcBorders>
                    <w:bottom w:val="single" w:color="000000" w:sz="10" w:space="0"/>
                  </w:tcBorders>
                  <w:vAlign w:val="top"/>
                </w:tcPr>
                <w:p w14:paraId="0B07A2B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WL-40A/B/C</w:t>
                  </w:r>
                </w:p>
              </w:tc>
              <w:tc>
                <w:tcPr>
                  <w:tcW w:w="1204" w:type="pct"/>
                  <w:tcBorders>
                    <w:bottom w:val="single" w:color="000000" w:sz="10" w:space="0"/>
                  </w:tcBorders>
                  <w:vAlign w:val="top"/>
                </w:tcPr>
                <w:p w14:paraId="49F03C4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台</w:t>
                  </w:r>
                </w:p>
              </w:tc>
              <w:tc>
                <w:tcPr>
                  <w:tcW w:w="524" w:type="pct"/>
                  <w:tcBorders>
                    <w:bottom w:val="single" w:color="000000" w:sz="10" w:space="0"/>
                  </w:tcBorders>
                  <w:vAlign w:val="top"/>
                </w:tcPr>
                <w:p w14:paraId="0845274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60</w:t>
                  </w:r>
                </w:p>
              </w:tc>
              <w:tc>
                <w:tcPr>
                  <w:tcW w:w="773" w:type="pct"/>
                  <w:tcBorders>
                    <w:bottom w:val="single" w:color="000000" w:sz="10" w:space="0"/>
                    <w:right w:val="single" w:color="000000" w:sz="10" w:space="0"/>
                  </w:tcBorders>
                  <w:vAlign w:val="top"/>
                </w:tcPr>
                <w:p w14:paraId="6B614A5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bl>
          <w:p w14:paraId="09622313">
            <w:pPr>
              <w:pStyle w:val="30"/>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 xml:space="preserve">施工工艺 </w:t>
            </w:r>
          </w:p>
          <w:p w14:paraId="118E3D05">
            <w:pPr>
              <w:pStyle w:val="3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color w:val="auto"/>
              </w:rPr>
            </w:pPr>
            <w:r>
              <w:rPr>
                <w:rFonts w:hint="eastAsia" w:ascii="Times New Roman" w:hAnsi="Times New Roman" w:eastAsia="宋体" w:cs="Times New Roman"/>
                <w:b w:val="0"/>
                <w:bCs w:val="0"/>
                <w:color w:val="auto"/>
                <w:sz w:val="24"/>
                <w:szCs w:val="24"/>
                <w:highlight w:val="none"/>
                <w:lang w:val="en-US" w:eastAsia="zh-CN"/>
              </w:rPr>
              <w:t>（一）光伏场区施工</w:t>
            </w:r>
          </w:p>
          <w:p w14:paraId="67373B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①土地整理</w:t>
            </w:r>
          </w:p>
          <w:p w14:paraId="6996C7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本项目主要利用</w:t>
            </w:r>
            <w:r>
              <w:rPr>
                <w:rFonts w:hint="eastAsia" w:ascii="Times New Roman" w:hAnsi="Times New Roman" w:eastAsia="宋体" w:cs="Times New Roman"/>
                <w:b w:val="0"/>
                <w:bCs w:val="0"/>
                <w:color w:val="auto"/>
                <w:sz w:val="24"/>
                <w:szCs w:val="24"/>
                <w:highlight w:val="none"/>
                <w:lang w:val="en-US" w:eastAsia="zh-CN"/>
              </w:rPr>
              <w:t>园地</w:t>
            </w:r>
            <w:r>
              <w:rPr>
                <w:rFonts w:hint="default" w:ascii="Times New Roman" w:hAnsi="Times New Roman" w:eastAsia="宋体" w:cs="Times New Roman"/>
                <w:b w:val="0"/>
                <w:bCs w:val="0"/>
                <w:color w:val="auto"/>
                <w:sz w:val="24"/>
                <w:szCs w:val="24"/>
                <w:highlight w:val="none"/>
                <w:lang w:val="en-US" w:eastAsia="zh-CN"/>
              </w:rPr>
              <w:t>等进行地面光伏建设。由于地势较为开阔平坦，施工时只需部分挖填平整，即可形成良好的施工场地，有利于大面积的阵列桩基施工及电池组件安装。</w:t>
            </w:r>
          </w:p>
          <w:p w14:paraId="1BB8D5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②基础施工</w:t>
            </w:r>
          </w:p>
          <w:p w14:paraId="0489AB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项目光伏组件支架采用薄壁钢结构，支架基础采用预制钢筋混凝土管桩；箱变基础利用混凝土现场浇筑。</w:t>
            </w:r>
          </w:p>
          <w:p w14:paraId="67D753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1）光伏阵列基础</w:t>
            </w:r>
          </w:p>
          <w:p w14:paraId="413995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预制管桩工艺流程：桩机就位→起吊预制桩→稳桩→打桩→送桩→中间检查验收→移桩机至下一个桩位。</w:t>
            </w:r>
          </w:p>
          <w:p w14:paraId="0641EC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35kV</w:t>
            </w:r>
            <w:r>
              <w:rPr>
                <w:rFonts w:hint="eastAsia" w:ascii="Times New Roman" w:hAnsi="Times New Roman" w:eastAsia="宋体" w:cs="Times New Roman"/>
                <w:b w:val="0"/>
                <w:bCs w:val="0"/>
                <w:color w:val="auto"/>
                <w:sz w:val="24"/>
                <w:szCs w:val="24"/>
                <w:highlight w:val="none"/>
                <w:lang w:val="en-US" w:eastAsia="zh-CN"/>
              </w:rPr>
              <w:t>箱式变压器</w:t>
            </w:r>
          </w:p>
          <w:p w14:paraId="7F846A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箱变的基础采用混凝土基础，混凝土采用商混，罐车运送（罐车无法到区域采用小推车人工拉运至现场进行浇筑）。</w:t>
            </w:r>
          </w:p>
          <w:p w14:paraId="6BBCBE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首先用小型挖掘机进行基坑开挖，并辅以人工修正基坑边坡，基坑开挖完工后，应将基坑清理干净，进行验收。基坑验收完毕后。</w:t>
            </w:r>
          </w:p>
          <w:p w14:paraId="0C8308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浇筑基础混凝土时，先浇筑</w:t>
            </w:r>
            <w:r>
              <w:rPr>
                <w:rFonts w:hint="default" w:ascii="Times New Roman" w:hAnsi="Times New Roman" w:eastAsia="宋体" w:cs="Times New Roman"/>
                <w:b w:val="0"/>
                <w:bCs w:val="0"/>
                <w:color w:val="auto"/>
                <w:sz w:val="24"/>
                <w:szCs w:val="24"/>
                <w:highlight w:val="none"/>
                <w:lang w:val="en-US" w:eastAsia="zh-CN"/>
              </w:rPr>
              <w:t>100mm</w:t>
            </w:r>
            <w:r>
              <w:rPr>
                <w:rFonts w:hint="eastAsia" w:ascii="Times New Roman" w:hAnsi="Times New Roman" w:eastAsia="宋体" w:cs="Times New Roman"/>
                <w:b w:val="0"/>
                <w:bCs w:val="0"/>
                <w:color w:val="auto"/>
                <w:sz w:val="24"/>
                <w:szCs w:val="24"/>
                <w:highlight w:val="none"/>
                <w:lang w:val="en-US" w:eastAsia="zh-CN"/>
              </w:rPr>
              <w:t>厚度的</w:t>
            </w:r>
            <w:r>
              <w:rPr>
                <w:rFonts w:hint="default" w:ascii="Times New Roman" w:hAnsi="Times New Roman" w:eastAsia="宋体" w:cs="Times New Roman"/>
                <w:b w:val="0"/>
                <w:bCs w:val="0"/>
                <w:color w:val="auto"/>
                <w:sz w:val="24"/>
                <w:szCs w:val="24"/>
                <w:highlight w:val="none"/>
                <w:lang w:val="en-US" w:eastAsia="zh-CN"/>
              </w:rPr>
              <w:t>C30</w:t>
            </w:r>
            <w:r>
              <w:rPr>
                <w:rFonts w:hint="eastAsia" w:ascii="Times New Roman" w:hAnsi="Times New Roman" w:eastAsia="宋体" w:cs="Times New Roman"/>
                <w:b w:val="0"/>
                <w:bCs w:val="0"/>
                <w:color w:val="auto"/>
                <w:sz w:val="24"/>
                <w:szCs w:val="24"/>
                <w:highlight w:val="none"/>
                <w:lang w:val="en-US" w:eastAsia="zh-CN"/>
              </w:rPr>
              <w:t>混凝土垫层，待混凝土凝固后，再进行绑扎钢筋、架设模板，浇筑基础混凝土，混凝土经过</w:t>
            </w:r>
            <w:r>
              <w:rPr>
                <w:rFonts w:hint="default" w:ascii="Times New Roman" w:hAnsi="Times New Roman" w:eastAsia="宋体" w:cs="Times New Roman"/>
                <w:b w:val="0"/>
                <w:bCs w:val="0"/>
                <w:color w:val="auto"/>
                <w:sz w:val="24"/>
                <w:szCs w:val="24"/>
                <w:highlight w:val="none"/>
                <w:lang w:val="en-US" w:eastAsia="zh-CN"/>
              </w:rPr>
              <w:t>7d</w:t>
            </w:r>
            <w:r>
              <w:rPr>
                <w:rFonts w:hint="eastAsia" w:ascii="Times New Roman" w:hAnsi="Times New Roman" w:eastAsia="宋体" w:cs="Times New Roman"/>
                <w:b w:val="0"/>
                <w:bCs w:val="0"/>
                <w:color w:val="auto"/>
                <w:sz w:val="24"/>
                <w:szCs w:val="24"/>
                <w:highlight w:val="none"/>
                <w:lang w:val="en-US" w:eastAsia="zh-CN"/>
              </w:rPr>
              <w:t>的养护期，达到相应的强度后即可进行设备安装。</w:t>
            </w:r>
          </w:p>
          <w:p w14:paraId="32CE65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③支架安装</w:t>
            </w:r>
          </w:p>
          <w:p w14:paraId="07115D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本项目光伏组件采用固定式安装，待光伏组件基础验收合格后，进行光伏组件的安装，光伏组件的安装分为两部分：支架安装，光伏组件安装。</w:t>
            </w:r>
          </w:p>
          <w:p w14:paraId="01F951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光伏阵列支架表面应平整，固定太阳能组件的支架面必须调整在同一平面；各组件应对整齐并成一直线；倾角必须符合设计要求；构件连接螺栓必须加防松垫片并拧紧。</w:t>
            </w:r>
          </w:p>
          <w:p w14:paraId="170EEC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光伏组件支架安装工艺为：</w:t>
            </w:r>
          </w:p>
          <w:p w14:paraId="6627BA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前期准备工作→安装支架基础槽钢→安装斜支架→支架总体调整→支架螺栓紧固→安装光伏组件支架檩条→校正檩条和孔位→紧固螺栓→符合光伏组件孔位。</w:t>
            </w:r>
          </w:p>
          <w:p w14:paraId="6914DF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光伏组件的安装应自下而上，逐块安装，螺杆的安装方向为自内向外，并紧固组件螺栓。安装过程中必须轻拿轻放以免破坏表面的保护玻璃。</w:t>
            </w:r>
          </w:p>
          <w:p w14:paraId="3F140C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④电池组件安装</w:t>
            </w:r>
          </w:p>
          <w:p w14:paraId="77A92F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电池组件的安装采用人工自下而上，逐块安装，螺杆的安装方向为自内向外，并紧固电池组件螺栓。安装过程中必须轻拿轻放以免破坏表面的保护玻璃；电池组件的联接螺栓有弹簧垫圈和平垫圈，紧固后应将螺栓露出部分及螺母涂刷油漆，做防松处理。</w:t>
            </w:r>
          </w:p>
          <w:p w14:paraId="2A9584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⑤ 箱变安装</w:t>
            </w:r>
          </w:p>
          <w:p w14:paraId="5DC3AB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按事先确定的顺序运至箱式变压器设备安装处附近，由液压小车或滚筒滚动到 位。将柜体校正、固定，柜间的固定采用螺栓、柜底脚固定采用电焊焊接，固定完毕验收合格。</w:t>
            </w:r>
          </w:p>
          <w:p w14:paraId="078E23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⑤集电线路</w:t>
            </w:r>
          </w:p>
          <w:p w14:paraId="36EB04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集电线路采取电缆直埋方式，电缆直埋敷设27.3</w:t>
            </w:r>
            <w:r>
              <w:rPr>
                <w:rFonts w:hint="default" w:ascii="Times New Roman" w:hAnsi="Times New Roman" w:eastAsia="宋体" w:cs="Times New Roman"/>
                <w:b w:val="0"/>
                <w:bCs w:val="0"/>
                <w:color w:val="auto"/>
                <w:sz w:val="24"/>
                <w:szCs w:val="24"/>
                <w:highlight w:val="none"/>
                <w:lang w:val="en-US" w:eastAsia="zh-CN"/>
              </w:rPr>
              <w:t>km</w:t>
            </w:r>
            <w:r>
              <w:rPr>
                <w:rFonts w:hint="eastAsia" w:ascii="Times New Roman" w:hAnsi="Times New Roman" w:eastAsia="宋体" w:cs="Times New Roman"/>
                <w:b w:val="0"/>
                <w:bCs w:val="0"/>
                <w:color w:val="auto"/>
                <w:sz w:val="24"/>
                <w:szCs w:val="24"/>
                <w:highlight w:val="none"/>
                <w:lang w:val="en-US" w:eastAsia="zh-CN"/>
              </w:rPr>
              <w:t>，沟内根据具体情况敷设</w:t>
            </w:r>
            <w:r>
              <w:rPr>
                <w:rFonts w:hint="default" w:ascii="Times New Roman" w:hAnsi="Times New Roman" w:eastAsia="宋体" w:cs="Times New Roman"/>
                <w:b w:val="0"/>
                <w:bCs w:val="0"/>
                <w:color w:val="auto"/>
                <w:sz w:val="24"/>
                <w:szCs w:val="24"/>
                <w:highlight w:val="none"/>
                <w:lang w:val="en-US" w:eastAsia="zh-CN"/>
              </w:rPr>
              <w:t>1~2</w:t>
            </w:r>
            <w:r>
              <w:rPr>
                <w:rFonts w:hint="eastAsia" w:ascii="Times New Roman" w:hAnsi="Times New Roman" w:eastAsia="宋体" w:cs="Times New Roman"/>
                <w:b w:val="0"/>
                <w:bCs w:val="0"/>
                <w:color w:val="auto"/>
                <w:sz w:val="24"/>
                <w:szCs w:val="24"/>
                <w:highlight w:val="none"/>
                <w:lang w:val="en-US" w:eastAsia="zh-CN"/>
              </w:rPr>
              <w:t>根电缆，</w:t>
            </w:r>
            <w:r>
              <w:rPr>
                <w:rFonts w:hint="default" w:ascii="Times New Roman" w:hAnsi="Times New Roman" w:eastAsia="宋体" w:cs="Times New Roman"/>
                <w:b w:val="0"/>
                <w:bCs w:val="0"/>
                <w:color w:val="auto"/>
                <w:sz w:val="24"/>
                <w:szCs w:val="24"/>
                <w:highlight w:val="none"/>
                <w:lang w:val="en-US" w:eastAsia="zh-CN"/>
              </w:rPr>
              <w:t>1~2</w:t>
            </w:r>
            <w:r>
              <w:rPr>
                <w:rFonts w:hint="eastAsia" w:ascii="Times New Roman" w:hAnsi="Times New Roman" w:eastAsia="宋体" w:cs="Times New Roman"/>
                <w:b w:val="0"/>
                <w:bCs w:val="0"/>
                <w:color w:val="auto"/>
                <w:sz w:val="24"/>
                <w:szCs w:val="24"/>
                <w:highlight w:val="none"/>
                <w:lang w:val="en-US" w:eastAsia="zh-CN"/>
              </w:rPr>
              <w:t>根光缆，电缆应敷设于沟里，沿电缆全长的上、下紧邻侧铺以厚度不小于</w:t>
            </w:r>
            <w:r>
              <w:rPr>
                <w:rFonts w:hint="default" w:ascii="Times New Roman" w:hAnsi="Times New Roman" w:eastAsia="宋体" w:cs="Times New Roman"/>
                <w:b w:val="0"/>
                <w:bCs w:val="0"/>
                <w:color w:val="auto"/>
                <w:sz w:val="24"/>
                <w:szCs w:val="24"/>
                <w:highlight w:val="none"/>
                <w:lang w:val="en-US" w:eastAsia="zh-CN"/>
              </w:rPr>
              <w:t>200mm</w:t>
            </w:r>
            <w:r>
              <w:rPr>
                <w:rFonts w:hint="eastAsia" w:ascii="Times New Roman" w:hAnsi="Times New Roman" w:eastAsia="宋体" w:cs="Times New Roman"/>
                <w:b w:val="0"/>
                <w:bCs w:val="0"/>
                <w:color w:val="auto"/>
                <w:sz w:val="24"/>
                <w:szCs w:val="24"/>
                <w:highlight w:val="none"/>
                <w:lang w:val="en-US" w:eastAsia="zh-CN"/>
              </w:rPr>
              <w:t>的细砂层。沿电缆全长覆盖宽度不小于电缆两侧各</w:t>
            </w:r>
            <w:r>
              <w:rPr>
                <w:rFonts w:hint="default" w:ascii="Times New Roman" w:hAnsi="Times New Roman" w:eastAsia="宋体" w:cs="Times New Roman"/>
                <w:b w:val="0"/>
                <w:bCs w:val="0"/>
                <w:color w:val="auto"/>
                <w:sz w:val="24"/>
                <w:szCs w:val="24"/>
                <w:highlight w:val="none"/>
                <w:lang w:val="en-US" w:eastAsia="zh-CN"/>
              </w:rPr>
              <w:t>50mm</w:t>
            </w:r>
            <w:r>
              <w:rPr>
                <w:rFonts w:hint="eastAsia" w:ascii="Times New Roman" w:hAnsi="Times New Roman" w:eastAsia="宋体" w:cs="Times New Roman"/>
                <w:b w:val="0"/>
                <w:bCs w:val="0"/>
                <w:color w:val="auto"/>
                <w:sz w:val="24"/>
                <w:szCs w:val="24"/>
                <w:highlight w:val="none"/>
                <w:lang w:val="en-US" w:eastAsia="zh-CN"/>
              </w:rPr>
              <w:t>的保护板，保护板采用混凝土。</w:t>
            </w:r>
          </w:p>
          <w:p w14:paraId="0AC0B2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⑤系统运行调试</w:t>
            </w:r>
          </w:p>
          <w:p w14:paraId="5123A5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系统运行前调试主要包括</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接地电阻值的检测、线路绝缘电阻的检测、控制柜的性能测试、充电蓄电池组的检测、方阵输出电压的检测、控制器调试。</w:t>
            </w:r>
          </w:p>
          <w:p w14:paraId="50717C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（二）道路施工</w:t>
            </w:r>
          </w:p>
          <w:p w14:paraId="1359F1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lang w:val="en-US" w:eastAsia="zh-CN"/>
              </w:rPr>
              <w:t>）材料</w:t>
            </w:r>
          </w:p>
          <w:p w14:paraId="241574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沙砾石要求，最大粒径不超过</w:t>
            </w:r>
            <w:r>
              <w:rPr>
                <w:rFonts w:hint="default" w:ascii="Times New Roman" w:hAnsi="Times New Roman" w:eastAsia="宋体" w:cs="Times New Roman"/>
                <w:b w:val="0"/>
                <w:bCs w:val="0"/>
                <w:color w:val="auto"/>
                <w:sz w:val="24"/>
                <w:szCs w:val="24"/>
                <w:highlight w:val="none"/>
                <w:lang w:val="en-US" w:eastAsia="zh-CN"/>
              </w:rPr>
              <w:t>70mm</w:t>
            </w:r>
            <w:r>
              <w:rPr>
                <w:rFonts w:hint="eastAsia" w:ascii="Times New Roman" w:hAnsi="Times New Roman" w:eastAsia="宋体" w:cs="Times New Roman"/>
                <w:b w:val="0"/>
                <w:bCs w:val="0"/>
                <w:color w:val="auto"/>
                <w:sz w:val="24"/>
                <w:szCs w:val="24"/>
                <w:highlight w:val="none"/>
                <w:lang w:val="en-US" w:eastAsia="zh-CN"/>
              </w:rPr>
              <w:t>，粒径小于</w:t>
            </w:r>
            <w:r>
              <w:rPr>
                <w:rFonts w:hint="default" w:ascii="Times New Roman" w:hAnsi="Times New Roman" w:eastAsia="宋体" w:cs="Times New Roman"/>
                <w:b w:val="0"/>
                <w:bCs w:val="0"/>
                <w:color w:val="auto"/>
                <w:sz w:val="24"/>
                <w:szCs w:val="24"/>
                <w:highlight w:val="none"/>
                <w:lang w:val="en-US" w:eastAsia="zh-CN"/>
              </w:rPr>
              <w:t>0.5mm</w:t>
            </w:r>
            <w:r>
              <w:rPr>
                <w:rFonts w:hint="eastAsia" w:ascii="Times New Roman" w:hAnsi="Times New Roman" w:eastAsia="宋体" w:cs="Times New Roman"/>
                <w:b w:val="0"/>
                <w:bCs w:val="0"/>
                <w:color w:val="auto"/>
                <w:sz w:val="24"/>
                <w:szCs w:val="24"/>
                <w:highlight w:val="none"/>
                <w:lang w:val="en-US" w:eastAsia="zh-CN"/>
              </w:rPr>
              <w:t>的细料含量少于</w:t>
            </w:r>
            <w:r>
              <w:rPr>
                <w:rFonts w:hint="default" w:ascii="Times New Roman" w:hAnsi="Times New Roman" w:eastAsia="宋体" w:cs="Times New Roman"/>
                <w:b w:val="0"/>
                <w:bCs w:val="0"/>
                <w:color w:val="auto"/>
                <w:sz w:val="24"/>
                <w:szCs w:val="24"/>
                <w:highlight w:val="none"/>
                <w:lang w:val="en-US" w:eastAsia="zh-CN"/>
              </w:rPr>
              <w:t>15%</w:t>
            </w:r>
            <w:r>
              <w:rPr>
                <w:rFonts w:hint="eastAsia" w:ascii="Times New Roman" w:hAnsi="Times New Roman" w:eastAsia="宋体" w:cs="Times New Roman"/>
                <w:b w:val="0"/>
                <w:bCs w:val="0"/>
                <w:color w:val="auto"/>
                <w:sz w:val="24"/>
                <w:szCs w:val="24"/>
                <w:highlight w:val="none"/>
                <w:lang w:val="en-US" w:eastAsia="zh-CN"/>
              </w:rPr>
              <w:t>。</w:t>
            </w:r>
          </w:p>
          <w:p w14:paraId="6254FE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eastAsia" w:ascii="Times New Roman" w:hAnsi="Times New Roman" w:eastAsia="宋体" w:cs="Times New Roman"/>
                <w:b w:val="0"/>
                <w:bCs w:val="0"/>
                <w:color w:val="auto"/>
                <w:sz w:val="24"/>
                <w:szCs w:val="24"/>
                <w:highlight w:val="none"/>
                <w:lang w:val="en-US" w:eastAsia="zh-CN"/>
              </w:rPr>
              <w:t>）摊铺</w:t>
            </w:r>
          </w:p>
          <w:p w14:paraId="085BAC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大小颗粒应分布均匀，虚铺厚度一致，按虚铺厚度一次铺平，不得多次找补。</w:t>
            </w:r>
          </w:p>
          <w:p w14:paraId="61B632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3</w:t>
            </w:r>
            <w:r>
              <w:rPr>
                <w:rFonts w:hint="eastAsia" w:ascii="Times New Roman" w:hAnsi="Times New Roman" w:eastAsia="宋体" w:cs="Times New Roman"/>
                <w:b w:val="0"/>
                <w:bCs w:val="0"/>
                <w:color w:val="auto"/>
                <w:sz w:val="24"/>
                <w:szCs w:val="24"/>
                <w:highlight w:val="none"/>
                <w:lang w:val="en-US" w:eastAsia="zh-CN"/>
              </w:rPr>
              <w:t>）碾压</w:t>
            </w:r>
          </w:p>
          <w:p w14:paraId="4CA862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“先慢后快”、“先轻后重”为原则，压路机应逐次倒轴碾压。</w:t>
            </w:r>
          </w:p>
          <w:p w14:paraId="03143D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4</w:t>
            </w:r>
            <w:r>
              <w:rPr>
                <w:rFonts w:hint="eastAsia" w:ascii="Times New Roman" w:hAnsi="Times New Roman" w:eastAsia="宋体" w:cs="Times New Roman"/>
                <w:b w:val="0"/>
                <w:bCs w:val="0"/>
                <w:color w:val="auto"/>
                <w:sz w:val="24"/>
                <w:szCs w:val="24"/>
                <w:highlight w:val="none"/>
                <w:lang w:val="en-US" w:eastAsia="zh-CN"/>
              </w:rPr>
              <w:t>）路基整修</w:t>
            </w:r>
          </w:p>
          <w:p w14:paraId="00069B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土质路基应用人工或机械刮土或补土的方法整修成型。深路堑边坡整修应按设计要求的坡度，自上而下进行刷坡，不得在边坡上以土贴补。</w:t>
            </w:r>
          </w:p>
          <w:p w14:paraId="52801E19">
            <w:pPr>
              <w:pStyle w:val="30"/>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lang w:val="en-US" w:eastAsia="zh-CN"/>
              </w:rPr>
              <w:t>施工工期</w:t>
            </w:r>
          </w:p>
          <w:p w14:paraId="07142F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color w:val="auto"/>
                <w:sz w:val="24"/>
                <w:szCs w:val="24"/>
                <w:highlight w:val="none"/>
                <w:lang w:val="en-US" w:eastAsia="zh-CN"/>
              </w:rPr>
              <w:t>本项目建设期为6个月，其中工程准备期1个月。主体工程施工于第2个月上旬开始，第6个月底全部投产发电，工程完工。见表</w:t>
            </w:r>
            <w:r>
              <w:rPr>
                <w:rFonts w:hint="eastAsia" w:cs="Times New Roman"/>
                <w:color w:val="auto"/>
                <w:sz w:val="24"/>
                <w:szCs w:val="24"/>
                <w:highlight w:val="none"/>
                <w:lang w:val="en-US" w:eastAsia="zh-CN"/>
              </w:rPr>
              <w:t>2-10</w:t>
            </w:r>
            <w:r>
              <w:rPr>
                <w:rFonts w:hint="default" w:ascii="Times New Roman" w:hAnsi="Times New Roman" w:eastAsia="宋体" w:cs="Times New Roman"/>
                <w:color w:val="auto"/>
                <w:sz w:val="24"/>
                <w:szCs w:val="24"/>
                <w:highlight w:val="none"/>
                <w:lang w:val="en-US" w:eastAsia="zh-CN"/>
              </w:rPr>
              <w:t>。</w:t>
            </w:r>
          </w:p>
          <w:p w14:paraId="605E157F">
            <w:pPr>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表</w:t>
            </w:r>
            <w:r>
              <w:rPr>
                <w:rFonts w:hint="eastAsia" w:cs="Times New Roman"/>
                <w:b/>
                <w:bCs/>
                <w:color w:val="auto"/>
                <w:szCs w:val="21"/>
                <w:highlight w:val="none"/>
                <w:lang w:val="en-US" w:eastAsia="zh-CN"/>
              </w:rPr>
              <w:t>2-10  施工进度</w:t>
            </w:r>
            <w:r>
              <w:rPr>
                <w:rFonts w:hint="default" w:ascii="Times New Roman" w:hAnsi="Times New Roman" w:eastAsia="宋体" w:cs="Times New Roman"/>
                <w:b/>
                <w:bCs/>
                <w:color w:val="auto"/>
                <w:szCs w:val="21"/>
                <w:highlight w:val="none"/>
                <w:lang w:val="en-US" w:eastAsia="zh-CN"/>
              </w:rPr>
              <w:t>节点计划</w:t>
            </w:r>
          </w:p>
          <w:p w14:paraId="2726B749">
            <w:pPr>
              <w:spacing w:line="111" w:lineRule="exact"/>
              <w:rPr>
                <w:color w:val="auto"/>
              </w:rPr>
            </w:pPr>
          </w:p>
          <w:tbl>
            <w:tblPr>
              <w:tblStyle w:val="58"/>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989"/>
              <w:gridCol w:w="2971"/>
              <w:gridCol w:w="2972"/>
            </w:tblGrid>
            <w:tr w14:paraId="6B00F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73" w:type="pct"/>
                  <w:tcBorders>
                    <w:top w:val="single" w:color="000000" w:sz="10" w:space="0"/>
                    <w:left w:val="single" w:color="000000" w:sz="10" w:space="0"/>
                  </w:tcBorders>
                  <w:vAlign w:val="top"/>
                </w:tcPr>
                <w:p w14:paraId="52A6580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项目</w:t>
                  </w:r>
                </w:p>
              </w:tc>
              <w:tc>
                <w:tcPr>
                  <w:tcW w:w="1663" w:type="pct"/>
                  <w:tcBorders>
                    <w:top w:val="single" w:color="000000" w:sz="10" w:space="0"/>
                  </w:tcBorders>
                  <w:vAlign w:val="top"/>
                </w:tcPr>
                <w:p w14:paraId="3B257725">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开始时间</w:t>
                  </w:r>
                </w:p>
              </w:tc>
              <w:tc>
                <w:tcPr>
                  <w:tcW w:w="1663" w:type="pct"/>
                  <w:tcBorders>
                    <w:top w:val="single" w:color="000000" w:sz="10" w:space="0"/>
                  </w:tcBorders>
                  <w:vAlign w:val="top"/>
                </w:tcPr>
                <w:p w14:paraId="0E0A466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结束时间</w:t>
                  </w:r>
                </w:p>
              </w:tc>
            </w:tr>
            <w:tr w14:paraId="4B13D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73" w:type="pct"/>
                  <w:tcBorders>
                    <w:left w:val="single" w:color="000000" w:sz="10" w:space="0"/>
                  </w:tcBorders>
                  <w:vAlign w:val="top"/>
                </w:tcPr>
                <w:p w14:paraId="5158315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eastAsia" w:ascii="Times New Roman" w:hAnsi="Times New Roman" w:cs="Times New Roman"/>
                      <w:snapToGrid/>
                      <w:color w:val="auto"/>
                      <w:kern w:val="2"/>
                      <w:szCs w:val="21"/>
                      <w:lang w:val="en-US" w:eastAsia="zh-CN"/>
                    </w:rPr>
                    <w:t>一、</w:t>
                  </w:r>
                  <w:r>
                    <w:rPr>
                      <w:rFonts w:hint="default" w:ascii="Times New Roman" w:hAnsi="Times New Roman" w:cs="Times New Roman" w:eastAsiaTheme="minorEastAsia"/>
                      <w:snapToGrid/>
                      <w:color w:val="auto"/>
                      <w:kern w:val="2"/>
                      <w:szCs w:val="21"/>
                      <w:lang w:eastAsia="zh-CN"/>
                    </w:rPr>
                    <w:t>施工准备</w:t>
                  </w:r>
                </w:p>
              </w:tc>
              <w:tc>
                <w:tcPr>
                  <w:tcW w:w="1663" w:type="pct"/>
                  <w:vAlign w:val="top"/>
                </w:tcPr>
                <w:p w14:paraId="3EB0D6D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1663" w:type="pct"/>
                  <w:vAlign w:val="top"/>
                </w:tcPr>
                <w:p w14:paraId="27F0395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2D2B2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73" w:type="pct"/>
                  <w:tcBorders>
                    <w:left w:val="single" w:color="000000" w:sz="10" w:space="0"/>
                  </w:tcBorders>
                  <w:vAlign w:val="top"/>
                </w:tcPr>
                <w:p w14:paraId="0048FAD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eastAsia" w:ascii="Times New Roman" w:hAnsi="Times New Roman" w:cs="Times New Roman"/>
                      <w:snapToGrid/>
                      <w:color w:val="auto"/>
                      <w:kern w:val="2"/>
                      <w:szCs w:val="21"/>
                      <w:lang w:val="en-US" w:eastAsia="zh-CN"/>
                    </w:rPr>
                    <w:t>进场</w:t>
                  </w:r>
                  <w:r>
                    <w:rPr>
                      <w:rFonts w:hint="default" w:ascii="Times New Roman" w:hAnsi="Times New Roman" w:cs="Times New Roman" w:eastAsiaTheme="minorEastAsia"/>
                      <w:snapToGrid/>
                      <w:color w:val="auto"/>
                      <w:kern w:val="2"/>
                      <w:szCs w:val="21"/>
                      <w:lang w:eastAsia="zh-CN"/>
                    </w:rPr>
                    <w:t>道路</w:t>
                  </w:r>
                </w:p>
              </w:tc>
              <w:tc>
                <w:tcPr>
                  <w:tcW w:w="1663" w:type="pct"/>
                  <w:vAlign w:val="top"/>
                </w:tcPr>
                <w:p w14:paraId="7BD033D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第1月初</w:t>
                  </w:r>
                </w:p>
              </w:tc>
              <w:tc>
                <w:tcPr>
                  <w:tcW w:w="1663" w:type="pct"/>
                  <w:vAlign w:val="top"/>
                </w:tcPr>
                <w:p w14:paraId="603DFDB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第1月末</w:t>
                  </w:r>
                </w:p>
              </w:tc>
            </w:tr>
            <w:tr w14:paraId="31316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73" w:type="pct"/>
                  <w:tcBorders>
                    <w:left w:val="single" w:color="000000" w:sz="10" w:space="0"/>
                  </w:tcBorders>
                  <w:vAlign w:val="top"/>
                </w:tcPr>
                <w:p w14:paraId="3D22C10F">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val="en-US" w:eastAsia="zh-CN"/>
                    </w:rPr>
                  </w:pPr>
                  <w:r>
                    <w:rPr>
                      <w:rFonts w:hint="eastAsia" w:ascii="Times New Roman" w:hAnsi="Times New Roman" w:cs="Times New Roman"/>
                      <w:snapToGrid/>
                      <w:color w:val="auto"/>
                      <w:kern w:val="2"/>
                      <w:szCs w:val="21"/>
                      <w:lang w:val="en-US" w:eastAsia="zh-CN"/>
                    </w:rPr>
                    <w:t>施工供水、供电系统</w:t>
                  </w:r>
                </w:p>
              </w:tc>
              <w:tc>
                <w:tcPr>
                  <w:tcW w:w="1663" w:type="pct"/>
                  <w:vAlign w:val="top"/>
                </w:tcPr>
                <w:p w14:paraId="1D946BA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第1月初</w:t>
                  </w:r>
                </w:p>
              </w:tc>
              <w:tc>
                <w:tcPr>
                  <w:tcW w:w="1663" w:type="pct"/>
                  <w:vAlign w:val="top"/>
                </w:tcPr>
                <w:p w14:paraId="23574FF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第1月末</w:t>
                  </w:r>
                </w:p>
              </w:tc>
            </w:tr>
            <w:tr w14:paraId="28FDA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73" w:type="pct"/>
                  <w:tcBorders>
                    <w:left w:val="single" w:color="000000" w:sz="10" w:space="0"/>
                  </w:tcBorders>
                  <w:vAlign w:val="top"/>
                </w:tcPr>
                <w:p w14:paraId="260D5D5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eastAsia" w:ascii="Times New Roman" w:hAnsi="Times New Roman" w:cs="Times New Roman"/>
                      <w:snapToGrid/>
                      <w:color w:val="auto"/>
                      <w:kern w:val="2"/>
                      <w:szCs w:val="21"/>
                      <w:lang w:val="en-US" w:eastAsia="zh-CN"/>
                    </w:rPr>
                    <w:t>施工设备准备</w:t>
                  </w:r>
                </w:p>
              </w:tc>
              <w:tc>
                <w:tcPr>
                  <w:tcW w:w="1663" w:type="pct"/>
                  <w:vAlign w:val="top"/>
                </w:tcPr>
                <w:p w14:paraId="2541404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第1月初</w:t>
                  </w:r>
                </w:p>
              </w:tc>
              <w:tc>
                <w:tcPr>
                  <w:tcW w:w="1663" w:type="pct"/>
                  <w:vAlign w:val="top"/>
                </w:tcPr>
                <w:p w14:paraId="3D4A03D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第1月末</w:t>
                  </w:r>
                </w:p>
              </w:tc>
            </w:tr>
            <w:tr w14:paraId="44FA0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73" w:type="pct"/>
                  <w:tcBorders>
                    <w:left w:val="single" w:color="000000" w:sz="10" w:space="0"/>
                  </w:tcBorders>
                  <w:vAlign w:val="top"/>
                </w:tcPr>
                <w:p w14:paraId="56F5863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eastAsia" w:ascii="Times New Roman" w:hAnsi="Times New Roman" w:cs="Times New Roman"/>
                      <w:snapToGrid/>
                      <w:color w:val="auto"/>
                      <w:kern w:val="2"/>
                      <w:szCs w:val="21"/>
                      <w:lang w:val="en-US" w:eastAsia="zh-CN"/>
                    </w:rPr>
                    <w:t>二、主体工程施工</w:t>
                  </w:r>
                  <w:r>
                    <w:rPr>
                      <w:rFonts w:hint="default" w:ascii="Times New Roman" w:hAnsi="Times New Roman" w:cs="Times New Roman" w:eastAsiaTheme="minorEastAsia"/>
                      <w:snapToGrid/>
                      <w:color w:val="auto"/>
                      <w:kern w:val="2"/>
                      <w:szCs w:val="21"/>
                      <w:lang w:eastAsia="zh-CN"/>
                    </w:rPr>
                    <w:t>光伏板安装</w:t>
                  </w:r>
                </w:p>
              </w:tc>
              <w:tc>
                <w:tcPr>
                  <w:tcW w:w="1663" w:type="pct"/>
                  <w:vAlign w:val="top"/>
                </w:tcPr>
                <w:p w14:paraId="0B14F76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c>
                <w:tcPr>
                  <w:tcW w:w="1663" w:type="pct"/>
                  <w:vAlign w:val="top"/>
                </w:tcPr>
                <w:p w14:paraId="7383F3F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p>
              </w:tc>
            </w:tr>
            <w:tr w14:paraId="1E22E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73" w:type="pct"/>
                  <w:tcBorders>
                    <w:left w:val="single" w:color="000000" w:sz="10" w:space="0"/>
                  </w:tcBorders>
                  <w:vAlign w:val="top"/>
                </w:tcPr>
                <w:p w14:paraId="4B0621D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val="en-US" w:eastAsia="zh-CN"/>
                    </w:rPr>
                  </w:pPr>
                  <w:r>
                    <w:rPr>
                      <w:rFonts w:hint="eastAsia" w:ascii="Times New Roman" w:hAnsi="Times New Roman" w:cs="Times New Roman"/>
                      <w:snapToGrid/>
                      <w:color w:val="auto"/>
                      <w:kern w:val="2"/>
                      <w:szCs w:val="21"/>
                      <w:lang w:val="en-US" w:eastAsia="zh-CN"/>
                    </w:rPr>
                    <w:t>场内道路</w:t>
                  </w:r>
                </w:p>
              </w:tc>
              <w:tc>
                <w:tcPr>
                  <w:tcW w:w="1663" w:type="pct"/>
                  <w:vAlign w:val="top"/>
                </w:tcPr>
                <w:p w14:paraId="1C8D038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 w:val="21"/>
                      <w:szCs w:val="21"/>
                      <w:lang w:val="en-US" w:eastAsia="zh-CN" w:bidi="ar-SA"/>
                    </w:rPr>
                  </w:pPr>
                  <w:r>
                    <w:rPr>
                      <w:rFonts w:hint="default" w:ascii="Times New Roman" w:hAnsi="Times New Roman" w:cs="Times New Roman" w:eastAsiaTheme="minorEastAsia"/>
                      <w:snapToGrid/>
                      <w:color w:val="auto"/>
                      <w:kern w:val="2"/>
                      <w:szCs w:val="21"/>
                      <w:lang w:eastAsia="zh-CN"/>
                    </w:rPr>
                    <w:t>第</w:t>
                  </w:r>
                  <w:r>
                    <w:rPr>
                      <w:rFonts w:hint="eastAsia" w:ascii="Times New Roman" w:hAnsi="Times New Roman" w:cs="Times New Roman"/>
                      <w:snapToGrid/>
                      <w:color w:val="auto"/>
                      <w:kern w:val="2"/>
                      <w:szCs w:val="21"/>
                      <w:lang w:val="en-US" w:eastAsia="zh-CN"/>
                    </w:rPr>
                    <w:t>2</w:t>
                  </w:r>
                  <w:r>
                    <w:rPr>
                      <w:rFonts w:hint="default" w:ascii="Times New Roman" w:hAnsi="Times New Roman" w:cs="Times New Roman" w:eastAsiaTheme="minorEastAsia"/>
                      <w:snapToGrid/>
                      <w:color w:val="auto"/>
                      <w:kern w:val="2"/>
                      <w:szCs w:val="21"/>
                      <w:lang w:eastAsia="zh-CN"/>
                    </w:rPr>
                    <w:t>月初</w:t>
                  </w:r>
                </w:p>
              </w:tc>
              <w:tc>
                <w:tcPr>
                  <w:tcW w:w="1663" w:type="pct"/>
                  <w:vAlign w:val="top"/>
                </w:tcPr>
                <w:p w14:paraId="794718AD">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 w:val="21"/>
                      <w:szCs w:val="21"/>
                      <w:lang w:val="en-US" w:eastAsia="zh-CN" w:bidi="ar-SA"/>
                    </w:rPr>
                  </w:pPr>
                  <w:r>
                    <w:rPr>
                      <w:rFonts w:hint="default" w:ascii="Times New Roman" w:hAnsi="Times New Roman" w:cs="Times New Roman" w:eastAsiaTheme="minorEastAsia"/>
                      <w:snapToGrid/>
                      <w:color w:val="auto"/>
                      <w:kern w:val="2"/>
                      <w:szCs w:val="21"/>
                      <w:lang w:eastAsia="zh-CN"/>
                    </w:rPr>
                    <w:t>第</w:t>
                  </w:r>
                  <w:r>
                    <w:rPr>
                      <w:rFonts w:hint="eastAsia" w:ascii="Times New Roman" w:hAnsi="Times New Roman" w:cs="Times New Roman"/>
                      <w:snapToGrid/>
                      <w:color w:val="auto"/>
                      <w:kern w:val="2"/>
                      <w:szCs w:val="21"/>
                      <w:lang w:val="en-US" w:eastAsia="zh-CN"/>
                    </w:rPr>
                    <w:t>4</w:t>
                  </w:r>
                  <w:r>
                    <w:rPr>
                      <w:rFonts w:hint="default" w:ascii="Times New Roman" w:hAnsi="Times New Roman" w:cs="Times New Roman" w:eastAsiaTheme="minorEastAsia"/>
                      <w:snapToGrid/>
                      <w:color w:val="auto"/>
                      <w:kern w:val="2"/>
                      <w:szCs w:val="21"/>
                      <w:lang w:eastAsia="zh-CN"/>
                    </w:rPr>
                    <w:t>月</w:t>
                  </w:r>
                  <w:r>
                    <w:rPr>
                      <w:rFonts w:hint="eastAsia" w:ascii="Times New Roman" w:hAnsi="Times New Roman" w:cs="Times New Roman"/>
                      <w:snapToGrid/>
                      <w:color w:val="auto"/>
                      <w:kern w:val="2"/>
                      <w:szCs w:val="21"/>
                      <w:lang w:val="en-US" w:eastAsia="zh-CN"/>
                    </w:rPr>
                    <w:t>中</w:t>
                  </w:r>
                </w:p>
              </w:tc>
            </w:tr>
            <w:tr w14:paraId="31325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73" w:type="pct"/>
                  <w:tcBorders>
                    <w:left w:val="single" w:color="000000" w:sz="10" w:space="0"/>
                  </w:tcBorders>
                  <w:vAlign w:val="top"/>
                </w:tcPr>
                <w:p w14:paraId="6DA933A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val="en-US" w:eastAsia="zh-CN"/>
                    </w:rPr>
                  </w:pPr>
                  <w:r>
                    <w:rPr>
                      <w:rFonts w:hint="eastAsia" w:ascii="Times New Roman" w:hAnsi="Times New Roman" w:cs="Times New Roman"/>
                      <w:snapToGrid/>
                      <w:color w:val="auto"/>
                      <w:kern w:val="2"/>
                      <w:szCs w:val="21"/>
                      <w:lang w:val="en-US" w:eastAsia="zh-CN"/>
                    </w:rPr>
                    <w:t>支架基础</w:t>
                  </w:r>
                </w:p>
              </w:tc>
              <w:tc>
                <w:tcPr>
                  <w:tcW w:w="1663" w:type="pct"/>
                  <w:vAlign w:val="top"/>
                </w:tcPr>
                <w:p w14:paraId="1C8533B3">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第</w:t>
                  </w:r>
                  <w:r>
                    <w:rPr>
                      <w:rFonts w:hint="eastAsia" w:ascii="Times New Roman" w:hAnsi="Times New Roman" w:cs="Times New Roman"/>
                      <w:snapToGrid/>
                      <w:color w:val="auto"/>
                      <w:kern w:val="2"/>
                      <w:szCs w:val="21"/>
                      <w:lang w:val="en-US" w:eastAsia="zh-CN"/>
                    </w:rPr>
                    <w:t>2</w:t>
                  </w:r>
                  <w:r>
                    <w:rPr>
                      <w:rFonts w:hint="default" w:ascii="Times New Roman" w:hAnsi="Times New Roman" w:cs="Times New Roman" w:eastAsiaTheme="minorEastAsia"/>
                      <w:snapToGrid/>
                      <w:color w:val="auto"/>
                      <w:kern w:val="2"/>
                      <w:szCs w:val="21"/>
                      <w:lang w:eastAsia="zh-CN"/>
                    </w:rPr>
                    <w:t>月初</w:t>
                  </w:r>
                </w:p>
              </w:tc>
              <w:tc>
                <w:tcPr>
                  <w:tcW w:w="1663" w:type="pct"/>
                  <w:vAlign w:val="top"/>
                </w:tcPr>
                <w:p w14:paraId="7A9981E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第</w:t>
                  </w:r>
                  <w:r>
                    <w:rPr>
                      <w:rFonts w:hint="eastAsia" w:ascii="Times New Roman" w:hAnsi="Times New Roman" w:cs="Times New Roman"/>
                      <w:snapToGrid/>
                      <w:color w:val="auto"/>
                      <w:kern w:val="2"/>
                      <w:szCs w:val="21"/>
                      <w:lang w:val="en-US" w:eastAsia="zh-CN"/>
                    </w:rPr>
                    <w:t>5</w:t>
                  </w:r>
                  <w:r>
                    <w:rPr>
                      <w:rFonts w:hint="default" w:ascii="Times New Roman" w:hAnsi="Times New Roman" w:cs="Times New Roman" w:eastAsiaTheme="minorEastAsia"/>
                      <w:snapToGrid/>
                      <w:color w:val="auto"/>
                      <w:kern w:val="2"/>
                      <w:szCs w:val="21"/>
                      <w:lang w:eastAsia="zh-CN"/>
                    </w:rPr>
                    <w:t>月</w:t>
                  </w:r>
                  <w:r>
                    <w:rPr>
                      <w:rFonts w:hint="eastAsia" w:ascii="Times New Roman" w:hAnsi="Times New Roman" w:cs="Times New Roman"/>
                      <w:snapToGrid/>
                      <w:color w:val="auto"/>
                      <w:kern w:val="2"/>
                      <w:szCs w:val="21"/>
                      <w:lang w:val="en-US" w:eastAsia="zh-CN"/>
                    </w:rPr>
                    <w:t>中</w:t>
                  </w:r>
                </w:p>
              </w:tc>
            </w:tr>
            <w:tr w14:paraId="3E73A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73" w:type="pct"/>
                  <w:tcBorders>
                    <w:left w:val="single" w:color="000000" w:sz="10" w:space="0"/>
                  </w:tcBorders>
                  <w:vAlign w:val="top"/>
                </w:tcPr>
                <w:p w14:paraId="77FABAC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val="en-US" w:eastAsia="zh-CN"/>
                    </w:rPr>
                  </w:pPr>
                  <w:r>
                    <w:rPr>
                      <w:rFonts w:hint="eastAsia" w:ascii="Times New Roman" w:hAnsi="Times New Roman" w:cs="Times New Roman"/>
                      <w:snapToGrid/>
                      <w:color w:val="auto"/>
                      <w:kern w:val="2"/>
                      <w:szCs w:val="21"/>
                      <w:lang w:val="en-US" w:eastAsia="zh-CN"/>
                    </w:rPr>
                    <w:t>支架安装</w:t>
                  </w:r>
                </w:p>
              </w:tc>
              <w:tc>
                <w:tcPr>
                  <w:tcW w:w="1663" w:type="pct"/>
                  <w:vAlign w:val="top"/>
                </w:tcPr>
                <w:p w14:paraId="300240B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第</w:t>
                  </w:r>
                  <w:r>
                    <w:rPr>
                      <w:rFonts w:hint="eastAsia" w:ascii="Times New Roman" w:hAnsi="Times New Roman" w:cs="Times New Roman"/>
                      <w:snapToGrid/>
                      <w:color w:val="auto"/>
                      <w:kern w:val="2"/>
                      <w:szCs w:val="21"/>
                      <w:lang w:val="en-US" w:eastAsia="zh-CN"/>
                    </w:rPr>
                    <w:t>3</w:t>
                  </w:r>
                  <w:r>
                    <w:rPr>
                      <w:rFonts w:hint="default" w:ascii="Times New Roman" w:hAnsi="Times New Roman" w:cs="Times New Roman" w:eastAsiaTheme="minorEastAsia"/>
                      <w:snapToGrid/>
                      <w:color w:val="auto"/>
                      <w:kern w:val="2"/>
                      <w:szCs w:val="21"/>
                      <w:lang w:eastAsia="zh-CN"/>
                    </w:rPr>
                    <w:t>月初</w:t>
                  </w:r>
                </w:p>
              </w:tc>
              <w:tc>
                <w:tcPr>
                  <w:tcW w:w="1663" w:type="pct"/>
                  <w:vAlign w:val="top"/>
                </w:tcPr>
                <w:p w14:paraId="0E63C67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第</w:t>
                  </w:r>
                  <w:r>
                    <w:rPr>
                      <w:rFonts w:hint="eastAsia" w:ascii="Times New Roman" w:hAnsi="Times New Roman" w:cs="Times New Roman"/>
                      <w:snapToGrid/>
                      <w:color w:val="auto"/>
                      <w:kern w:val="2"/>
                      <w:szCs w:val="21"/>
                      <w:lang w:val="en-US" w:eastAsia="zh-CN"/>
                    </w:rPr>
                    <w:t>5</w:t>
                  </w:r>
                  <w:r>
                    <w:rPr>
                      <w:rFonts w:hint="default" w:ascii="Times New Roman" w:hAnsi="Times New Roman" w:cs="Times New Roman" w:eastAsiaTheme="minorEastAsia"/>
                      <w:snapToGrid/>
                      <w:color w:val="auto"/>
                      <w:kern w:val="2"/>
                      <w:szCs w:val="21"/>
                      <w:lang w:eastAsia="zh-CN"/>
                    </w:rPr>
                    <w:t>月</w:t>
                  </w:r>
                  <w:r>
                    <w:rPr>
                      <w:rFonts w:hint="eastAsia" w:ascii="Times New Roman" w:hAnsi="Times New Roman" w:cs="Times New Roman"/>
                      <w:snapToGrid/>
                      <w:color w:val="auto"/>
                      <w:kern w:val="2"/>
                      <w:szCs w:val="21"/>
                      <w:lang w:val="en-US" w:eastAsia="zh-CN"/>
                    </w:rPr>
                    <w:t>中</w:t>
                  </w:r>
                </w:p>
              </w:tc>
            </w:tr>
            <w:tr w14:paraId="6A32E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73" w:type="pct"/>
                  <w:tcBorders>
                    <w:left w:val="single" w:color="000000" w:sz="10" w:space="0"/>
                  </w:tcBorders>
                  <w:vAlign w:val="top"/>
                </w:tcPr>
                <w:p w14:paraId="4FB2E32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val="en-US" w:eastAsia="zh-CN"/>
                    </w:rPr>
                  </w:pPr>
                  <w:r>
                    <w:rPr>
                      <w:rFonts w:hint="eastAsia" w:ascii="Times New Roman" w:hAnsi="Times New Roman" w:cs="Times New Roman"/>
                      <w:snapToGrid/>
                      <w:color w:val="auto"/>
                      <w:kern w:val="2"/>
                      <w:szCs w:val="21"/>
                      <w:lang w:val="en-US" w:eastAsia="zh-CN"/>
                    </w:rPr>
                    <w:t>光伏板安装</w:t>
                  </w:r>
                </w:p>
              </w:tc>
              <w:tc>
                <w:tcPr>
                  <w:tcW w:w="1663" w:type="pct"/>
                  <w:vAlign w:val="top"/>
                </w:tcPr>
                <w:p w14:paraId="65882D98">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第</w:t>
                  </w:r>
                  <w:r>
                    <w:rPr>
                      <w:rFonts w:hint="eastAsia" w:ascii="Times New Roman" w:hAnsi="Times New Roman" w:cs="Times New Roman"/>
                      <w:snapToGrid/>
                      <w:color w:val="auto"/>
                      <w:kern w:val="2"/>
                      <w:szCs w:val="21"/>
                      <w:lang w:val="en-US" w:eastAsia="zh-CN"/>
                    </w:rPr>
                    <w:t>3</w:t>
                  </w:r>
                  <w:r>
                    <w:rPr>
                      <w:rFonts w:hint="default" w:ascii="Times New Roman" w:hAnsi="Times New Roman" w:cs="Times New Roman" w:eastAsiaTheme="minorEastAsia"/>
                      <w:snapToGrid/>
                      <w:color w:val="auto"/>
                      <w:kern w:val="2"/>
                      <w:szCs w:val="21"/>
                      <w:lang w:eastAsia="zh-CN"/>
                    </w:rPr>
                    <w:t>月</w:t>
                  </w:r>
                  <w:r>
                    <w:rPr>
                      <w:rFonts w:hint="eastAsia" w:ascii="Times New Roman" w:hAnsi="Times New Roman" w:cs="Times New Roman"/>
                      <w:snapToGrid/>
                      <w:color w:val="auto"/>
                      <w:kern w:val="2"/>
                      <w:szCs w:val="21"/>
                      <w:lang w:val="en-US" w:eastAsia="zh-CN"/>
                    </w:rPr>
                    <w:t>末</w:t>
                  </w:r>
                </w:p>
              </w:tc>
              <w:tc>
                <w:tcPr>
                  <w:tcW w:w="1663" w:type="pct"/>
                  <w:vAlign w:val="top"/>
                </w:tcPr>
                <w:p w14:paraId="5FFCA55C">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第</w:t>
                  </w:r>
                  <w:r>
                    <w:rPr>
                      <w:rFonts w:hint="eastAsia" w:ascii="Times New Roman" w:hAnsi="Times New Roman" w:cs="Times New Roman"/>
                      <w:snapToGrid/>
                      <w:color w:val="auto"/>
                      <w:kern w:val="2"/>
                      <w:szCs w:val="21"/>
                      <w:lang w:val="en-US" w:eastAsia="zh-CN"/>
                    </w:rPr>
                    <w:t>5</w:t>
                  </w:r>
                  <w:r>
                    <w:rPr>
                      <w:rFonts w:hint="default" w:ascii="Times New Roman" w:hAnsi="Times New Roman" w:cs="Times New Roman" w:eastAsiaTheme="minorEastAsia"/>
                      <w:snapToGrid/>
                      <w:color w:val="auto"/>
                      <w:kern w:val="2"/>
                      <w:szCs w:val="21"/>
                      <w:lang w:eastAsia="zh-CN"/>
                    </w:rPr>
                    <w:t>月</w:t>
                  </w:r>
                  <w:r>
                    <w:rPr>
                      <w:rFonts w:hint="eastAsia" w:ascii="Times New Roman" w:hAnsi="Times New Roman" w:cs="Times New Roman"/>
                      <w:snapToGrid/>
                      <w:color w:val="auto"/>
                      <w:kern w:val="2"/>
                      <w:szCs w:val="21"/>
                      <w:lang w:val="en-US" w:eastAsia="zh-CN"/>
                    </w:rPr>
                    <w:t>末</w:t>
                  </w:r>
                </w:p>
              </w:tc>
            </w:tr>
            <w:tr w14:paraId="12DDA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73" w:type="pct"/>
                  <w:tcBorders>
                    <w:left w:val="single" w:color="000000" w:sz="10" w:space="0"/>
                  </w:tcBorders>
                  <w:vAlign w:val="top"/>
                </w:tcPr>
                <w:p w14:paraId="5CB0391A">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val="en-US" w:eastAsia="zh-CN"/>
                    </w:rPr>
                  </w:pPr>
                  <w:r>
                    <w:rPr>
                      <w:rFonts w:hint="eastAsia" w:ascii="Times New Roman" w:hAnsi="Times New Roman" w:cs="Times New Roman"/>
                      <w:snapToGrid/>
                      <w:color w:val="auto"/>
                      <w:kern w:val="2"/>
                      <w:szCs w:val="21"/>
                      <w:lang w:val="en-US" w:eastAsia="zh-CN"/>
                    </w:rPr>
                    <w:t>集电线路</w:t>
                  </w:r>
                </w:p>
              </w:tc>
              <w:tc>
                <w:tcPr>
                  <w:tcW w:w="1663" w:type="pct"/>
                  <w:vAlign w:val="top"/>
                </w:tcPr>
                <w:p w14:paraId="35DE53D2">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第</w:t>
                  </w:r>
                  <w:r>
                    <w:rPr>
                      <w:rFonts w:hint="eastAsia" w:ascii="Times New Roman" w:hAnsi="Times New Roman" w:cs="Times New Roman"/>
                      <w:snapToGrid/>
                      <w:color w:val="auto"/>
                      <w:kern w:val="2"/>
                      <w:szCs w:val="21"/>
                      <w:lang w:val="en-US" w:eastAsia="zh-CN"/>
                    </w:rPr>
                    <w:t>2</w:t>
                  </w:r>
                  <w:r>
                    <w:rPr>
                      <w:rFonts w:hint="default" w:ascii="Times New Roman" w:hAnsi="Times New Roman" w:cs="Times New Roman" w:eastAsiaTheme="minorEastAsia"/>
                      <w:snapToGrid/>
                      <w:color w:val="auto"/>
                      <w:kern w:val="2"/>
                      <w:szCs w:val="21"/>
                      <w:lang w:eastAsia="zh-CN"/>
                    </w:rPr>
                    <w:t>月初</w:t>
                  </w:r>
                </w:p>
              </w:tc>
              <w:tc>
                <w:tcPr>
                  <w:tcW w:w="1663" w:type="pct"/>
                  <w:vAlign w:val="top"/>
                </w:tcPr>
                <w:p w14:paraId="2B02AE80">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第</w:t>
                  </w:r>
                  <w:r>
                    <w:rPr>
                      <w:rFonts w:hint="eastAsia" w:ascii="Times New Roman" w:hAnsi="Times New Roman" w:cs="Times New Roman"/>
                      <w:snapToGrid/>
                      <w:color w:val="auto"/>
                      <w:kern w:val="2"/>
                      <w:szCs w:val="21"/>
                      <w:lang w:val="en-US" w:eastAsia="zh-CN"/>
                    </w:rPr>
                    <w:t>3</w:t>
                  </w:r>
                  <w:r>
                    <w:rPr>
                      <w:rFonts w:hint="default" w:ascii="Times New Roman" w:hAnsi="Times New Roman" w:cs="Times New Roman" w:eastAsiaTheme="minorEastAsia"/>
                      <w:snapToGrid/>
                      <w:color w:val="auto"/>
                      <w:kern w:val="2"/>
                      <w:szCs w:val="21"/>
                      <w:lang w:eastAsia="zh-CN"/>
                    </w:rPr>
                    <w:t>月</w:t>
                  </w:r>
                  <w:r>
                    <w:rPr>
                      <w:rFonts w:hint="eastAsia" w:ascii="Times New Roman" w:hAnsi="Times New Roman" w:cs="Times New Roman"/>
                      <w:snapToGrid/>
                      <w:color w:val="auto"/>
                      <w:kern w:val="2"/>
                      <w:szCs w:val="21"/>
                      <w:lang w:val="en-US" w:eastAsia="zh-CN"/>
                    </w:rPr>
                    <w:t>末</w:t>
                  </w:r>
                </w:p>
              </w:tc>
            </w:tr>
            <w:tr w14:paraId="3FF32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73" w:type="pct"/>
                  <w:tcBorders>
                    <w:left w:val="single" w:color="000000" w:sz="10" w:space="0"/>
                  </w:tcBorders>
                  <w:vAlign w:val="top"/>
                </w:tcPr>
                <w:p w14:paraId="46EE438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val="en-US" w:eastAsia="zh-CN"/>
                    </w:rPr>
                  </w:pPr>
                  <w:r>
                    <w:rPr>
                      <w:rFonts w:hint="eastAsia" w:ascii="Times New Roman" w:hAnsi="Times New Roman" w:cs="Times New Roman"/>
                      <w:snapToGrid/>
                      <w:color w:val="auto"/>
                      <w:kern w:val="2"/>
                      <w:szCs w:val="21"/>
                      <w:lang w:val="en-US" w:eastAsia="zh-CN"/>
                    </w:rPr>
                    <w:t>箱变基础</w:t>
                  </w:r>
                </w:p>
              </w:tc>
              <w:tc>
                <w:tcPr>
                  <w:tcW w:w="1663" w:type="pct"/>
                  <w:vAlign w:val="top"/>
                </w:tcPr>
                <w:p w14:paraId="582B56A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第</w:t>
                  </w:r>
                  <w:r>
                    <w:rPr>
                      <w:rFonts w:hint="eastAsia" w:ascii="Times New Roman" w:hAnsi="Times New Roman" w:cs="Times New Roman"/>
                      <w:snapToGrid/>
                      <w:color w:val="auto"/>
                      <w:kern w:val="2"/>
                      <w:szCs w:val="21"/>
                      <w:lang w:val="en-US" w:eastAsia="zh-CN"/>
                    </w:rPr>
                    <w:t>4</w:t>
                  </w:r>
                  <w:r>
                    <w:rPr>
                      <w:rFonts w:hint="default" w:ascii="Times New Roman" w:hAnsi="Times New Roman" w:cs="Times New Roman" w:eastAsiaTheme="minorEastAsia"/>
                      <w:snapToGrid/>
                      <w:color w:val="auto"/>
                      <w:kern w:val="2"/>
                      <w:szCs w:val="21"/>
                      <w:lang w:eastAsia="zh-CN"/>
                    </w:rPr>
                    <w:t>月初</w:t>
                  </w:r>
                </w:p>
              </w:tc>
              <w:tc>
                <w:tcPr>
                  <w:tcW w:w="1663" w:type="pct"/>
                  <w:vAlign w:val="top"/>
                </w:tcPr>
                <w:p w14:paraId="453124A1">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val="en-US" w:eastAsia="zh-CN"/>
                    </w:rPr>
                  </w:pPr>
                  <w:r>
                    <w:rPr>
                      <w:rFonts w:hint="default" w:ascii="Times New Roman" w:hAnsi="Times New Roman" w:cs="Times New Roman" w:eastAsiaTheme="minorEastAsia"/>
                      <w:snapToGrid/>
                      <w:color w:val="auto"/>
                      <w:kern w:val="2"/>
                      <w:szCs w:val="21"/>
                      <w:lang w:eastAsia="zh-CN"/>
                    </w:rPr>
                    <w:t>第</w:t>
                  </w:r>
                  <w:r>
                    <w:rPr>
                      <w:rFonts w:hint="eastAsia" w:ascii="Times New Roman" w:hAnsi="Times New Roman" w:cs="Times New Roman"/>
                      <w:snapToGrid/>
                      <w:color w:val="auto"/>
                      <w:kern w:val="2"/>
                      <w:szCs w:val="21"/>
                      <w:lang w:val="en-US" w:eastAsia="zh-CN"/>
                    </w:rPr>
                    <w:t>5</w:t>
                  </w:r>
                  <w:r>
                    <w:rPr>
                      <w:rFonts w:hint="default" w:ascii="Times New Roman" w:hAnsi="Times New Roman" w:cs="Times New Roman" w:eastAsiaTheme="minorEastAsia"/>
                      <w:snapToGrid/>
                      <w:color w:val="auto"/>
                      <w:kern w:val="2"/>
                      <w:szCs w:val="21"/>
                      <w:lang w:eastAsia="zh-CN"/>
                    </w:rPr>
                    <w:t>月</w:t>
                  </w:r>
                  <w:r>
                    <w:rPr>
                      <w:rFonts w:hint="eastAsia" w:ascii="Times New Roman" w:hAnsi="Times New Roman" w:cs="Times New Roman"/>
                      <w:snapToGrid/>
                      <w:color w:val="auto"/>
                      <w:kern w:val="2"/>
                      <w:szCs w:val="21"/>
                      <w:lang w:val="en-US" w:eastAsia="zh-CN"/>
                    </w:rPr>
                    <w:t>末</w:t>
                  </w:r>
                </w:p>
              </w:tc>
            </w:tr>
            <w:tr w14:paraId="6C024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73" w:type="pct"/>
                  <w:tcBorders>
                    <w:left w:val="single" w:color="000000" w:sz="10" w:space="0"/>
                  </w:tcBorders>
                  <w:vAlign w:val="top"/>
                </w:tcPr>
                <w:p w14:paraId="6C004129">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val="en-US" w:eastAsia="zh-CN"/>
                    </w:rPr>
                  </w:pPr>
                  <w:r>
                    <w:rPr>
                      <w:rFonts w:hint="eastAsia" w:ascii="Times New Roman" w:hAnsi="Times New Roman" w:cs="Times New Roman"/>
                      <w:snapToGrid/>
                      <w:color w:val="auto"/>
                      <w:kern w:val="2"/>
                      <w:szCs w:val="21"/>
                      <w:lang w:val="en-US" w:eastAsia="zh-CN"/>
                    </w:rPr>
                    <w:t>箱变、逆变器安装</w:t>
                  </w:r>
                </w:p>
              </w:tc>
              <w:tc>
                <w:tcPr>
                  <w:tcW w:w="1663" w:type="pct"/>
                  <w:vAlign w:val="top"/>
                </w:tcPr>
                <w:p w14:paraId="27E0885B">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第</w:t>
                  </w:r>
                  <w:r>
                    <w:rPr>
                      <w:rFonts w:hint="eastAsia" w:ascii="Times New Roman" w:hAnsi="Times New Roman" w:cs="Times New Roman"/>
                      <w:snapToGrid/>
                      <w:color w:val="auto"/>
                      <w:kern w:val="2"/>
                      <w:szCs w:val="21"/>
                      <w:lang w:val="en-US" w:eastAsia="zh-CN"/>
                    </w:rPr>
                    <w:t>4</w:t>
                  </w:r>
                  <w:r>
                    <w:rPr>
                      <w:rFonts w:hint="default" w:ascii="Times New Roman" w:hAnsi="Times New Roman" w:cs="Times New Roman" w:eastAsiaTheme="minorEastAsia"/>
                      <w:snapToGrid/>
                      <w:color w:val="auto"/>
                      <w:kern w:val="2"/>
                      <w:szCs w:val="21"/>
                      <w:lang w:eastAsia="zh-CN"/>
                    </w:rPr>
                    <w:t>月初</w:t>
                  </w:r>
                </w:p>
              </w:tc>
              <w:tc>
                <w:tcPr>
                  <w:tcW w:w="1663" w:type="pct"/>
                  <w:vAlign w:val="top"/>
                </w:tcPr>
                <w:p w14:paraId="13D4688E">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第</w:t>
                  </w:r>
                  <w:r>
                    <w:rPr>
                      <w:rFonts w:hint="eastAsia" w:ascii="Times New Roman" w:hAnsi="Times New Roman" w:cs="Times New Roman"/>
                      <w:snapToGrid/>
                      <w:color w:val="auto"/>
                      <w:kern w:val="2"/>
                      <w:szCs w:val="21"/>
                      <w:lang w:val="en-US" w:eastAsia="zh-CN"/>
                    </w:rPr>
                    <w:t>5</w:t>
                  </w:r>
                  <w:r>
                    <w:rPr>
                      <w:rFonts w:hint="default" w:ascii="Times New Roman" w:hAnsi="Times New Roman" w:cs="Times New Roman" w:eastAsiaTheme="minorEastAsia"/>
                      <w:snapToGrid/>
                      <w:color w:val="auto"/>
                      <w:kern w:val="2"/>
                      <w:szCs w:val="21"/>
                      <w:lang w:eastAsia="zh-CN"/>
                    </w:rPr>
                    <w:t>月</w:t>
                  </w:r>
                  <w:r>
                    <w:rPr>
                      <w:rFonts w:hint="eastAsia" w:ascii="Times New Roman" w:hAnsi="Times New Roman" w:cs="Times New Roman"/>
                      <w:snapToGrid/>
                      <w:color w:val="auto"/>
                      <w:kern w:val="2"/>
                      <w:szCs w:val="21"/>
                      <w:lang w:val="en-US" w:eastAsia="zh-CN"/>
                    </w:rPr>
                    <w:t>末</w:t>
                  </w:r>
                </w:p>
              </w:tc>
            </w:tr>
            <w:tr w14:paraId="466C4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73" w:type="pct"/>
                  <w:tcBorders>
                    <w:left w:val="single" w:color="000000" w:sz="10" w:space="0"/>
                    <w:bottom w:val="single" w:color="000000" w:sz="10" w:space="0"/>
                  </w:tcBorders>
                  <w:vAlign w:val="top"/>
                </w:tcPr>
                <w:p w14:paraId="72D39437">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val="en-US" w:eastAsia="zh-CN"/>
                    </w:rPr>
                  </w:pPr>
                  <w:r>
                    <w:rPr>
                      <w:rFonts w:hint="eastAsia" w:ascii="Times New Roman" w:hAnsi="Times New Roman" w:cs="Times New Roman"/>
                      <w:snapToGrid/>
                      <w:color w:val="auto"/>
                      <w:kern w:val="2"/>
                      <w:szCs w:val="21"/>
                      <w:lang w:val="en-US" w:eastAsia="zh-CN"/>
                    </w:rPr>
                    <w:t>全部并网发电</w:t>
                  </w:r>
                </w:p>
              </w:tc>
              <w:tc>
                <w:tcPr>
                  <w:tcW w:w="1663" w:type="pct"/>
                  <w:tcBorders>
                    <w:bottom w:val="single" w:color="000000" w:sz="10" w:space="0"/>
                  </w:tcBorders>
                  <w:vAlign w:val="top"/>
                </w:tcPr>
                <w:p w14:paraId="56F9DFA6">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第</w:t>
                  </w:r>
                  <w:r>
                    <w:rPr>
                      <w:rFonts w:hint="eastAsia" w:ascii="Times New Roman" w:hAnsi="Times New Roman" w:cs="Times New Roman"/>
                      <w:snapToGrid/>
                      <w:color w:val="auto"/>
                      <w:kern w:val="2"/>
                      <w:szCs w:val="21"/>
                      <w:lang w:val="en-US" w:eastAsia="zh-CN"/>
                    </w:rPr>
                    <w:t>5</w:t>
                  </w:r>
                  <w:r>
                    <w:rPr>
                      <w:rFonts w:hint="default" w:ascii="Times New Roman" w:hAnsi="Times New Roman" w:cs="Times New Roman" w:eastAsiaTheme="minorEastAsia"/>
                      <w:snapToGrid/>
                      <w:color w:val="auto"/>
                      <w:kern w:val="2"/>
                      <w:szCs w:val="21"/>
                      <w:lang w:eastAsia="zh-CN"/>
                    </w:rPr>
                    <w:t>月初</w:t>
                  </w:r>
                </w:p>
              </w:tc>
              <w:tc>
                <w:tcPr>
                  <w:tcW w:w="1663" w:type="pct"/>
                  <w:tcBorders>
                    <w:bottom w:val="single" w:color="000000" w:sz="10" w:space="0"/>
                  </w:tcBorders>
                  <w:vAlign w:val="top"/>
                </w:tcPr>
                <w:p w14:paraId="08E3B3C4">
                  <w:pPr>
                    <w:widowControl w:val="0"/>
                    <w:kinsoku/>
                    <w:autoSpaceDE/>
                    <w:autoSpaceDN/>
                    <w:adjustRightInd w:val="0"/>
                    <w:snapToGrid w:val="0"/>
                    <w:spacing w:line="240" w:lineRule="auto"/>
                    <w:jc w:val="center"/>
                    <w:textAlignment w:val="auto"/>
                    <w:rPr>
                      <w:rFonts w:hint="default" w:ascii="Times New Roman" w:hAnsi="Times New Roman" w:cs="Times New Roman" w:eastAsiaTheme="minorEastAsia"/>
                      <w:snapToGrid/>
                      <w:color w:val="auto"/>
                      <w:kern w:val="2"/>
                      <w:szCs w:val="21"/>
                      <w:lang w:eastAsia="zh-CN"/>
                    </w:rPr>
                  </w:pPr>
                  <w:r>
                    <w:rPr>
                      <w:rFonts w:hint="default" w:ascii="Times New Roman" w:hAnsi="Times New Roman" w:cs="Times New Roman" w:eastAsiaTheme="minorEastAsia"/>
                      <w:snapToGrid/>
                      <w:color w:val="auto"/>
                      <w:kern w:val="2"/>
                      <w:szCs w:val="21"/>
                      <w:lang w:eastAsia="zh-CN"/>
                    </w:rPr>
                    <w:t>第</w:t>
                  </w:r>
                  <w:r>
                    <w:rPr>
                      <w:rFonts w:hint="eastAsia" w:ascii="Times New Roman" w:hAnsi="Times New Roman" w:cs="Times New Roman"/>
                      <w:snapToGrid/>
                      <w:color w:val="auto"/>
                      <w:kern w:val="2"/>
                      <w:szCs w:val="21"/>
                      <w:lang w:val="en-US" w:eastAsia="zh-CN"/>
                    </w:rPr>
                    <w:t>6</w:t>
                  </w:r>
                  <w:r>
                    <w:rPr>
                      <w:rFonts w:hint="default" w:ascii="Times New Roman" w:hAnsi="Times New Roman" w:cs="Times New Roman" w:eastAsiaTheme="minorEastAsia"/>
                      <w:snapToGrid/>
                      <w:color w:val="auto"/>
                      <w:kern w:val="2"/>
                      <w:szCs w:val="21"/>
                      <w:lang w:eastAsia="zh-CN"/>
                    </w:rPr>
                    <w:t>月</w:t>
                  </w:r>
                  <w:r>
                    <w:rPr>
                      <w:rFonts w:hint="eastAsia" w:ascii="Times New Roman" w:hAnsi="Times New Roman" w:cs="Times New Roman"/>
                      <w:snapToGrid/>
                      <w:color w:val="auto"/>
                      <w:kern w:val="2"/>
                      <w:szCs w:val="21"/>
                      <w:lang w:val="en-US" w:eastAsia="zh-CN"/>
                    </w:rPr>
                    <w:t>末</w:t>
                  </w:r>
                </w:p>
              </w:tc>
            </w:tr>
          </w:tbl>
          <w:p w14:paraId="65175130">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ascii="Times New Roman" w:hAnsi="Times New Roman" w:eastAsia="宋体" w:cs="Times New Roman"/>
                <w:color w:val="auto"/>
                <w:kern w:val="0"/>
                <w:szCs w:val="21"/>
                <w:highlight w:val="none"/>
              </w:rPr>
            </w:pPr>
          </w:p>
        </w:tc>
      </w:tr>
      <w:tr w14:paraId="542A8C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noWrap w:val="0"/>
            <w:vAlign w:val="center"/>
          </w:tcPr>
          <w:p w14:paraId="195D2F06">
            <w:pPr>
              <w:adjustRightInd w:val="0"/>
              <w:snapToGrid w:val="0"/>
              <w:jc w:val="both"/>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 w:val="24"/>
                <w:szCs w:val="24"/>
                <w:highlight w:val="none"/>
              </w:rPr>
              <w:t>其他</w:t>
            </w:r>
          </w:p>
        </w:tc>
        <w:tc>
          <w:tcPr>
            <w:tcW w:w="8725" w:type="dxa"/>
            <w:noWrap w:val="0"/>
            <w:vAlign w:val="center"/>
          </w:tcPr>
          <w:p w14:paraId="30CDCBB3">
            <w:pPr>
              <w:adjustRightInd w:val="0"/>
              <w:snapToGrid w:val="0"/>
              <w:jc w:val="both"/>
              <w:rPr>
                <w:rFonts w:hint="eastAsia" w:ascii="Times New Roman" w:hAnsi="Times New Roman" w:eastAsia="宋体" w:cs="Times New Roman"/>
                <w:color w:val="auto"/>
                <w:kern w:val="0"/>
                <w:sz w:val="24"/>
                <w:szCs w:val="24"/>
                <w:highlight w:val="none"/>
                <w:lang w:eastAsia="zh-CN"/>
              </w:rPr>
            </w:pPr>
          </w:p>
          <w:p w14:paraId="0FD74B24">
            <w:pPr>
              <w:adjustRightInd w:val="0"/>
              <w:snapToGrid w:val="0"/>
              <w:jc w:val="center"/>
              <w:rPr>
                <w:rFonts w:hint="eastAsia" w:ascii="Times New Roman" w:hAnsi="Times New Roman" w:eastAsia="宋体" w:cs="Times New Roman"/>
                <w:color w:val="auto"/>
                <w:kern w:val="0"/>
                <w:sz w:val="24"/>
                <w:szCs w:val="24"/>
                <w:highlight w:val="none"/>
                <w:lang w:eastAsia="zh-CN"/>
              </w:rPr>
            </w:pPr>
          </w:p>
          <w:p w14:paraId="48461C60">
            <w:pPr>
              <w:adjustRightInd w:val="0"/>
              <w:snapToGrid w:val="0"/>
              <w:jc w:val="center"/>
              <w:rPr>
                <w:rFonts w:hint="eastAsia" w:ascii="Times New Roman" w:hAnsi="Times New Roman" w:eastAsia="宋体" w:cs="Times New Roman"/>
                <w:color w:val="auto"/>
                <w:kern w:val="0"/>
                <w:sz w:val="24"/>
                <w:szCs w:val="24"/>
                <w:highlight w:val="none"/>
                <w:lang w:eastAsia="zh-CN"/>
              </w:rPr>
            </w:pPr>
            <w:r>
              <w:rPr>
                <w:rFonts w:hint="eastAsia" w:ascii="Times New Roman" w:hAnsi="Times New Roman" w:eastAsia="宋体" w:cs="Times New Roman"/>
                <w:color w:val="auto"/>
                <w:kern w:val="0"/>
                <w:sz w:val="24"/>
                <w:szCs w:val="24"/>
                <w:highlight w:val="none"/>
                <w:lang w:eastAsia="zh-CN"/>
              </w:rPr>
              <w:t>无</w:t>
            </w:r>
          </w:p>
          <w:p w14:paraId="4D01F515">
            <w:pPr>
              <w:pStyle w:val="3"/>
              <w:ind w:left="0" w:leftChars="0" w:firstLine="0" w:firstLineChars="0"/>
              <w:rPr>
                <w:rFonts w:hint="eastAsia"/>
                <w:color w:val="auto"/>
                <w:lang w:eastAsia="zh-CN"/>
              </w:rPr>
            </w:pPr>
          </w:p>
        </w:tc>
      </w:tr>
    </w:tbl>
    <w:p w14:paraId="269731F8">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ascii="Times New Roman" w:hAnsi="Times New Roman" w:eastAsia="黑体" w:cs="Times New Roman"/>
          <w:snapToGrid w:val="0"/>
          <w:color w:val="auto"/>
          <w:sz w:val="30"/>
          <w:szCs w:val="30"/>
          <w:highlight w:val="none"/>
        </w:rPr>
      </w:pPr>
      <w:r>
        <w:rPr>
          <w:rFonts w:ascii="Times New Roman" w:hAnsi="Times New Roman" w:eastAsia="仿宋_GB2312" w:cs="Times New Roman"/>
          <w:b/>
          <w:bCs/>
          <w:color w:val="auto"/>
          <w:highlight w:val="none"/>
        </w:rPr>
        <w:br w:type="page"/>
      </w:r>
      <w:r>
        <w:rPr>
          <w:rFonts w:ascii="Times New Roman" w:hAnsi="Times New Roman" w:eastAsia="黑体" w:cs="Times New Roman"/>
          <w:snapToGrid w:val="0"/>
          <w:color w:val="auto"/>
          <w:sz w:val="30"/>
          <w:szCs w:val="30"/>
          <w:highlight w:val="none"/>
        </w:rPr>
        <w:t>三、生态环境现状、保护目标及评价标准</w:t>
      </w:r>
    </w:p>
    <w:tbl>
      <w:tblPr>
        <w:tblStyle w:val="24"/>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32"/>
      </w:tblGrid>
      <w:tr w14:paraId="4863BC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2" w:hRule="atLeast"/>
          <w:jc w:val="center"/>
        </w:trPr>
        <w:tc>
          <w:tcPr>
            <w:tcW w:w="456" w:type="dxa"/>
            <w:noWrap w:val="0"/>
            <w:vAlign w:val="center"/>
          </w:tcPr>
          <w:p w14:paraId="06C9D11A">
            <w:pPr>
              <w:adjustRightInd w:val="0"/>
              <w:snapToGrid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生态环境现状</w:t>
            </w:r>
          </w:p>
        </w:tc>
        <w:tc>
          <w:tcPr>
            <w:tcW w:w="8832" w:type="dxa"/>
            <w:noWrap w:val="0"/>
            <w:vAlign w:val="center"/>
          </w:tcPr>
          <w:p w14:paraId="070AFC3E">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1</w:t>
            </w:r>
            <w:r>
              <w:rPr>
                <w:rFonts w:ascii="Times New Roman" w:hAnsi="Times New Roman" w:eastAsia="宋体" w:cs="Times New Roman"/>
                <w:b/>
                <w:bCs/>
                <w:color w:val="auto"/>
                <w:sz w:val="24"/>
                <w:szCs w:val="24"/>
                <w:highlight w:val="none"/>
              </w:rPr>
              <w:t>、生态环境现状</w:t>
            </w:r>
          </w:p>
          <w:p w14:paraId="221406AA">
            <w:pPr>
              <w:pStyle w:val="28"/>
              <w:keepNext w:val="0"/>
              <w:keepLines w:val="0"/>
              <w:pageBreakBefore w:val="0"/>
              <w:widowControl w:val="0"/>
              <w:numPr>
                <w:ilvl w:val="0"/>
                <w:numId w:val="0"/>
              </w:numPr>
              <w:kinsoku/>
              <w:wordWrap/>
              <w:overflowPunct/>
              <w:topLinePunct w:val="0"/>
              <w:bidi w:val="0"/>
              <w:adjustRightInd w:val="0"/>
              <w:snapToGrid w:val="0"/>
              <w:spacing w:line="360" w:lineRule="auto"/>
              <w:ind w:left="482" w:leftChars="0"/>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eastAsia" w:ascii="Times New Roman" w:hAnsi="Times New Roman" w:eastAsia="宋体" w:cs="Times New Roman"/>
                <w:b/>
                <w:bCs/>
                <w:color w:val="auto"/>
                <w:kern w:val="0"/>
                <w:sz w:val="24"/>
                <w:szCs w:val="24"/>
                <w:highlight w:val="none"/>
                <w:lang w:val="en-US" w:eastAsia="zh-CN" w:bidi="ar-SA"/>
              </w:rPr>
              <w:t>（1）</w:t>
            </w:r>
            <w:r>
              <w:rPr>
                <w:rFonts w:hint="default" w:ascii="Times New Roman" w:hAnsi="Times New Roman" w:eastAsia="宋体" w:cs="Times New Roman"/>
                <w:b/>
                <w:bCs/>
                <w:color w:val="auto"/>
                <w:kern w:val="0"/>
                <w:sz w:val="24"/>
                <w:szCs w:val="24"/>
                <w:highlight w:val="none"/>
                <w:lang w:val="en-US" w:eastAsia="zh-CN" w:bidi="ar-SA"/>
              </w:rPr>
              <w:t>生态功能定位</w:t>
            </w:r>
          </w:p>
          <w:p w14:paraId="281E4963">
            <w:pPr>
              <w:pStyle w:val="28"/>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kern w:val="0"/>
                <w:szCs w:val="24"/>
                <w:highlight w:val="none"/>
                <w:lang w:val="en-US" w:eastAsia="zh-CN"/>
              </w:rPr>
            </w:pPr>
            <w:r>
              <w:rPr>
                <w:rFonts w:hint="default" w:ascii="Times New Roman" w:hAnsi="Times New Roman" w:cs="Times New Roman"/>
                <w:color w:val="auto"/>
                <w:kern w:val="0"/>
                <w:szCs w:val="24"/>
                <w:highlight w:val="none"/>
                <w:lang w:val="en-US" w:eastAsia="zh-CN"/>
              </w:rPr>
              <w:t>①项目工程在陕西省主体功能区划中的定位</w:t>
            </w:r>
          </w:p>
          <w:p w14:paraId="5FDE7C23">
            <w:pPr>
              <w:pStyle w:val="28"/>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lang w:val="en-US" w:eastAsia="zh-CN"/>
              </w:rPr>
              <w:t>根据《陕西省主体功能区划》，项目工程评价区属“国家层面</w:t>
            </w:r>
            <w:r>
              <w:rPr>
                <w:rFonts w:hint="eastAsia" w:ascii="Times New Roman" w:hAnsi="Times New Roman" w:cs="Times New Roman"/>
                <w:color w:val="auto"/>
                <w:kern w:val="0"/>
                <w:szCs w:val="24"/>
                <w:highlight w:val="none"/>
                <w:lang w:val="en-US" w:eastAsia="zh-CN"/>
              </w:rPr>
              <w:t>限制开发区域（</w:t>
            </w:r>
            <w:r>
              <w:rPr>
                <w:rFonts w:hint="default" w:ascii="Times New Roman" w:hAnsi="Times New Roman" w:cs="Times New Roman"/>
                <w:color w:val="auto"/>
                <w:kern w:val="0"/>
                <w:szCs w:val="24"/>
                <w:highlight w:val="none"/>
                <w:lang w:val="en-US" w:eastAsia="zh-CN"/>
              </w:rPr>
              <w:t>重点生态功能区</w:t>
            </w:r>
            <w:r>
              <w:rPr>
                <w:rFonts w:hint="eastAsia" w:ascii="Times New Roman" w:hAnsi="Times New Roman" w:cs="Times New Roman"/>
                <w:color w:val="auto"/>
                <w:kern w:val="0"/>
                <w:szCs w:val="24"/>
                <w:highlight w:val="none"/>
                <w:lang w:val="en-US" w:eastAsia="zh-CN"/>
              </w:rPr>
              <w:t>）</w:t>
            </w:r>
            <w:r>
              <w:rPr>
                <w:rFonts w:hint="default" w:ascii="Times New Roman" w:hAnsi="Times New Roman" w:cs="Times New Roman"/>
                <w:color w:val="auto"/>
                <w:kern w:val="0"/>
                <w:szCs w:val="24"/>
                <w:highlight w:val="none"/>
                <w:lang w:val="en-US" w:eastAsia="zh-CN"/>
              </w:rPr>
              <w:t>秦巴生物多样性生态功能区”</w:t>
            </w:r>
            <w:r>
              <w:rPr>
                <w:rFonts w:hint="default" w:ascii="Times New Roman" w:hAnsi="Times New Roman" w:cs="Times New Roman"/>
                <w:color w:val="auto"/>
                <w:kern w:val="0"/>
                <w:szCs w:val="24"/>
                <w:highlight w:val="none"/>
              </w:rPr>
              <w:t>（具体见附图</w:t>
            </w:r>
            <w:r>
              <w:rPr>
                <w:rFonts w:hint="eastAsia" w:ascii="Times New Roman" w:cs="Times New Roman"/>
                <w:color w:val="auto"/>
                <w:kern w:val="0"/>
                <w:szCs w:val="24"/>
                <w:highlight w:val="none"/>
                <w:lang w:val="en-US" w:eastAsia="zh-CN"/>
              </w:rPr>
              <w:t>5</w:t>
            </w:r>
            <w:r>
              <w:rPr>
                <w:rFonts w:hint="default" w:ascii="Times New Roman" w:hAnsi="Times New Roman" w:cs="Times New Roman"/>
                <w:color w:val="auto"/>
                <w:kern w:val="0"/>
                <w:szCs w:val="24"/>
                <w:highlight w:val="none"/>
              </w:rPr>
              <w:t>），该区的主体功能是保障国家和地方生态安全的重要区域，人与自然和谐相处的示范区。</w:t>
            </w:r>
          </w:p>
          <w:p w14:paraId="39939112">
            <w:pPr>
              <w:pStyle w:val="28"/>
              <w:spacing w:line="360" w:lineRule="auto"/>
              <w:ind w:firstLine="480" w:firstLineChars="20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保护和发展方向：</w:t>
            </w:r>
          </w:p>
          <w:p w14:paraId="41F00E95">
            <w:pPr>
              <w:pStyle w:val="28"/>
              <w:spacing w:line="360" w:lineRule="auto"/>
              <w:ind w:firstLine="480" w:firstLineChars="20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——加强退耕还林、封山育林、天然林保护、湿地保护、长防林建设，开展小流域治理，防止水土流失，促进植被恢复，维护生态系统。</w:t>
            </w:r>
          </w:p>
          <w:p w14:paraId="2A39AB0C">
            <w:pPr>
              <w:pStyle w:val="28"/>
              <w:spacing w:line="360" w:lineRule="auto"/>
              <w:ind w:firstLine="480" w:firstLineChars="20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——严禁毁林开荒、滥采、滥捕、滥伐等行为，保护生态系统与重要物种栖息地，防止外来有害物种侵害，保持并恢复野生动植物物种和种群的平衡。</w:t>
            </w:r>
          </w:p>
          <w:p w14:paraId="3D3C8E8B">
            <w:pPr>
              <w:pStyle w:val="28"/>
              <w:spacing w:line="360" w:lineRule="auto"/>
              <w:ind w:firstLine="480" w:firstLineChars="20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——加大城镇生活污水垃圾处理和工业点源污染治理力度，减少农村面源污染，确保主要河流水质保持在</w:t>
            </w:r>
            <w:r>
              <w:rPr>
                <w:rFonts w:hint="eastAsia" w:ascii="Times New Roman" w:cs="Times New Roman"/>
                <w:color w:val="auto"/>
                <w:kern w:val="0"/>
                <w:szCs w:val="24"/>
                <w:highlight w:val="none"/>
                <w:lang w:eastAsia="zh-CN"/>
              </w:rPr>
              <w:t>Ⅱ</w:t>
            </w:r>
            <w:r>
              <w:rPr>
                <w:rFonts w:hint="default" w:ascii="Times New Roman" w:hAnsi="Times New Roman" w:cs="Times New Roman"/>
                <w:color w:val="auto"/>
                <w:kern w:val="0"/>
                <w:szCs w:val="24"/>
                <w:highlight w:val="none"/>
              </w:rPr>
              <w:t>类以上。</w:t>
            </w:r>
          </w:p>
          <w:p w14:paraId="55512436">
            <w:pPr>
              <w:pStyle w:val="28"/>
              <w:spacing w:line="360" w:lineRule="auto"/>
              <w:ind w:firstLine="480" w:firstLineChars="20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——围绕特色农产品基地建设，加强茶叶、食用菌、林果、蚕桑、中药材、蔬菜、生猪等规模化种植养殖，推进标准化生产和精深加工。积极发展生态旅游、文化旅游和休闲观光游。</w:t>
            </w:r>
          </w:p>
          <w:p w14:paraId="1A9753B3">
            <w:pPr>
              <w:pStyle w:val="28"/>
              <w:spacing w:line="360" w:lineRule="auto"/>
              <w:ind w:firstLine="480" w:firstLineChars="20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——发展太阳能、生物质能等新能源，推广沼气、地热等清洁能源，在保护生态和群众利益前提下，科学开发汉丹江、嘉陵江流域水能资源。按照“点上开发、面上保护”的要求，适度开发优质矿产资源。</w:t>
            </w:r>
          </w:p>
          <w:p w14:paraId="7C7AAC3B">
            <w:pPr>
              <w:pStyle w:val="28"/>
              <w:spacing w:line="360" w:lineRule="auto"/>
              <w:ind w:firstLine="480" w:firstLineChars="200"/>
              <w:rPr>
                <w:rFonts w:hint="default" w:ascii="Times New Roman" w:hAnsi="Times New Roman" w:cs="Times New Roman"/>
                <w:color w:val="auto"/>
                <w:kern w:val="0"/>
                <w:szCs w:val="24"/>
                <w:highlight w:val="none"/>
                <w:lang w:val="en-US" w:eastAsia="zh-CN"/>
              </w:rPr>
            </w:pPr>
            <w:r>
              <w:rPr>
                <w:rFonts w:hint="default" w:ascii="Times New Roman" w:hAnsi="Times New Roman" w:cs="Times New Roman"/>
                <w:color w:val="auto"/>
                <w:kern w:val="0"/>
                <w:szCs w:val="24"/>
                <w:highlight w:val="none"/>
              </w:rPr>
              <w:t>——建立自然灾害应急预防体系，加强对灾害多发区的监测，提高防灾减灾能力。完善城镇体系，引导山区人口向县城、重点镇和条件较好的中心村转移。</w:t>
            </w:r>
          </w:p>
          <w:p w14:paraId="10B96E44">
            <w:pPr>
              <w:pStyle w:val="28"/>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kern w:val="0"/>
                <w:szCs w:val="24"/>
                <w:highlight w:val="none"/>
              </w:rPr>
              <w:t>本项目为</w:t>
            </w:r>
            <w:r>
              <w:rPr>
                <w:rFonts w:hint="eastAsia" w:ascii="Times New Roman" w:hAnsi="Times New Roman" w:cs="Times New Roman"/>
                <w:color w:val="auto"/>
                <w:kern w:val="0"/>
                <w:szCs w:val="24"/>
                <w:highlight w:val="none"/>
                <w:lang w:val="en-US" w:eastAsia="zh-CN"/>
              </w:rPr>
              <w:t>光伏发电</w:t>
            </w:r>
            <w:r>
              <w:rPr>
                <w:rFonts w:hint="default" w:ascii="Times New Roman" w:hAnsi="Times New Roman" w:cs="Times New Roman"/>
                <w:color w:val="auto"/>
                <w:kern w:val="0"/>
                <w:szCs w:val="24"/>
                <w:highlight w:val="none"/>
              </w:rPr>
              <w:t>项目，</w:t>
            </w:r>
            <w:r>
              <w:rPr>
                <w:rFonts w:hint="eastAsia" w:ascii="Times New Roman" w:hAnsi="Times New Roman" w:cs="Times New Roman"/>
                <w:color w:val="auto"/>
                <w:kern w:val="0"/>
                <w:szCs w:val="24"/>
                <w:highlight w:val="none"/>
                <w:lang w:val="en-US" w:eastAsia="zh-CN"/>
              </w:rPr>
              <w:t>占用土地不属于耕地、林地等，符合</w:t>
            </w:r>
            <w:r>
              <w:rPr>
                <w:rFonts w:hint="default" w:ascii="Times New Roman" w:hAnsi="Times New Roman" w:cs="Times New Roman"/>
                <w:color w:val="auto"/>
                <w:kern w:val="0"/>
                <w:szCs w:val="24"/>
                <w:highlight w:val="none"/>
              </w:rPr>
              <w:t>《陕西省主体功能区划》</w:t>
            </w:r>
            <w:r>
              <w:rPr>
                <w:rFonts w:hint="eastAsia" w:ascii="Times New Roman" w:hAnsi="Times New Roman" w:cs="Times New Roman"/>
                <w:color w:val="auto"/>
                <w:kern w:val="0"/>
                <w:szCs w:val="24"/>
                <w:highlight w:val="none"/>
                <w:lang w:val="en-US" w:eastAsia="zh-CN"/>
              </w:rPr>
              <w:t>内发展太阳能的发展方向</w:t>
            </w:r>
            <w:r>
              <w:rPr>
                <w:rFonts w:hint="default" w:ascii="Times New Roman" w:hAnsi="Times New Roman" w:cs="Times New Roman"/>
                <w:color w:val="auto"/>
                <w:kern w:val="0"/>
                <w:szCs w:val="24"/>
                <w:highlight w:val="none"/>
              </w:rPr>
              <w:t>。</w:t>
            </w:r>
          </w:p>
          <w:p w14:paraId="5B8E20D9">
            <w:pPr>
              <w:pStyle w:val="28"/>
              <w:numPr>
                <w:ilvl w:val="0"/>
                <w:numId w:val="0"/>
              </w:numPr>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②项目工程在陕西省生态功能区划中的定位</w:t>
            </w:r>
          </w:p>
          <w:p w14:paraId="12417730">
            <w:pPr>
              <w:pStyle w:val="28"/>
              <w:spacing w:line="360" w:lineRule="auto"/>
              <w:ind w:firstLine="480" w:firstLineChars="20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根据《陕西省生态功能区划》（陕政办发[2004]115号），陕西省共划分为4个生态区（一级区）、10个生态功能区（二级区）、35个小区（三级区）。</w:t>
            </w:r>
          </w:p>
          <w:p w14:paraId="6D4B5DF5">
            <w:pPr>
              <w:pStyle w:val="28"/>
              <w:spacing w:line="360" w:lineRule="auto"/>
              <w:ind w:firstLine="480" w:firstLineChars="200"/>
              <w:rPr>
                <w:rFonts w:hint="default"/>
                <w:color w:val="auto"/>
                <w:highlight w:val="none"/>
              </w:rPr>
            </w:pPr>
            <w:r>
              <w:rPr>
                <w:rFonts w:hint="default" w:ascii="Times New Roman" w:hAnsi="Times New Roman" w:cs="Times New Roman"/>
                <w:color w:val="auto"/>
                <w:kern w:val="0"/>
                <w:szCs w:val="24"/>
                <w:highlight w:val="none"/>
              </w:rPr>
              <w:t>项目评价区属于：秦巴山地落叶阔叶、常绿阔叶混交林生态区</w:t>
            </w:r>
            <w:r>
              <w:rPr>
                <w:rFonts w:hint="default" w:ascii="Times New Roman" w:hAnsi="Times New Roman" w:cs="Times New Roman"/>
                <w:color w:val="auto"/>
                <w:kern w:val="0"/>
                <w:szCs w:val="24"/>
                <w:highlight w:val="none"/>
                <w:lang w:eastAsia="zh-CN"/>
              </w:rPr>
              <w:t>，</w:t>
            </w:r>
            <w:r>
              <w:rPr>
                <w:rFonts w:hint="eastAsia" w:ascii="Times New Roman" w:cs="Times New Roman"/>
                <w:color w:val="auto"/>
                <w:kern w:val="0"/>
                <w:szCs w:val="24"/>
                <w:highlight w:val="none"/>
                <w:lang w:eastAsia="zh-CN"/>
              </w:rPr>
              <w:t>汉江两岸丘陵盆地农业生态亚区汉中盆地城镇与农业区</w:t>
            </w:r>
            <w:r>
              <w:rPr>
                <w:rFonts w:hint="default" w:ascii="Times New Roman" w:hAnsi="Times New Roman" w:cs="Times New Roman"/>
                <w:color w:val="auto"/>
                <w:kern w:val="0"/>
                <w:szCs w:val="24"/>
                <w:highlight w:val="none"/>
              </w:rPr>
              <w:t>（具体见附图</w:t>
            </w:r>
            <w:r>
              <w:rPr>
                <w:rFonts w:hint="eastAsia" w:ascii="Times New Roman" w:cs="Times New Roman"/>
                <w:color w:val="auto"/>
                <w:kern w:val="0"/>
                <w:szCs w:val="24"/>
                <w:highlight w:val="none"/>
                <w:lang w:val="en-US" w:eastAsia="zh-CN"/>
              </w:rPr>
              <w:t>6</w:t>
            </w:r>
            <w:r>
              <w:rPr>
                <w:rFonts w:hint="default" w:ascii="Times New Roman" w:hAnsi="Times New Roman" w:cs="Times New Roman"/>
                <w:color w:val="auto"/>
                <w:kern w:val="0"/>
                <w:szCs w:val="24"/>
                <w:highlight w:val="none"/>
              </w:rPr>
              <w:t>）。</w:t>
            </w:r>
          </w:p>
          <w:p w14:paraId="1A139FEB">
            <w:pPr>
              <w:pStyle w:val="32"/>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b w:val="0"/>
                <w:bCs w:val="0"/>
                <w:color w:val="auto"/>
                <w:kern w:val="0"/>
                <w:sz w:val="24"/>
                <w:szCs w:val="24"/>
                <w:highlight w:val="none"/>
                <w:lang w:val="en-US" w:eastAsia="zh-CN"/>
              </w:rPr>
            </w:pPr>
            <w:r>
              <w:rPr>
                <w:rFonts w:hint="default" w:ascii="Times New Roman" w:hAnsi="Times New Roman" w:cs="Times New Roman"/>
                <w:b w:val="0"/>
                <w:bCs w:val="0"/>
                <w:color w:val="auto"/>
                <w:kern w:val="0"/>
                <w:sz w:val="24"/>
                <w:szCs w:val="24"/>
                <w:highlight w:val="none"/>
                <w:lang w:val="en-US" w:eastAsia="zh-CN"/>
              </w:rPr>
              <w:t>该区域范围生态服务功能重要性或生态敏感性特征</w:t>
            </w:r>
            <w:r>
              <w:rPr>
                <w:rFonts w:hint="eastAsia" w:ascii="Times New Roman" w:cs="Times New Roman"/>
                <w:b w:val="0"/>
                <w:bCs w:val="0"/>
                <w:color w:val="auto"/>
                <w:kern w:val="0"/>
                <w:sz w:val="24"/>
                <w:szCs w:val="24"/>
                <w:highlight w:val="none"/>
                <w:lang w:val="en-US" w:eastAsia="zh-CN"/>
              </w:rPr>
              <w:t>及生态保护对策</w:t>
            </w:r>
            <w:r>
              <w:rPr>
                <w:rFonts w:hint="default" w:ascii="Times New Roman" w:hAnsi="Times New Roman" w:cs="Times New Roman"/>
                <w:b w:val="0"/>
                <w:bCs w:val="0"/>
                <w:color w:val="auto"/>
                <w:kern w:val="0"/>
                <w:sz w:val="24"/>
                <w:szCs w:val="24"/>
                <w:highlight w:val="none"/>
                <w:lang w:val="en-US" w:eastAsia="zh-CN"/>
              </w:rPr>
              <w:t>：</w:t>
            </w:r>
            <w:r>
              <w:rPr>
                <w:rFonts w:hint="eastAsia" w:ascii="Times New Roman" w:cs="Times New Roman"/>
                <w:b w:val="0"/>
                <w:bCs w:val="0"/>
                <w:color w:val="auto"/>
                <w:kern w:val="0"/>
                <w:sz w:val="24"/>
                <w:szCs w:val="24"/>
                <w:highlight w:val="none"/>
                <w:lang w:val="en-US" w:eastAsia="zh-CN"/>
              </w:rPr>
              <w:t>城镇密集，农业发达，水环境敏感。合理布局城镇和企业，控制污染，搞好周边绿化和水土保持。农业以种植和养殖为主，控制面源污染。</w:t>
            </w:r>
          </w:p>
          <w:p w14:paraId="62F3F0C9">
            <w:pPr>
              <w:pStyle w:val="32"/>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cs="Times New Roman"/>
                <w:b/>
                <w:bCs w:val="0"/>
                <w:color w:val="auto"/>
                <w:sz w:val="24"/>
                <w:szCs w:val="24"/>
                <w:highlight w:val="none"/>
                <w:lang w:eastAsia="zh-CN"/>
              </w:rPr>
            </w:pPr>
            <w:r>
              <w:rPr>
                <w:rFonts w:hint="default" w:ascii="Times New Roman" w:hAnsi="Times New Roman" w:cs="Times New Roman"/>
                <w:b w:val="0"/>
                <w:bCs w:val="0"/>
                <w:color w:val="auto"/>
                <w:kern w:val="0"/>
                <w:sz w:val="24"/>
                <w:szCs w:val="24"/>
                <w:highlight w:val="none"/>
                <w:lang w:val="en-US" w:eastAsia="zh-CN"/>
              </w:rPr>
              <w:t>本项目产生的冲洗废水沿板面直接落入光伏组件下方的</w:t>
            </w:r>
            <w:r>
              <w:rPr>
                <w:rFonts w:hint="eastAsia" w:ascii="Times New Roman" w:cs="Times New Roman"/>
                <w:b w:val="0"/>
                <w:bCs w:val="0"/>
                <w:color w:val="auto"/>
                <w:kern w:val="0"/>
                <w:sz w:val="24"/>
                <w:szCs w:val="24"/>
                <w:highlight w:val="none"/>
                <w:lang w:val="en-US" w:eastAsia="zh-CN"/>
              </w:rPr>
              <w:t>土地，自然蒸发</w:t>
            </w:r>
            <w:r>
              <w:rPr>
                <w:rFonts w:hint="default" w:ascii="Times New Roman" w:hAnsi="Times New Roman" w:cs="Times New Roman"/>
                <w:b w:val="0"/>
                <w:bCs w:val="0"/>
                <w:color w:val="auto"/>
                <w:kern w:val="0"/>
                <w:sz w:val="24"/>
                <w:szCs w:val="24"/>
                <w:highlight w:val="none"/>
                <w:lang w:val="en-US" w:eastAsia="zh-CN"/>
              </w:rPr>
              <w:t>；生活污水经过化粪池及一体化污水处理设备处理后回用于道路清洗，不外排，不会加重地表水污染负荷，对地表水影响（较建设前）不大；项目</w:t>
            </w:r>
            <w:r>
              <w:rPr>
                <w:rFonts w:hint="eastAsia" w:ascii="Times New Roman" w:cs="Times New Roman"/>
                <w:b w:val="0"/>
                <w:bCs w:val="0"/>
                <w:color w:val="auto"/>
                <w:kern w:val="0"/>
                <w:sz w:val="24"/>
                <w:szCs w:val="24"/>
                <w:highlight w:val="none"/>
                <w:lang w:val="en-US" w:eastAsia="zh-CN"/>
              </w:rPr>
              <w:t>固废收集后合理处置，不随意丢弃，施工过程做好水土保持设施的建设，</w:t>
            </w:r>
            <w:r>
              <w:rPr>
                <w:rFonts w:hint="default" w:ascii="Times New Roman" w:hAnsi="Times New Roman" w:cs="Times New Roman"/>
                <w:b w:val="0"/>
                <w:bCs w:val="0"/>
                <w:color w:val="auto"/>
                <w:kern w:val="0"/>
                <w:sz w:val="24"/>
                <w:szCs w:val="24"/>
                <w:highlight w:val="none"/>
                <w:lang w:val="en-US" w:eastAsia="zh-CN"/>
              </w:rPr>
              <w:t>不会</w:t>
            </w:r>
            <w:r>
              <w:rPr>
                <w:rFonts w:hint="eastAsia" w:ascii="Times New Roman" w:cs="Times New Roman"/>
                <w:b w:val="0"/>
                <w:bCs w:val="0"/>
                <w:color w:val="auto"/>
                <w:kern w:val="0"/>
                <w:sz w:val="24"/>
                <w:szCs w:val="24"/>
                <w:highlight w:val="none"/>
                <w:lang w:val="en-US" w:eastAsia="zh-CN"/>
              </w:rPr>
              <w:t>造成污染和较严重的水土流失</w:t>
            </w:r>
            <w:r>
              <w:rPr>
                <w:rFonts w:hint="default" w:ascii="Times New Roman" w:hAnsi="Times New Roman" w:cs="Times New Roman"/>
                <w:b w:val="0"/>
                <w:bCs w:val="0"/>
                <w:color w:val="auto"/>
                <w:kern w:val="0"/>
                <w:sz w:val="24"/>
                <w:szCs w:val="24"/>
                <w:highlight w:val="none"/>
                <w:lang w:val="en-US" w:eastAsia="zh-CN"/>
              </w:rPr>
              <w:t>，与《陕西省生态功能区划》相符。</w:t>
            </w:r>
          </w:p>
          <w:p w14:paraId="3DFA088B">
            <w:pPr>
              <w:pStyle w:val="14"/>
              <w:keepNext w:val="0"/>
              <w:keepLines w:val="0"/>
              <w:pageBreakBefore w:val="0"/>
              <w:widowControl w:val="0"/>
              <w:numPr>
                <w:ilvl w:val="0"/>
                <w:numId w:val="3"/>
              </w:numPr>
              <w:kinsoku/>
              <w:wordWrap/>
              <w:overflowPunct/>
              <w:topLinePunct w:val="0"/>
              <w:autoSpaceDE/>
              <w:autoSpaceDN/>
              <w:bidi w:val="0"/>
              <w:adjustRightInd w:val="0"/>
              <w:snapToGrid w:val="0"/>
              <w:spacing w:after="0" w:line="360" w:lineRule="auto"/>
              <w:ind w:left="0" w:leftChars="0" w:firstLine="482" w:firstLineChars="200"/>
              <w:jc w:val="left"/>
              <w:textAlignment w:val="auto"/>
              <w:rPr>
                <w:rFonts w:hint="eastAsia" w:cs="Times New Roman"/>
                <w:b/>
                <w:bCs w:val="0"/>
                <w:color w:val="auto"/>
                <w:sz w:val="24"/>
                <w:szCs w:val="24"/>
                <w:highlight w:val="none"/>
                <w:lang w:eastAsia="zh-CN"/>
              </w:rPr>
            </w:pPr>
            <w:r>
              <w:rPr>
                <w:rFonts w:ascii="Times New Roman" w:hAnsi="Times New Roman" w:eastAsia="宋体" w:cs="Times New Roman"/>
                <w:b/>
                <w:bCs w:val="0"/>
                <w:color w:val="auto"/>
                <w:sz w:val="24"/>
                <w:szCs w:val="24"/>
                <w:highlight w:val="none"/>
              </w:rPr>
              <w:t>区域</w:t>
            </w:r>
            <w:r>
              <w:rPr>
                <w:rFonts w:hint="eastAsia" w:cs="Times New Roman"/>
                <w:b/>
                <w:bCs w:val="0"/>
                <w:color w:val="auto"/>
                <w:sz w:val="24"/>
                <w:szCs w:val="24"/>
                <w:highlight w:val="none"/>
                <w:lang w:eastAsia="zh-CN"/>
              </w:rPr>
              <w:t>生态环境现状</w:t>
            </w:r>
          </w:p>
          <w:p w14:paraId="1C4C2AF5">
            <w:pPr>
              <w:pStyle w:val="14"/>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生态环境现状调查与评价采用现场调查和卫星遥感影像解译相结合的方法，对项目所在地生态环境现状作出评价。具体调查结果如下：</w:t>
            </w:r>
          </w:p>
          <w:p w14:paraId="70F8D849">
            <w:pPr>
              <w:pStyle w:val="14"/>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①土地利用现状调查</w:t>
            </w:r>
          </w:p>
          <w:p w14:paraId="508C7600">
            <w:pPr>
              <w:pStyle w:val="14"/>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按照《土地利用现状分类标准（GB</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zh-CN" w:eastAsia="zh-CN" w:bidi="ar-SA"/>
              </w:rPr>
              <w:t>T 21010-2017）》的</w:t>
            </w:r>
            <w:r>
              <w:rPr>
                <w:rFonts w:hint="eastAsia" w:cs="Times New Roman"/>
                <w:color w:val="auto"/>
                <w:kern w:val="2"/>
                <w:sz w:val="24"/>
                <w:szCs w:val="24"/>
                <w:highlight w:val="none"/>
                <w:lang w:val="en-US" w:eastAsia="zh-CN" w:bidi="ar-SA"/>
              </w:rPr>
              <w:t>规定</w:t>
            </w:r>
            <w:r>
              <w:rPr>
                <w:rFonts w:hint="eastAsia" w:ascii="Times New Roman" w:hAnsi="Times New Roman" w:eastAsia="宋体" w:cs="Times New Roman"/>
                <w:color w:val="auto"/>
                <w:kern w:val="2"/>
                <w:sz w:val="24"/>
                <w:szCs w:val="24"/>
                <w:highlight w:val="none"/>
                <w:lang w:val="zh-CN" w:eastAsia="zh-CN" w:bidi="ar-SA"/>
              </w:rPr>
              <w:t>进行地类划分，将项目区的土地利用类型划分为</w:t>
            </w:r>
            <w:r>
              <w:rPr>
                <w:rFonts w:hint="eastAsia" w:cs="Times New Roman"/>
                <w:color w:val="auto"/>
                <w:kern w:val="2"/>
                <w:sz w:val="24"/>
                <w:szCs w:val="24"/>
                <w:highlight w:val="none"/>
                <w:lang w:val="en-US" w:eastAsia="zh-CN" w:bidi="ar-SA"/>
              </w:rPr>
              <w:t>农用地、建设用地</w:t>
            </w:r>
            <w:r>
              <w:rPr>
                <w:rFonts w:hint="eastAsia" w:ascii="Times New Roman" w:hAnsi="Times New Roman" w:eastAsia="宋体" w:cs="Times New Roman"/>
                <w:color w:val="auto"/>
                <w:kern w:val="2"/>
                <w:sz w:val="24"/>
                <w:szCs w:val="24"/>
                <w:highlight w:val="none"/>
                <w:lang w:val="zh-CN" w:eastAsia="zh-CN" w:bidi="ar-SA"/>
              </w:rPr>
              <w:t>以及未利用地，共计</w:t>
            </w:r>
            <w:r>
              <w:rPr>
                <w:rFonts w:hint="eastAsia"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zh-CN" w:eastAsia="zh-CN" w:bidi="ar-SA"/>
              </w:rPr>
              <w:t>个地类。项目所在地土地利用现状类型面积及比例见表3-1。</w:t>
            </w:r>
          </w:p>
          <w:p w14:paraId="3CD86688">
            <w:pPr>
              <w:pStyle w:val="14"/>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22" w:firstLineChars="200"/>
              <w:jc w:val="center"/>
              <w:textAlignment w:val="auto"/>
              <w:rPr>
                <w:rFonts w:hint="eastAsia" w:ascii="Times New Roman" w:hAnsi="Times New Roman" w:eastAsia="宋体" w:cs="Times New Roman"/>
                <w:b/>
                <w:bCs/>
                <w:color w:val="auto"/>
                <w:kern w:val="2"/>
                <w:sz w:val="21"/>
                <w:szCs w:val="21"/>
                <w:highlight w:val="none"/>
                <w:lang w:val="zh-CN" w:eastAsia="zh-CN" w:bidi="ar-SA"/>
              </w:rPr>
            </w:pPr>
            <w:r>
              <w:rPr>
                <w:rFonts w:hint="eastAsia" w:ascii="Times New Roman" w:hAnsi="Times New Roman" w:eastAsia="宋体" w:cs="Times New Roman"/>
                <w:b/>
                <w:bCs/>
                <w:color w:val="auto"/>
                <w:kern w:val="2"/>
                <w:sz w:val="21"/>
                <w:szCs w:val="21"/>
                <w:highlight w:val="none"/>
                <w:lang w:val="zh-CN" w:eastAsia="zh-CN" w:bidi="ar-SA"/>
              </w:rPr>
              <w:t>表3-1评价区土地利用类型</w:t>
            </w:r>
            <w:r>
              <w:rPr>
                <w:rFonts w:hint="eastAsia" w:cs="Times New Roman"/>
                <w:b/>
                <w:bCs/>
                <w:color w:val="auto"/>
                <w:kern w:val="2"/>
                <w:sz w:val="21"/>
                <w:szCs w:val="21"/>
                <w:highlight w:val="none"/>
                <w:lang w:val="en-US" w:eastAsia="zh-CN" w:bidi="ar-SA"/>
              </w:rPr>
              <w:t>及</w:t>
            </w:r>
            <w:r>
              <w:rPr>
                <w:rFonts w:hint="eastAsia" w:ascii="Times New Roman" w:hAnsi="Times New Roman" w:eastAsia="宋体" w:cs="Times New Roman"/>
                <w:b/>
                <w:bCs/>
                <w:color w:val="auto"/>
                <w:kern w:val="2"/>
                <w:sz w:val="21"/>
                <w:szCs w:val="21"/>
                <w:highlight w:val="none"/>
                <w:lang w:val="zh-CN" w:eastAsia="zh-CN" w:bidi="ar-SA"/>
              </w:rPr>
              <w:t>面积</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29"/>
              <w:gridCol w:w="873"/>
              <w:gridCol w:w="1231"/>
              <w:gridCol w:w="1356"/>
              <w:gridCol w:w="1370"/>
              <w:gridCol w:w="1327"/>
              <w:gridCol w:w="1317"/>
            </w:tblGrid>
            <w:tr w14:paraId="232A3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656" w:type="pct"/>
                  <w:vMerge w:val="restart"/>
                  <w:shd w:val="clear" w:color="auto" w:fill="FFFFFF"/>
                  <w:vAlign w:val="center"/>
                </w:tcPr>
                <w:p w14:paraId="72253BA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项目区域</w:t>
                  </w:r>
                </w:p>
              </w:tc>
              <w:tc>
                <w:tcPr>
                  <w:tcW w:w="507" w:type="pct"/>
                  <w:vMerge w:val="restart"/>
                  <w:shd w:val="clear" w:color="auto" w:fill="FFFFFF"/>
                  <w:vAlign w:val="center"/>
                </w:tcPr>
                <w:p w14:paraId="088FC19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权属</w:t>
                  </w:r>
                </w:p>
              </w:tc>
              <w:tc>
                <w:tcPr>
                  <w:tcW w:w="715" w:type="pct"/>
                  <w:vMerge w:val="restart"/>
                  <w:shd w:val="clear" w:color="auto" w:fill="FFFFFF"/>
                  <w:vAlign w:val="center"/>
                </w:tcPr>
                <w:p w14:paraId="1E2FAA0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总面积</w:t>
                  </w:r>
                </w:p>
              </w:tc>
              <w:tc>
                <w:tcPr>
                  <w:tcW w:w="3120" w:type="pct"/>
                  <w:gridSpan w:val="4"/>
                  <w:shd w:val="clear" w:color="auto" w:fill="auto"/>
                  <w:vAlign w:val="center"/>
                </w:tcPr>
                <w:p w14:paraId="043F5D4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农用地（NYD）</w:t>
                  </w:r>
                </w:p>
              </w:tc>
            </w:tr>
            <w:tr w14:paraId="548F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656" w:type="pct"/>
                  <w:vMerge w:val="continue"/>
                  <w:shd w:val="clear" w:color="auto" w:fill="FFFFFF"/>
                  <w:vAlign w:val="center"/>
                </w:tcPr>
                <w:p w14:paraId="2EB5F10E">
                  <w:pPr>
                    <w:jc w:val="center"/>
                    <w:rPr>
                      <w:rFonts w:hint="default" w:ascii="Times New Roman" w:hAnsi="Times New Roman" w:eastAsia="宋体" w:cs="Times New Roman"/>
                      <w:b w:val="0"/>
                      <w:bCs w:val="0"/>
                      <w:i w:val="0"/>
                      <w:iCs w:val="0"/>
                      <w:color w:val="auto"/>
                      <w:sz w:val="21"/>
                      <w:szCs w:val="21"/>
                      <w:u w:val="none"/>
                    </w:rPr>
                  </w:pPr>
                </w:p>
              </w:tc>
              <w:tc>
                <w:tcPr>
                  <w:tcW w:w="507" w:type="pct"/>
                  <w:vMerge w:val="continue"/>
                  <w:shd w:val="clear" w:color="auto" w:fill="FFFFFF"/>
                  <w:vAlign w:val="center"/>
                </w:tcPr>
                <w:p w14:paraId="73A4C421">
                  <w:pPr>
                    <w:jc w:val="center"/>
                    <w:rPr>
                      <w:rFonts w:hint="default" w:ascii="Times New Roman" w:hAnsi="Times New Roman" w:eastAsia="宋体" w:cs="Times New Roman"/>
                      <w:b w:val="0"/>
                      <w:bCs w:val="0"/>
                      <w:i w:val="0"/>
                      <w:iCs w:val="0"/>
                      <w:color w:val="auto"/>
                      <w:sz w:val="21"/>
                      <w:szCs w:val="21"/>
                      <w:u w:val="none"/>
                    </w:rPr>
                  </w:pPr>
                </w:p>
              </w:tc>
              <w:tc>
                <w:tcPr>
                  <w:tcW w:w="715" w:type="pct"/>
                  <w:vMerge w:val="continue"/>
                  <w:shd w:val="clear" w:color="auto" w:fill="FFFFFF"/>
                  <w:vAlign w:val="center"/>
                </w:tcPr>
                <w:p w14:paraId="02923689">
                  <w:pPr>
                    <w:jc w:val="center"/>
                    <w:rPr>
                      <w:rFonts w:hint="default" w:ascii="Times New Roman" w:hAnsi="Times New Roman" w:eastAsia="宋体" w:cs="Times New Roman"/>
                      <w:b w:val="0"/>
                      <w:bCs w:val="0"/>
                      <w:i w:val="0"/>
                      <w:iCs w:val="0"/>
                      <w:color w:val="auto"/>
                      <w:sz w:val="21"/>
                      <w:szCs w:val="21"/>
                      <w:u w:val="none"/>
                    </w:rPr>
                  </w:pPr>
                </w:p>
              </w:tc>
              <w:tc>
                <w:tcPr>
                  <w:tcW w:w="788" w:type="pct"/>
                  <w:vMerge w:val="restart"/>
                  <w:shd w:val="clear" w:color="auto" w:fill="FFFFFF"/>
                  <w:vAlign w:val="center"/>
                </w:tcPr>
                <w:p w14:paraId="27BE8B9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农用地小计</w:t>
                  </w:r>
                </w:p>
              </w:tc>
              <w:tc>
                <w:tcPr>
                  <w:tcW w:w="796" w:type="pct"/>
                  <w:shd w:val="clear" w:color="auto" w:fill="auto"/>
                  <w:vAlign w:val="center"/>
                </w:tcPr>
                <w:p w14:paraId="3A5B1C1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果园</w:t>
                  </w:r>
                </w:p>
              </w:tc>
              <w:tc>
                <w:tcPr>
                  <w:tcW w:w="771" w:type="pct"/>
                  <w:shd w:val="clear" w:color="auto" w:fill="auto"/>
                  <w:vAlign w:val="center"/>
                </w:tcPr>
                <w:p w14:paraId="213F2D4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其他园地</w:t>
                  </w:r>
                </w:p>
              </w:tc>
              <w:tc>
                <w:tcPr>
                  <w:tcW w:w="764" w:type="pct"/>
                  <w:shd w:val="clear" w:color="auto" w:fill="auto"/>
                  <w:vAlign w:val="center"/>
                </w:tcPr>
                <w:p w14:paraId="598C1D3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农村道路</w:t>
                  </w:r>
                </w:p>
              </w:tc>
            </w:tr>
            <w:tr w14:paraId="5243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656" w:type="pct"/>
                  <w:vMerge w:val="continue"/>
                  <w:shd w:val="clear" w:color="auto" w:fill="FFFFFF"/>
                  <w:vAlign w:val="center"/>
                </w:tcPr>
                <w:p w14:paraId="31A2AEB0">
                  <w:pPr>
                    <w:jc w:val="center"/>
                    <w:rPr>
                      <w:rFonts w:hint="default" w:ascii="Times New Roman" w:hAnsi="Times New Roman" w:eastAsia="宋体" w:cs="Times New Roman"/>
                      <w:b w:val="0"/>
                      <w:bCs w:val="0"/>
                      <w:i w:val="0"/>
                      <w:iCs w:val="0"/>
                      <w:color w:val="auto"/>
                      <w:sz w:val="21"/>
                      <w:szCs w:val="21"/>
                      <w:u w:val="none"/>
                    </w:rPr>
                  </w:pPr>
                </w:p>
              </w:tc>
              <w:tc>
                <w:tcPr>
                  <w:tcW w:w="507" w:type="pct"/>
                  <w:vMerge w:val="continue"/>
                  <w:shd w:val="clear" w:color="auto" w:fill="FFFFFF"/>
                  <w:vAlign w:val="center"/>
                </w:tcPr>
                <w:p w14:paraId="17F667CA">
                  <w:pPr>
                    <w:jc w:val="center"/>
                    <w:rPr>
                      <w:rFonts w:hint="default" w:ascii="Times New Roman" w:hAnsi="Times New Roman" w:eastAsia="宋体" w:cs="Times New Roman"/>
                      <w:b w:val="0"/>
                      <w:bCs w:val="0"/>
                      <w:i w:val="0"/>
                      <w:iCs w:val="0"/>
                      <w:color w:val="auto"/>
                      <w:sz w:val="21"/>
                      <w:szCs w:val="21"/>
                      <w:u w:val="none"/>
                    </w:rPr>
                  </w:pPr>
                </w:p>
              </w:tc>
              <w:tc>
                <w:tcPr>
                  <w:tcW w:w="715" w:type="pct"/>
                  <w:vMerge w:val="continue"/>
                  <w:shd w:val="clear" w:color="auto" w:fill="FFFFFF"/>
                  <w:vAlign w:val="center"/>
                </w:tcPr>
                <w:p w14:paraId="1631F78A">
                  <w:pPr>
                    <w:jc w:val="center"/>
                    <w:rPr>
                      <w:rFonts w:hint="default" w:ascii="Times New Roman" w:hAnsi="Times New Roman" w:eastAsia="宋体" w:cs="Times New Roman"/>
                      <w:b w:val="0"/>
                      <w:bCs w:val="0"/>
                      <w:i w:val="0"/>
                      <w:iCs w:val="0"/>
                      <w:color w:val="auto"/>
                      <w:sz w:val="21"/>
                      <w:szCs w:val="21"/>
                      <w:u w:val="none"/>
                    </w:rPr>
                  </w:pPr>
                </w:p>
              </w:tc>
              <w:tc>
                <w:tcPr>
                  <w:tcW w:w="788" w:type="pct"/>
                  <w:vMerge w:val="continue"/>
                  <w:shd w:val="clear" w:color="auto" w:fill="FFFFFF"/>
                  <w:vAlign w:val="center"/>
                </w:tcPr>
                <w:p w14:paraId="62DFA466">
                  <w:pPr>
                    <w:jc w:val="center"/>
                    <w:rPr>
                      <w:rFonts w:hint="default" w:ascii="Times New Roman" w:hAnsi="Times New Roman" w:eastAsia="宋体" w:cs="Times New Roman"/>
                      <w:b w:val="0"/>
                      <w:bCs w:val="0"/>
                      <w:i w:val="0"/>
                      <w:iCs w:val="0"/>
                      <w:color w:val="auto"/>
                      <w:sz w:val="21"/>
                      <w:szCs w:val="21"/>
                      <w:u w:val="none"/>
                    </w:rPr>
                  </w:pPr>
                </w:p>
              </w:tc>
              <w:tc>
                <w:tcPr>
                  <w:tcW w:w="796" w:type="pct"/>
                  <w:shd w:val="clear" w:color="auto" w:fill="auto"/>
                  <w:vAlign w:val="center"/>
                </w:tcPr>
                <w:p w14:paraId="7600970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-201</w:t>
                  </w:r>
                </w:p>
              </w:tc>
              <w:tc>
                <w:tcPr>
                  <w:tcW w:w="771" w:type="pct"/>
                  <w:shd w:val="clear" w:color="auto" w:fill="auto"/>
                  <w:vAlign w:val="center"/>
                </w:tcPr>
                <w:p w14:paraId="459A646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-204</w:t>
                  </w:r>
                </w:p>
              </w:tc>
              <w:tc>
                <w:tcPr>
                  <w:tcW w:w="764" w:type="pct"/>
                  <w:shd w:val="clear" w:color="auto" w:fill="auto"/>
                  <w:vAlign w:val="center"/>
                </w:tcPr>
                <w:p w14:paraId="6C6AEB9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-1006</w:t>
                  </w:r>
                </w:p>
              </w:tc>
            </w:tr>
            <w:tr w14:paraId="6A916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656" w:type="pct"/>
                  <w:vMerge w:val="restart"/>
                  <w:shd w:val="clear" w:color="auto" w:fill="auto"/>
                  <w:vAlign w:val="center"/>
                </w:tcPr>
                <w:p w14:paraId="164F8EF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大唐洋县60MW光伏发电项目</w:t>
                  </w:r>
                </w:p>
              </w:tc>
              <w:tc>
                <w:tcPr>
                  <w:tcW w:w="507" w:type="pct"/>
                  <w:shd w:val="clear" w:color="auto" w:fill="auto"/>
                  <w:vAlign w:val="center"/>
                </w:tcPr>
                <w:p w14:paraId="258DE67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总计</w:t>
                  </w:r>
                </w:p>
              </w:tc>
              <w:tc>
                <w:tcPr>
                  <w:tcW w:w="715" w:type="pct"/>
                  <w:shd w:val="clear" w:color="auto" w:fill="auto"/>
                  <w:vAlign w:val="center"/>
                </w:tcPr>
                <w:p w14:paraId="4D5099E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104</w:t>
                  </w:r>
                  <w:r>
                    <w:rPr>
                      <w:rFonts w:hint="eastAsia" w:ascii="Times New Roman" w:hAnsi="Times New Roman" w:eastAsia="宋体" w:cs="Times New Roman"/>
                      <w:b w:val="0"/>
                      <w:bCs w:val="0"/>
                      <w:i w:val="0"/>
                      <w:iCs w:val="0"/>
                      <w:color w:val="auto"/>
                      <w:kern w:val="0"/>
                      <w:sz w:val="21"/>
                      <w:szCs w:val="21"/>
                      <w:u w:val="none"/>
                      <w:lang w:val="en-US" w:eastAsia="zh-CN" w:bidi="ar"/>
                    </w:rPr>
                    <w:t>.</w:t>
                  </w:r>
                  <w:r>
                    <w:rPr>
                      <w:rFonts w:hint="default" w:ascii="Times New Roman" w:hAnsi="Times New Roman" w:eastAsia="宋体" w:cs="Times New Roman"/>
                      <w:b w:val="0"/>
                      <w:bCs w:val="0"/>
                      <w:i w:val="0"/>
                      <w:iCs w:val="0"/>
                      <w:color w:val="auto"/>
                      <w:kern w:val="0"/>
                      <w:sz w:val="21"/>
                      <w:szCs w:val="21"/>
                      <w:u w:val="none"/>
                      <w:lang w:val="en-US" w:eastAsia="zh-CN" w:bidi="ar"/>
                    </w:rPr>
                    <w:t>3562</w:t>
                  </w:r>
                </w:p>
              </w:tc>
              <w:tc>
                <w:tcPr>
                  <w:tcW w:w="788" w:type="pct"/>
                  <w:shd w:val="clear" w:color="auto" w:fill="auto"/>
                  <w:vAlign w:val="center"/>
                </w:tcPr>
                <w:p w14:paraId="5D7E6C5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103.9997</w:t>
                  </w:r>
                </w:p>
              </w:tc>
              <w:tc>
                <w:tcPr>
                  <w:tcW w:w="796" w:type="pct"/>
                  <w:shd w:val="clear" w:color="auto" w:fill="auto"/>
                  <w:vAlign w:val="center"/>
                </w:tcPr>
                <w:p w14:paraId="5F54DEB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97.3732</w:t>
                  </w:r>
                </w:p>
              </w:tc>
              <w:tc>
                <w:tcPr>
                  <w:tcW w:w="771" w:type="pct"/>
                  <w:shd w:val="clear" w:color="auto" w:fill="auto"/>
                  <w:vAlign w:val="center"/>
                </w:tcPr>
                <w:p w14:paraId="2669127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6.0745</w:t>
                  </w:r>
                </w:p>
              </w:tc>
              <w:tc>
                <w:tcPr>
                  <w:tcW w:w="764" w:type="pct"/>
                  <w:shd w:val="clear" w:color="auto" w:fill="auto"/>
                  <w:vAlign w:val="center"/>
                </w:tcPr>
                <w:p w14:paraId="34EC812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0.5502</w:t>
                  </w:r>
                </w:p>
              </w:tc>
            </w:tr>
            <w:tr w14:paraId="0B359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656" w:type="pct"/>
                  <w:vMerge w:val="continue"/>
                  <w:shd w:val="clear" w:color="auto" w:fill="auto"/>
                  <w:vAlign w:val="center"/>
                </w:tcPr>
                <w:p w14:paraId="0B990FA1">
                  <w:pPr>
                    <w:jc w:val="center"/>
                    <w:rPr>
                      <w:rFonts w:hint="default" w:ascii="Times New Roman" w:hAnsi="Times New Roman" w:eastAsia="宋体" w:cs="Times New Roman"/>
                      <w:b w:val="0"/>
                      <w:bCs w:val="0"/>
                      <w:i w:val="0"/>
                      <w:iCs w:val="0"/>
                      <w:color w:val="auto"/>
                      <w:sz w:val="21"/>
                      <w:szCs w:val="21"/>
                      <w:u w:val="none"/>
                    </w:rPr>
                  </w:pPr>
                </w:p>
              </w:tc>
              <w:tc>
                <w:tcPr>
                  <w:tcW w:w="507" w:type="pct"/>
                  <w:shd w:val="clear" w:color="auto" w:fill="auto"/>
                  <w:vAlign w:val="center"/>
                </w:tcPr>
                <w:p w14:paraId="340C150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集体</w:t>
                  </w:r>
                </w:p>
              </w:tc>
              <w:tc>
                <w:tcPr>
                  <w:tcW w:w="715" w:type="pct"/>
                  <w:shd w:val="clear" w:color="auto" w:fill="auto"/>
                  <w:vAlign w:val="center"/>
                </w:tcPr>
                <w:p w14:paraId="06149D7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104</w:t>
                  </w:r>
                  <w:r>
                    <w:rPr>
                      <w:rFonts w:hint="eastAsia" w:ascii="Times New Roman" w:hAnsi="Times New Roman" w:eastAsia="宋体" w:cs="Times New Roman"/>
                      <w:b w:val="0"/>
                      <w:bCs w:val="0"/>
                      <w:i w:val="0"/>
                      <w:iCs w:val="0"/>
                      <w:color w:val="auto"/>
                      <w:kern w:val="0"/>
                      <w:sz w:val="21"/>
                      <w:szCs w:val="21"/>
                      <w:u w:val="none"/>
                      <w:lang w:val="en-US" w:eastAsia="zh-CN" w:bidi="ar"/>
                    </w:rPr>
                    <w:t>.</w:t>
                  </w:r>
                  <w:r>
                    <w:rPr>
                      <w:rFonts w:hint="default" w:ascii="Times New Roman" w:hAnsi="Times New Roman" w:eastAsia="宋体" w:cs="Times New Roman"/>
                      <w:b w:val="0"/>
                      <w:bCs w:val="0"/>
                      <w:i w:val="0"/>
                      <w:iCs w:val="0"/>
                      <w:color w:val="auto"/>
                      <w:kern w:val="0"/>
                      <w:sz w:val="21"/>
                      <w:szCs w:val="21"/>
                      <w:u w:val="none"/>
                      <w:lang w:val="en-US" w:eastAsia="zh-CN" w:bidi="ar"/>
                    </w:rPr>
                    <w:t>3562</w:t>
                  </w:r>
                </w:p>
              </w:tc>
              <w:tc>
                <w:tcPr>
                  <w:tcW w:w="788" w:type="pct"/>
                  <w:shd w:val="clear" w:color="auto" w:fill="auto"/>
                  <w:vAlign w:val="center"/>
                </w:tcPr>
                <w:p w14:paraId="381532F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103.9997</w:t>
                  </w:r>
                </w:p>
              </w:tc>
              <w:tc>
                <w:tcPr>
                  <w:tcW w:w="796" w:type="pct"/>
                  <w:shd w:val="clear" w:color="auto" w:fill="auto"/>
                  <w:vAlign w:val="center"/>
                </w:tcPr>
                <w:p w14:paraId="5E514F4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97.3732</w:t>
                  </w:r>
                </w:p>
              </w:tc>
              <w:tc>
                <w:tcPr>
                  <w:tcW w:w="771" w:type="pct"/>
                  <w:shd w:val="clear" w:color="auto" w:fill="auto"/>
                  <w:vAlign w:val="center"/>
                </w:tcPr>
                <w:p w14:paraId="77A95F9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6.0745</w:t>
                  </w:r>
                </w:p>
              </w:tc>
              <w:tc>
                <w:tcPr>
                  <w:tcW w:w="764" w:type="pct"/>
                  <w:shd w:val="clear" w:color="auto" w:fill="auto"/>
                  <w:vAlign w:val="center"/>
                </w:tcPr>
                <w:p w14:paraId="4F10DC8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0.5502</w:t>
                  </w:r>
                </w:p>
              </w:tc>
            </w:tr>
          </w:tbl>
          <w:p w14:paraId="2D503A49">
            <w:pPr>
              <w:pStyle w:val="14"/>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②项目区植被资源现状调查</w:t>
            </w:r>
          </w:p>
          <w:p w14:paraId="38C072C8">
            <w:pPr>
              <w:pStyle w:val="14"/>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本项目评价范围内植被种类主要以农作物为主。本工程评价范围内植被类型主要为栽培植被，主要种植果树类黄金梨、猕猴桃等，所占比例为84.21%；其次为园地、草地，所占比例为11.56%；其余为非植被区，占4.24%。</w:t>
            </w:r>
          </w:p>
          <w:p w14:paraId="58536E00">
            <w:pPr>
              <w:pStyle w:val="14"/>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现场</w:t>
            </w:r>
            <w:r>
              <w:rPr>
                <w:rFonts w:hint="eastAsia" w:cs="Times New Roman"/>
                <w:color w:val="auto"/>
                <w:kern w:val="2"/>
                <w:sz w:val="24"/>
                <w:szCs w:val="24"/>
                <w:highlight w:val="none"/>
                <w:lang w:val="zh-CN" w:eastAsia="zh-CN" w:bidi="ar-SA"/>
              </w:rPr>
              <w:t>踏勘</w:t>
            </w:r>
            <w:r>
              <w:rPr>
                <w:rFonts w:hint="eastAsia" w:ascii="Times New Roman" w:hAnsi="Times New Roman" w:eastAsia="宋体" w:cs="Times New Roman"/>
                <w:color w:val="auto"/>
                <w:kern w:val="2"/>
                <w:sz w:val="24"/>
                <w:szCs w:val="24"/>
                <w:highlight w:val="none"/>
                <w:lang w:val="zh-CN" w:eastAsia="zh-CN" w:bidi="ar-SA"/>
              </w:rPr>
              <w:t>，</w:t>
            </w:r>
            <w:r>
              <w:rPr>
                <w:rFonts w:hint="eastAsia" w:cs="Times New Roman"/>
                <w:color w:val="auto"/>
                <w:kern w:val="2"/>
                <w:sz w:val="24"/>
                <w:szCs w:val="24"/>
                <w:highlight w:val="none"/>
                <w:lang w:val="zh-CN" w:eastAsia="zh-CN" w:bidi="ar-SA"/>
              </w:rPr>
              <w:t>区域附近</w:t>
            </w:r>
            <w:r>
              <w:rPr>
                <w:rFonts w:hint="eastAsia"/>
                <w:color w:val="auto"/>
                <w:sz w:val="24"/>
                <w:szCs w:val="24"/>
                <w:lang w:val="en-US" w:eastAsia="zh-CN"/>
              </w:rPr>
              <w:t>野生动物主要为鸟类、小型爬行类和小型哺乳类动物等；区域东北侧为</w:t>
            </w:r>
            <w:r>
              <w:rPr>
                <w:rFonts w:hint="default" w:ascii="Times New Roman" w:hAnsi="Times New Roman" w:eastAsia="宋体" w:cs="Times New Roman"/>
                <w:color w:val="auto"/>
                <w:sz w:val="24"/>
                <w:szCs w:val="32"/>
                <w:highlight w:val="none"/>
                <w:lang w:val="en-US" w:eastAsia="zh-CN"/>
              </w:rPr>
              <w:t>陕西汉中朱鹮国家级自然保护区</w:t>
            </w:r>
            <w:r>
              <w:rPr>
                <w:rFonts w:hint="eastAsia" w:ascii="Times New Roman" w:hAnsi="Times New Roman" w:eastAsia="宋体" w:cs="Times New Roman"/>
                <w:color w:val="auto"/>
                <w:sz w:val="24"/>
                <w:szCs w:val="32"/>
                <w:highlight w:val="none"/>
                <w:lang w:val="en-US" w:eastAsia="zh-CN"/>
              </w:rPr>
              <w:t>实验区</w:t>
            </w:r>
            <w:r>
              <w:rPr>
                <w:rFonts w:hint="eastAsia" w:cs="Times New Roman"/>
                <w:color w:val="auto"/>
                <w:sz w:val="24"/>
                <w:szCs w:val="32"/>
                <w:highlight w:val="none"/>
                <w:lang w:val="en-US" w:eastAsia="zh-CN"/>
              </w:rPr>
              <w:t>，朱鹮的游荡区，可能会有朱鹮在区域附近游荡。</w:t>
            </w:r>
            <w:r>
              <w:rPr>
                <w:rFonts w:hint="eastAsia"/>
                <w:color w:val="auto"/>
                <w:sz w:val="24"/>
                <w:szCs w:val="24"/>
                <w:lang w:val="en-US" w:eastAsia="zh-CN"/>
              </w:rPr>
              <w:t>场地现状</w:t>
            </w:r>
            <w:r>
              <w:rPr>
                <w:rFonts w:hint="eastAsia" w:ascii="Times New Roman" w:hAnsi="Times New Roman" w:eastAsia="宋体" w:cs="Times New Roman"/>
                <w:color w:val="auto"/>
                <w:kern w:val="2"/>
                <w:sz w:val="24"/>
                <w:szCs w:val="24"/>
                <w:highlight w:val="none"/>
                <w:lang w:val="zh-CN" w:eastAsia="zh-CN" w:bidi="ar-SA"/>
              </w:rPr>
              <w:t>为</w:t>
            </w:r>
            <w:r>
              <w:rPr>
                <w:rFonts w:hint="eastAsia" w:cs="Times New Roman"/>
                <w:color w:val="auto"/>
                <w:kern w:val="2"/>
                <w:sz w:val="24"/>
                <w:szCs w:val="24"/>
                <w:highlight w:val="none"/>
                <w:lang w:val="en-US" w:eastAsia="zh-CN" w:bidi="ar-SA"/>
              </w:rPr>
              <w:t>园地</w:t>
            </w:r>
            <w:r>
              <w:rPr>
                <w:rFonts w:hint="eastAsia" w:ascii="Times New Roman" w:hAnsi="Times New Roman" w:eastAsia="宋体" w:cs="Times New Roman"/>
                <w:color w:val="auto"/>
                <w:kern w:val="2"/>
                <w:sz w:val="24"/>
                <w:szCs w:val="24"/>
                <w:highlight w:val="none"/>
                <w:lang w:val="zh-CN" w:eastAsia="zh-CN" w:bidi="ar-SA"/>
              </w:rPr>
              <w:t>，</w:t>
            </w:r>
            <w:r>
              <w:rPr>
                <w:rFonts w:hint="eastAsia" w:cs="Times New Roman"/>
                <w:color w:val="auto"/>
                <w:kern w:val="2"/>
                <w:sz w:val="24"/>
                <w:szCs w:val="24"/>
                <w:highlight w:val="none"/>
                <w:lang w:val="en-US" w:eastAsia="zh-CN" w:bidi="ar-SA"/>
              </w:rPr>
              <w:t>植被</w:t>
            </w:r>
            <w:r>
              <w:rPr>
                <w:rFonts w:hint="eastAsia" w:ascii="Times New Roman" w:hAnsi="Times New Roman" w:eastAsia="宋体" w:cs="Times New Roman"/>
                <w:color w:val="auto"/>
                <w:kern w:val="2"/>
                <w:sz w:val="24"/>
                <w:szCs w:val="24"/>
                <w:highlight w:val="none"/>
                <w:lang w:val="zh-CN" w:eastAsia="zh-CN" w:bidi="ar-SA"/>
              </w:rPr>
              <w:t>类型主要为当地常见的</w:t>
            </w:r>
            <w:r>
              <w:rPr>
                <w:rFonts w:hint="eastAsia" w:cs="Times New Roman"/>
                <w:color w:val="auto"/>
                <w:kern w:val="2"/>
                <w:sz w:val="24"/>
                <w:szCs w:val="24"/>
                <w:highlight w:val="none"/>
                <w:lang w:val="en-US" w:eastAsia="zh-CN" w:bidi="ar-SA"/>
              </w:rPr>
              <w:t>经济作物</w:t>
            </w:r>
            <w:r>
              <w:rPr>
                <w:rFonts w:hint="eastAsia" w:ascii="Times New Roman" w:hAnsi="Times New Roman" w:eastAsia="宋体" w:cs="Times New Roman"/>
                <w:color w:val="auto"/>
                <w:kern w:val="2"/>
                <w:sz w:val="24"/>
                <w:szCs w:val="24"/>
                <w:highlight w:val="none"/>
                <w:lang w:val="zh-CN" w:eastAsia="zh-CN" w:bidi="ar-SA"/>
              </w:rPr>
              <w:t>。</w:t>
            </w:r>
          </w:p>
          <w:tbl>
            <w:tblPr>
              <w:tblStyle w:val="25"/>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6"/>
              <w:gridCol w:w="4266"/>
            </w:tblGrid>
            <w:tr w14:paraId="347CB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tcPr>
                <w:p w14:paraId="67AB9079">
                  <w:pPr>
                    <w:pStyle w:val="14"/>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jc w:val="left"/>
                    <w:textAlignment w:val="auto"/>
                    <w:rPr>
                      <w:rFonts w:hint="eastAsia" w:ascii="Times New Roman" w:hAnsi="Times New Roman" w:eastAsia="宋体" w:cs="Times New Roman"/>
                      <w:color w:val="auto"/>
                      <w:kern w:val="2"/>
                      <w:sz w:val="24"/>
                      <w:szCs w:val="24"/>
                      <w:highlight w:val="none"/>
                      <w:vertAlign w:val="baseline"/>
                      <w:lang w:val="zh-CN" w:eastAsia="zh-CN" w:bidi="ar-SA"/>
                    </w:rPr>
                  </w:pPr>
                  <w:r>
                    <w:rPr>
                      <w:rFonts w:hint="eastAsia" w:ascii="Times New Roman" w:hAnsi="Times New Roman" w:eastAsia="宋体" w:cs="Times New Roman"/>
                      <w:color w:val="auto"/>
                      <w:kern w:val="2"/>
                      <w:sz w:val="24"/>
                      <w:szCs w:val="24"/>
                      <w:highlight w:val="none"/>
                      <w:vertAlign w:val="baseline"/>
                      <w:lang w:val="zh-CN" w:eastAsia="zh-CN" w:bidi="ar-SA"/>
                    </w:rPr>
                    <w:drawing>
                      <wp:inline distT="0" distB="0" distL="114300" distR="114300">
                        <wp:extent cx="2561590" cy="1920240"/>
                        <wp:effectExtent l="0" t="0" r="10160" b="3810"/>
                        <wp:docPr id="52" name="图片 52" descr="44e8526da04f96bc5acda29519cf3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44e8526da04f96bc5acda29519cf30d"/>
                                <pic:cNvPicPr>
                                  <a:picLocks noChangeAspect="1"/>
                                </pic:cNvPicPr>
                              </pic:nvPicPr>
                              <pic:blipFill>
                                <a:blip r:embed="rId11"/>
                                <a:stretch>
                                  <a:fillRect/>
                                </a:stretch>
                              </pic:blipFill>
                              <pic:spPr>
                                <a:xfrm>
                                  <a:off x="0" y="0"/>
                                  <a:ext cx="2561590" cy="1920240"/>
                                </a:xfrm>
                                <a:prstGeom prst="rect">
                                  <a:avLst/>
                                </a:prstGeom>
                              </pic:spPr>
                            </pic:pic>
                          </a:graphicData>
                        </a:graphic>
                      </wp:inline>
                    </w:drawing>
                  </w:r>
                </w:p>
              </w:tc>
              <w:tc>
                <w:tcPr>
                  <w:tcW w:w="4260" w:type="dxa"/>
                </w:tcPr>
                <w:p w14:paraId="1D2DA085">
                  <w:pPr>
                    <w:pStyle w:val="14"/>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jc w:val="left"/>
                    <w:textAlignment w:val="auto"/>
                    <w:rPr>
                      <w:rFonts w:hint="eastAsia" w:ascii="Times New Roman" w:hAnsi="Times New Roman" w:eastAsia="宋体" w:cs="Times New Roman"/>
                      <w:color w:val="auto"/>
                      <w:kern w:val="2"/>
                      <w:sz w:val="24"/>
                      <w:szCs w:val="24"/>
                      <w:highlight w:val="none"/>
                      <w:vertAlign w:val="baseline"/>
                      <w:lang w:val="zh-CN" w:eastAsia="zh-CN" w:bidi="ar-SA"/>
                    </w:rPr>
                  </w:pPr>
                  <w:r>
                    <w:rPr>
                      <w:rFonts w:hint="eastAsia" w:ascii="Times New Roman" w:hAnsi="Times New Roman" w:eastAsia="宋体" w:cs="Times New Roman"/>
                      <w:color w:val="auto"/>
                      <w:kern w:val="2"/>
                      <w:sz w:val="24"/>
                      <w:szCs w:val="24"/>
                      <w:highlight w:val="none"/>
                      <w:vertAlign w:val="baseline"/>
                      <w:lang w:val="zh-CN" w:eastAsia="zh-CN" w:bidi="ar-SA"/>
                    </w:rPr>
                    <w:drawing>
                      <wp:inline distT="0" distB="0" distL="114300" distR="114300">
                        <wp:extent cx="2561590" cy="1920240"/>
                        <wp:effectExtent l="0" t="0" r="10160" b="3810"/>
                        <wp:docPr id="53" name="图片 53" descr="2f12d8c41c71ec0a1f5b79b32ab2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f12d8c41c71ec0a1f5b79b32ab2bb0"/>
                                <pic:cNvPicPr>
                                  <a:picLocks noChangeAspect="1"/>
                                </pic:cNvPicPr>
                              </pic:nvPicPr>
                              <pic:blipFill>
                                <a:blip r:embed="rId12"/>
                                <a:stretch>
                                  <a:fillRect/>
                                </a:stretch>
                              </pic:blipFill>
                              <pic:spPr>
                                <a:xfrm>
                                  <a:off x="0" y="0"/>
                                  <a:ext cx="2561590" cy="1920240"/>
                                </a:xfrm>
                                <a:prstGeom prst="rect">
                                  <a:avLst/>
                                </a:prstGeom>
                              </pic:spPr>
                            </pic:pic>
                          </a:graphicData>
                        </a:graphic>
                      </wp:inline>
                    </w:drawing>
                  </w:r>
                </w:p>
              </w:tc>
            </w:tr>
            <w:tr w14:paraId="4DC43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tcPr>
                <w:p w14:paraId="01D630AE">
                  <w:pPr>
                    <w:pStyle w:val="14"/>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jc w:val="left"/>
                    <w:textAlignment w:val="auto"/>
                    <w:rPr>
                      <w:rFonts w:hint="eastAsia" w:ascii="Times New Roman" w:hAnsi="Times New Roman" w:eastAsia="宋体" w:cs="Times New Roman"/>
                      <w:color w:val="auto"/>
                      <w:kern w:val="2"/>
                      <w:sz w:val="24"/>
                      <w:szCs w:val="24"/>
                      <w:highlight w:val="none"/>
                      <w:vertAlign w:val="baseline"/>
                      <w:lang w:val="zh-CN" w:eastAsia="zh-CN" w:bidi="ar-SA"/>
                    </w:rPr>
                  </w:pPr>
                  <w:r>
                    <w:rPr>
                      <w:rFonts w:hint="eastAsia" w:ascii="Times New Roman" w:hAnsi="Times New Roman" w:eastAsia="宋体" w:cs="Times New Roman"/>
                      <w:color w:val="auto"/>
                      <w:kern w:val="2"/>
                      <w:sz w:val="24"/>
                      <w:szCs w:val="24"/>
                      <w:highlight w:val="none"/>
                      <w:vertAlign w:val="baseline"/>
                      <w:lang w:val="zh-CN" w:eastAsia="zh-CN" w:bidi="ar-SA"/>
                    </w:rPr>
                    <w:drawing>
                      <wp:inline distT="0" distB="0" distL="114300" distR="114300">
                        <wp:extent cx="2567940" cy="1925955"/>
                        <wp:effectExtent l="0" t="0" r="3810" b="17145"/>
                        <wp:docPr id="51" name="图片 51" descr="30ac6463eade8a13ccf291ef4d9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30ac6463eade8a13ccf291ef4d97617"/>
                                <pic:cNvPicPr>
                                  <a:picLocks noChangeAspect="1"/>
                                </pic:cNvPicPr>
                              </pic:nvPicPr>
                              <pic:blipFill>
                                <a:blip r:embed="rId13"/>
                                <a:stretch>
                                  <a:fillRect/>
                                </a:stretch>
                              </pic:blipFill>
                              <pic:spPr>
                                <a:xfrm>
                                  <a:off x="0" y="0"/>
                                  <a:ext cx="2567940" cy="1925955"/>
                                </a:xfrm>
                                <a:prstGeom prst="rect">
                                  <a:avLst/>
                                </a:prstGeom>
                              </pic:spPr>
                            </pic:pic>
                          </a:graphicData>
                        </a:graphic>
                      </wp:inline>
                    </w:drawing>
                  </w:r>
                </w:p>
              </w:tc>
              <w:tc>
                <w:tcPr>
                  <w:tcW w:w="4260" w:type="dxa"/>
                </w:tcPr>
                <w:p w14:paraId="01946236">
                  <w:pPr>
                    <w:pStyle w:val="14"/>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jc w:val="left"/>
                    <w:textAlignment w:val="auto"/>
                    <w:rPr>
                      <w:rFonts w:hint="eastAsia" w:ascii="Times New Roman" w:hAnsi="Times New Roman" w:eastAsia="宋体" w:cs="Times New Roman"/>
                      <w:color w:val="auto"/>
                      <w:kern w:val="2"/>
                      <w:sz w:val="24"/>
                      <w:szCs w:val="24"/>
                      <w:highlight w:val="none"/>
                      <w:vertAlign w:val="baseline"/>
                      <w:lang w:val="zh-CN" w:eastAsia="zh-CN" w:bidi="ar-SA"/>
                    </w:rPr>
                  </w:pPr>
                  <w:r>
                    <w:rPr>
                      <w:rFonts w:hint="eastAsia" w:ascii="Times New Roman" w:hAnsi="Times New Roman" w:eastAsia="宋体" w:cs="Times New Roman"/>
                      <w:color w:val="auto"/>
                      <w:kern w:val="2"/>
                      <w:sz w:val="24"/>
                      <w:szCs w:val="24"/>
                      <w:highlight w:val="none"/>
                      <w:vertAlign w:val="baseline"/>
                      <w:lang w:val="zh-CN" w:eastAsia="zh-CN" w:bidi="ar-SA"/>
                    </w:rPr>
                    <w:drawing>
                      <wp:inline distT="0" distB="0" distL="114300" distR="114300">
                        <wp:extent cx="2560320" cy="1920240"/>
                        <wp:effectExtent l="0" t="0" r="11430" b="3810"/>
                        <wp:docPr id="36" name="图片 36" descr="da4e9293c2332f6879a5f1098d4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a4e9293c2332f6879a5f1098d49758"/>
                                <pic:cNvPicPr>
                                  <a:picLocks noChangeAspect="1"/>
                                </pic:cNvPicPr>
                              </pic:nvPicPr>
                              <pic:blipFill>
                                <a:blip r:embed="rId14"/>
                                <a:stretch>
                                  <a:fillRect/>
                                </a:stretch>
                              </pic:blipFill>
                              <pic:spPr>
                                <a:xfrm>
                                  <a:off x="0" y="0"/>
                                  <a:ext cx="2560320" cy="1920240"/>
                                </a:xfrm>
                                <a:prstGeom prst="rect">
                                  <a:avLst/>
                                </a:prstGeom>
                              </pic:spPr>
                            </pic:pic>
                          </a:graphicData>
                        </a:graphic>
                      </wp:inline>
                    </w:drawing>
                  </w:r>
                </w:p>
              </w:tc>
            </w:tr>
          </w:tbl>
          <w:p w14:paraId="77247F12">
            <w:pPr>
              <w:adjustRightInd w:val="0"/>
              <w:snapToGrid w:val="0"/>
              <w:spacing w:line="360" w:lineRule="auto"/>
              <w:ind w:firstLine="480" w:firstLineChars="200"/>
              <w:rPr>
                <w:color w:val="auto"/>
                <w:sz w:val="24"/>
              </w:rPr>
            </w:pPr>
            <w:r>
              <w:rPr>
                <w:rFonts w:hint="eastAsia"/>
                <w:color w:val="auto"/>
                <w:sz w:val="24"/>
                <w:lang w:val="en-US" w:eastAsia="zh-CN"/>
              </w:rPr>
              <w:t>③</w:t>
            </w:r>
            <w:r>
              <w:rPr>
                <w:color w:val="auto"/>
                <w:sz w:val="24"/>
              </w:rPr>
              <w:t>地形、地貌</w:t>
            </w:r>
          </w:p>
          <w:p w14:paraId="78798251">
            <w:pPr>
              <w:adjustRightInd w:val="0"/>
              <w:snapToGrid w:val="0"/>
              <w:spacing w:line="360" w:lineRule="auto"/>
              <w:ind w:firstLine="480" w:firstLineChars="200"/>
              <w:rPr>
                <w:color w:val="auto"/>
                <w:sz w:val="24"/>
              </w:rPr>
            </w:pPr>
            <w:r>
              <w:rPr>
                <w:color w:val="auto"/>
                <w:sz w:val="24"/>
              </w:rPr>
              <w:t>县境北倚秦岭，南俯巴山，东部为秦岭山脉向东南延伸的余脉和巴山向东北斜落的山丘交汇处，中部为汉江平坝地带东段。西部南北两侧高，中间平坦，隔湑水沿汉江北侧向东展开。北处秦岭山地，昏人坪梁海拔3071米，为全县最高点。南部为巴山丘陵地带，最高处黄家营后沟梁，海拔1021米；最低处黄金峡乡白沙渡，海拔389.</w:t>
            </w:r>
            <w:r>
              <w:rPr>
                <w:rFonts w:hint="eastAsia"/>
                <w:color w:val="auto"/>
                <w:sz w:val="24"/>
                <w:lang w:val="en-US" w:eastAsia="zh-CN"/>
              </w:rPr>
              <w:t>.7</w:t>
            </w:r>
            <w:r>
              <w:rPr>
                <w:color w:val="auto"/>
                <w:sz w:val="24"/>
              </w:rPr>
              <w:t>米，为全县最低点。秦岭南坡各条山梁，受湑、溢、傥、酉、金等河纵向切割，自北而南，向汉江谷坝延伸。梁顶山势浑圆，有山间小平坝，山腰</w:t>
            </w:r>
            <w:r>
              <w:rPr>
                <w:rFonts w:hint="eastAsia"/>
                <w:color w:val="auto"/>
                <w:sz w:val="24"/>
                <w:lang w:eastAsia="zh-CN"/>
              </w:rPr>
              <w:t>层峦叠嶂</w:t>
            </w:r>
            <w:r>
              <w:rPr>
                <w:color w:val="auto"/>
                <w:sz w:val="24"/>
              </w:rPr>
              <w:t>，呈棱状山脊；山脚丘陵无规则交错，呈梁状缓坡。汉江以南，巴山丘陵受河流树枝状切割，涧岭纵横，沟坝相连，坡势平缓。全境地势呈东、北高陡，南部低缓，中部低平，宜林宜农。</w:t>
            </w:r>
          </w:p>
          <w:p w14:paraId="71559FD4">
            <w:pPr>
              <w:adjustRightInd w:val="0"/>
              <w:snapToGrid w:val="0"/>
              <w:spacing w:line="360" w:lineRule="auto"/>
              <w:ind w:firstLine="480" w:firstLineChars="200"/>
              <w:rPr>
                <w:color w:val="auto"/>
                <w:sz w:val="24"/>
              </w:rPr>
            </w:pPr>
            <w:r>
              <w:rPr>
                <w:color w:val="auto"/>
                <w:sz w:val="24"/>
              </w:rPr>
              <w:t>本项目评价范围位于</w:t>
            </w:r>
            <w:r>
              <w:rPr>
                <w:rFonts w:hint="eastAsia"/>
                <w:color w:val="auto"/>
                <w:sz w:val="24"/>
                <w:lang w:eastAsia="zh-CN"/>
              </w:rPr>
              <w:t>汉江</w:t>
            </w:r>
            <w:r>
              <w:rPr>
                <w:color w:val="auto"/>
                <w:sz w:val="24"/>
              </w:rPr>
              <w:t>两侧三级阶地的低丘地区，地貌特征为：北部宽，连续性好；南部宽窄不一，连续性差。地形呈现小丘相连，无规则交错，多为半封闭性或封闭性缓坡长梁。</w:t>
            </w:r>
          </w:p>
          <w:p w14:paraId="6BE012A4">
            <w:pPr>
              <w:adjustRightInd w:val="0"/>
              <w:snapToGrid w:val="0"/>
              <w:spacing w:line="360" w:lineRule="auto"/>
              <w:ind w:firstLine="480" w:firstLineChars="200"/>
              <w:rPr>
                <w:color w:val="auto"/>
                <w:sz w:val="24"/>
              </w:rPr>
            </w:pPr>
            <w:r>
              <w:rPr>
                <w:rFonts w:hint="eastAsia"/>
                <w:color w:val="auto"/>
                <w:sz w:val="24"/>
                <w:lang w:val="en-US" w:eastAsia="zh-CN"/>
              </w:rPr>
              <w:t>④</w:t>
            </w:r>
            <w:r>
              <w:rPr>
                <w:color w:val="auto"/>
                <w:sz w:val="24"/>
              </w:rPr>
              <w:t>动物</w:t>
            </w:r>
          </w:p>
          <w:p w14:paraId="72069289">
            <w:pPr>
              <w:adjustRightInd w:val="0"/>
              <w:snapToGrid w:val="0"/>
              <w:spacing w:line="360" w:lineRule="auto"/>
              <w:ind w:firstLine="480" w:firstLineChars="200"/>
              <w:rPr>
                <w:color w:val="auto"/>
                <w:sz w:val="24"/>
              </w:rPr>
            </w:pPr>
            <w:r>
              <w:rPr>
                <w:color w:val="auto"/>
                <w:sz w:val="24"/>
              </w:rPr>
              <w:t>经结合收集的资料及现场调查，本项目评价区内全部为当地常见动物，如鸟类、蛇、蛙等，无国家级及省级重点保护野生动物。</w:t>
            </w:r>
          </w:p>
          <w:p w14:paraId="631B89F9">
            <w:pPr>
              <w:pStyle w:val="16"/>
              <w:keepNext w:val="0"/>
              <w:keepLines w:val="0"/>
              <w:pageBreakBefore w:val="0"/>
              <w:widowControl w:val="0"/>
              <w:kinsoku/>
              <w:wordWrap/>
              <w:overflowPunct/>
              <w:topLinePunct w:val="0"/>
              <w:autoSpaceDE/>
              <w:autoSpaceDN/>
              <w:bidi w:val="0"/>
              <w:adjustRightInd w:val="0"/>
              <w:snapToGrid w:val="0"/>
              <w:spacing w:line="360" w:lineRule="auto"/>
              <w:ind w:right="0"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（3）生态敏感区调查</w:t>
            </w:r>
          </w:p>
          <w:p w14:paraId="58C3134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磨子桥镇地下水水源地</w:t>
            </w:r>
          </w:p>
          <w:p w14:paraId="18789A5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rPr>
            </w:pPr>
            <w:r>
              <w:rPr>
                <w:rFonts w:hint="eastAsia" w:ascii="Times New Roman" w:hAnsi="Times New Roman" w:cs="Times New Roman"/>
                <w:color w:val="auto"/>
                <w:sz w:val="24"/>
                <w:lang w:val="en-US" w:eastAsia="zh-CN"/>
              </w:rPr>
              <w:t>根据《陕西省生态环境厅关于同意汉中市乡镇（农村）集中式饮用水水源保护区有关意见的复函》</w:t>
            </w:r>
            <w:r>
              <w:rPr>
                <w:rFonts w:hint="eastAsia" w:ascii="Times New Roman" w:hAnsi="Times New Roman" w:cs="Times New Roman"/>
                <w:b w:val="0"/>
                <w:bCs w:val="0"/>
                <w:color w:val="auto"/>
                <w:sz w:val="24"/>
                <w:lang w:val="en-US" w:eastAsia="zh-CN"/>
              </w:rPr>
              <w:t>（陕环函〔</w:t>
            </w:r>
            <w:r>
              <w:rPr>
                <w:rFonts w:hint="default" w:ascii="Times New Roman" w:hAnsi="Times New Roman" w:cs="Times New Roman"/>
                <w:b w:val="0"/>
                <w:bCs w:val="0"/>
                <w:color w:val="auto"/>
                <w:sz w:val="24"/>
                <w:lang w:val="en-US" w:eastAsia="zh-CN"/>
              </w:rPr>
              <w:t>202</w:t>
            </w:r>
            <w:r>
              <w:rPr>
                <w:rFonts w:hint="eastAsia" w:ascii="Times New Roman" w:hAnsi="Times New Roman" w:cs="Times New Roman"/>
                <w:b w:val="0"/>
                <w:bCs w:val="0"/>
                <w:color w:val="auto"/>
                <w:sz w:val="24"/>
                <w:lang w:val="en-US" w:eastAsia="zh-CN"/>
              </w:rPr>
              <w:t>0</w:t>
            </w:r>
            <w:r>
              <w:rPr>
                <w:rFonts w:hint="default" w:ascii="Times New Roman" w:hAnsi="Times New Roman"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120</w:t>
            </w:r>
            <w:r>
              <w:rPr>
                <w:rFonts w:hint="default" w:ascii="Times New Roman" w:hAnsi="Times New Roman" w:cs="Times New Roman"/>
                <w:b w:val="0"/>
                <w:bCs w:val="0"/>
                <w:color w:val="auto"/>
                <w:sz w:val="24"/>
                <w:lang w:val="en-US" w:eastAsia="zh-CN"/>
              </w:rPr>
              <w:t>号</w:t>
            </w:r>
            <w:r>
              <w:rPr>
                <w:rFonts w:hint="eastAsia" w:ascii="Times New Roman" w:hAnsi="Times New Roman" w:cs="Times New Roman"/>
                <w:b w:val="0"/>
                <w:bCs w:val="0"/>
                <w:color w:val="auto"/>
                <w:sz w:val="24"/>
                <w:lang w:val="en-US" w:eastAsia="zh-CN"/>
              </w:rPr>
              <w:t>）</w:t>
            </w:r>
            <w:r>
              <w:rPr>
                <w:rFonts w:hint="eastAsia" w:ascii="Times New Roman" w:hAnsi="Times New Roman" w:cs="Times New Roman"/>
                <w:color w:val="auto"/>
                <w:sz w:val="24"/>
                <w:lang w:val="en-US" w:eastAsia="zh-CN"/>
              </w:rPr>
              <w:t>，</w:t>
            </w:r>
            <w:r>
              <w:rPr>
                <w:rFonts w:hint="eastAsia" w:ascii="Times New Roman" w:hAnsi="Times New Roman" w:cs="Times New Roman"/>
                <w:color w:val="auto"/>
                <w:sz w:val="24"/>
              </w:rPr>
              <w:t>磨子桥镇饮用水水源地具体范围包括：</w:t>
            </w:r>
          </w:p>
          <w:p w14:paraId="3F9E05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eastAsia" w:ascii="Times New Roman" w:hAnsi="Times New Roman" w:cs="Times New Roman"/>
                <w:color w:val="auto"/>
                <w:sz w:val="24"/>
              </w:rPr>
              <w:t>一级保护区：以水源井为中心，</w:t>
            </w:r>
            <w:r>
              <w:rPr>
                <w:rFonts w:hint="default" w:ascii="Times New Roman" w:hAnsi="Times New Roman" w:cs="Times New Roman"/>
                <w:color w:val="auto"/>
                <w:sz w:val="24"/>
              </w:rPr>
              <w:t>46.72m</w:t>
            </w:r>
            <w:r>
              <w:rPr>
                <w:rFonts w:hint="eastAsia" w:ascii="Times New Roman" w:hAnsi="Times New Roman" w:cs="Times New Roman"/>
                <w:color w:val="auto"/>
                <w:sz w:val="24"/>
              </w:rPr>
              <w:t>为半径的圆形区域，以供水站围墙为界。一级保护区面积</w:t>
            </w:r>
            <w:r>
              <w:rPr>
                <w:rFonts w:hint="default" w:ascii="Times New Roman" w:hAnsi="Times New Roman" w:cs="Times New Roman"/>
                <w:color w:val="auto"/>
                <w:sz w:val="24"/>
              </w:rPr>
              <w:t>0.1546hm</w:t>
            </w:r>
            <w:r>
              <w:rPr>
                <w:rFonts w:hint="default" w:ascii="Times New Roman" w:hAnsi="Times New Roman" w:cs="Times New Roman"/>
                <w:color w:val="auto"/>
                <w:sz w:val="24"/>
                <w:vertAlign w:val="superscript"/>
              </w:rPr>
              <w:t>2</w:t>
            </w:r>
            <w:r>
              <w:rPr>
                <w:rFonts w:hint="eastAsia" w:ascii="Times New Roman" w:hAnsi="Times New Roman" w:cs="Times New Roman"/>
                <w:color w:val="auto"/>
                <w:sz w:val="24"/>
              </w:rPr>
              <w:t>。</w:t>
            </w:r>
          </w:p>
          <w:p w14:paraId="238408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lang w:val="en-US" w:eastAsia="zh-CN"/>
              </w:rPr>
            </w:pPr>
            <w:r>
              <w:rPr>
                <w:rFonts w:hint="eastAsia" w:ascii="Times New Roman" w:hAnsi="Times New Roman" w:cs="Times New Roman"/>
                <w:color w:val="auto"/>
                <w:sz w:val="24"/>
              </w:rPr>
              <w:t>准保护区：西侧以一级保护区外延</w:t>
            </w:r>
            <w:r>
              <w:rPr>
                <w:rFonts w:hint="default" w:ascii="Times New Roman" w:hAnsi="Times New Roman" w:cs="Times New Roman"/>
                <w:color w:val="auto"/>
                <w:sz w:val="24"/>
              </w:rPr>
              <w:t>30m</w:t>
            </w:r>
            <w:r>
              <w:rPr>
                <w:rFonts w:hint="eastAsia" w:ascii="Times New Roman" w:hAnsi="Times New Roman" w:cs="Times New Roman"/>
                <w:color w:val="auto"/>
                <w:sz w:val="24"/>
              </w:rPr>
              <w:t>的范围作为准保护区，东侧、北侧、南侧以在建的工业园区边界作为准保护区（包括整个工业园区），准保护区总面积</w:t>
            </w:r>
            <w:r>
              <w:rPr>
                <w:rFonts w:hint="default" w:ascii="Times New Roman" w:hAnsi="Times New Roman" w:cs="Times New Roman"/>
                <w:color w:val="auto"/>
                <w:sz w:val="24"/>
              </w:rPr>
              <w:t>22.0314hm</w:t>
            </w:r>
            <w:r>
              <w:rPr>
                <w:rFonts w:hint="default" w:ascii="Times New Roman" w:hAnsi="Times New Roman" w:cs="Times New Roman"/>
                <w:color w:val="auto"/>
                <w:sz w:val="24"/>
                <w:vertAlign w:val="superscript"/>
              </w:rPr>
              <w:t>2</w:t>
            </w:r>
            <w:r>
              <w:rPr>
                <w:rFonts w:hint="eastAsia" w:ascii="Times New Roman" w:hAnsi="Times New Roman" w:cs="Times New Roman"/>
                <w:color w:val="auto"/>
                <w:sz w:val="24"/>
              </w:rPr>
              <w:t>。</w:t>
            </w:r>
          </w:p>
          <w:p w14:paraId="00C1E80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本项目光伏场距离磨子桥镇地下水水源地一级保护区围墙1.108km，距离磨子桥镇地下水水源地准保护区958m。</w:t>
            </w:r>
          </w:p>
          <w:p w14:paraId="6324448D">
            <w:pPr>
              <w:pStyle w:val="16"/>
              <w:keepNext w:val="0"/>
              <w:keepLines w:val="0"/>
              <w:pageBreakBefore w:val="0"/>
              <w:widowControl w:val="0"/>
              <w:kinsoku/>
              <w:wordWrap/>
              <w:overflowPunct/>
              <w:topLinePunct w:val="0"/>
              <w:autoSpaceDE/>
              <w:autoSpaceDN/>
              <w:bidi w:val="0"/>
              <w:adjustRightInd w:val="0"/>
              <w:snapToGrid w:val="0"/>
              <w:spacing w:line="360" w:lineRule="auto"/>
              <w:ind w:right="0" w:firstLine="482" w:firstLineChars="200"/>
              <w:textAlignment w:val="auto"/>
              <w:rPr>
                <w:rFonts w:ascii="Times New Roman" w:hAnsi="Times New Roman" w:eastAsia="宋体"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（4）</w:t>
            </w:r>
            <w:r>
              <w:rPr>
                <w:rFonts w:ascii="Times New Roman" w:hAnsi="Times New Roman" w:eastAsia="宋体" w:cs="Times New Roman"/>
                <w:b/>
                <w:bCs/>
                <w:color w:val="auto"/>
                <w:sz w:val="24"/>
                <w:szCs w:val="24"/>
                <w:highlight w:val="none"/>
              </w:rPr>
              <w:t>环境空气质量现状</w:t>
            </w:r>
          </w:p>
          <w:p w14:paraId="30FBAA7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cs="Times New Roman"/>
                <w:b/>
                <w:bCs w:val="0"/>
                <w:color w:val="auto"/>
                <w:sz w:val="24"/>
                <w:highlight w:val="none"/>
                <w:lang w:val="en-US" w:eastAsia="zh-CN"/>
              </w:rPr>
              <w:t>1）达标区判定</w:t>
            </w:r>
          </w:p>
          <w:p w14:paraId="582BBF73">
            <w:pPr>
              <w:spacing w:line="360" w:lineRule="auto"/>
              <w:ind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本项目所在区域大气环境质量执行《环境空气质量标准》（GB 3095-2012）中的二级标准。本次按照《环境空气质量评价技术规范（试行）》（HJ 663-2013）中各评价项目的年评价指标进行判定。年评价指标中的平均浓度和相应百分位数24 h平均或8h平均质量浓度满足《环境空气质量标准》（GB 3095-2012）中的二级标准浓度限值要求的即为达标。</w:t>
            </w:r>
          </w:p>
          <w:p w14:paraId="78434152">
            <w:pPr>
              <w:spacing w:line="360" w:lineRule="auto"/>
              <w:ind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根据《环保快报（2024-3）2023年12月及1~12月全省环境空气质量状况》，洋县空气优良天数334天，本次引用环保快报的监测数据来评价项目所在区域内环境质量现状，见表3-</w:t>
            </w:r>
            <w:r>
              <w:rPr>
                <w:rFonts w:hint="eastAsia" w:ascii="Times New Roman" w:hAnsi="Times New Roman" w:eastAsia="宋体" w:cs="Times New Roman"/>
                <w:color w:val="auto"/>
                <w:sz w:val="24"/>
                <w:szCs w:val="32"/>
                <w:highlight w:val="none"/>
                <w:lang w:val="en-US" w:eastAsia="zh-CN"/>
              </w:rPr>
              <w:t>2</w:t>
            </w:r>
            <w:r>
              <w:rPr>
                <w:rFonts w:hint="default" w:ascii="Times New Roman" w:hAnsi="Times New Roman" w:eastAsia="宋体" w:cs="Times New Roman"/>
                <w:color w:val="auto"/>
                <w:sz w:val="24"/>
                <w:szCs w:val="32"/>
                <w:highlight w:val="none"/>
                <w:lang w:eastAsia="zh-CN"/>
              </w:rPr>
              <w:t>。</w:t>
            </w:r>
          </w:p>
          <w:p w14:paraId="6ECBA05B">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default" w:ascii="Times New Roman" w:hAnsi="Times New Roman" w:cs="Times New Roman"/>
                <w:i w:val="0"/>
                <w:iCs w:val="0"/>
                <w:caps w:val="0"/>
                <w:color w:val="auto"/>
                <w:spacing w:val="0"/>
                <w:sz w:val="21"/>
                <w:szCs w:val="21"/>
              </w:rPr>
            </w:pPr>
            <w:r>
              <w:rPr>
                <w:rFonts w:hint="default" w:ascii="Times New Roman" w:hAnsi="Times New Roman" w:cs="Times New Roman"/>
                <w:b/>
                <w:bCs/>
                <w:i w:val="0"/>
                <w:iCs w:val="0"/>
                <w:caps w:val="0"/>
                <w:color w:val="auto"/>
                <w:spacing w:val="0"/>
                <w:sz w:val="21"/>
                <w:szCs w:val="21"/>
                <w:shd w:val="clear" w:fill="FFFFFF"/>
              </w:rPr>
              <w:t>表3-</w:t>
            </w:r>
            <w:r>
              <w:rPr>
                <w:rFonts w:hint="eastAsia" w:ascii="Times New Roman" w:hAnsi="Times New Roman" w:cs="Times New Roman"/>
                <w:b/>
                <w:bCs/>
                <w:i w:val="0"/>
                <w:iCs w:val="0"/>
                <w:caps w:val="0"/>
                <w:color w:val="auto"/>
                <w:spacing w:val="0"/>
                <w:sz w:val="21"/>
                <w:szCs w:val="21"/>
                <w:shd w:val="clear" w:fill="FFFFFF"/>
                <w:lang w:val="en-US" w:eastAsia="zh-CN"/>
              </w:rPr>
              <w:t>2</w:t>
            </w:r>
            <w:r>
              <w:rPr>
                <w:rFonts w:hint="default" w:ascii="Times New Roman" w:hAnsi="Times New Roman" w:cs="Times New Roman"/>
                <w:b/>
                <w:bCs/>
                <w:i w:val="0"/>
                <w:iCs w:val="0"/>
                <w:caps w:val="0"/>
                <w:color w:val="auto"/>
                <w:spacing w:val="0"/>
                <w:sz w:val="21"/>
                <w:szCs w:val="21"/>
                <w:shd w:val="clear" w:fill="FFFFFF"/>
              </w:rPr>
              <w:t xml:space="preserve"> 项目所在区域环境质量现状评价表</w:t>
            </w:r>
          </w:p>
          <w:tbl>
            <w:tblPr>
              <w:tblStyle w:val="24"/>
              <w:tblW w:w="4998" w:type="pct"/>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797"/>
              <w:gridCol w:w="2861"/>
              <w:gridCol w:w="1664"/>
              <w:gridCol w:w="1542"/>
              <w:gridCol w:w="838"/>
              <w:gridCol w:w="901"/>
            </w:tblGrid>
            <w:tr w14:paraId="422975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FFFFFF"/>
                <w:tblCellMar>
                  <w:top w:w="15" w:type="dxa"/>
                  <w:left w:w="15" w:type="dxa"/>
                  <w:bottom w:w="15" w:type="dxa"/>
                  <w:right w:w="15" w:type="dxa"/>
                </w:tblCellMar>
              </w:tblPrEx>
              <w:trPr>
                <w:trHeight w:val="23" w:hRule="atLeast"/>
              </w:trPr>
              <w:tc>
                <w:tcPr>
                  <w:tcW w:w="463" w:type="pct"/>
                  <w:tcBorders>
                    <w:bottom w:val="single" w:color="000000" w:sz="8" w:space="0"/>
                    <w:right w:val="single" w:color="000000" w:sz="8" w:space="0"/>
                  </w:tcBorders>
                  <w:shd w:val="clear" w:color="auto" w:fill="FFFFFF"/>
                  <w:vAlign w:val="center"/>
                </w:tcPr>
                <w:p w14:paraId="65932586">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color w:val="auto"/>
                      <w:sz w:val="24"/>
                      <w:szCs w:val="24"/>
                    </w:rPr>
                  </w:pPr>
                  <w:r>
                    <w:rPr>
                      <w:rFonts w:hint="default" w:ascii="Times New Roman" w:hAnsi="Times New Roman" w:eastAsia="宋体" w:cs="Times New Roman"/>
                      <w:b/>
                      <w:bCs/>
                      <w:caps w:val="0"/>
                      <w:color w:val="auto"/>
                      <w:spacing w:val="0"/>
                      <w:sz w:val="21"/>
                      <w:szCs w:val="21"/>
                    </w:rPr>
                    <w:t>污染物</w:t>
                  </w:r>
                </w:p>
              </w:tc>
              <w:tc>
                <w:tcPr>
                  <w:tcW w:w="1662" w:type="pct"/>
                  <w:tcBorders>
                    <w:bottom w:val="single" w:color="000000" w:sz="8" w:space="0"/>
                    <w:right w:val="single" w:color="000000" w:sz="8" w:space="0"/>
                  </w:tcBorders>
                  <w:shd w:val="clear" w:color="auto" w:fill="FFFFFF"/>
                  <w:vAlign w:val="center"/>
                </w:tcPr>
                <w:p w14:paraId="024342F3">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color w:val="auto"/>
                      <w:sz w:val="24"/>
                      <w:szCs w:val="24"/>
                    </w:rPr>
                  </w:pPr>
                  <w:r>
                    <w:rPr>
                      <w:rFonts w:hint="default" w:ascii="Times New Roman" w:hAnsi="Times New Roman" w:eastAsia="宋体" w:cs="Times New Roman"/>
                      <w:b/>
                      <w:bCs/>
                      <w:caps w:val="0"/>
                      <w:color w:val="auto"/>
                      <w:spacing w:val="0"/>
                      <w:sz w:val="21"/>
                      <w:szCs w:val="21"/>
                    </w:rPr>
                    <w:t>年评价指标</w:t>
                  </w:r>
                </w:p>
              </w:tc>
              <w:tc>
                <w:tcPr>
                  <w:tcW w:w="967" w:type="pct"/>
                  <w:tcBorders>
                    <w:bottom w:val="single" w:color="000000" w:sz="8" w:space="0"/>
                    <w:right w:val="single" w:color="000000" w:sz="8" w:space="0"/>
                  </w:tcBorders>
                  <w:shd w:val="clear" w:color="auto" w:fill="FFFFFF"/>
                  <w:vAlign w:val="center"/>
                </w:tcPr>
                <w:p w14:paraId="47371298">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color w:val="auto"/>
                      <w:sz w:val="24"/>
                      <w:szCs w:val="24"/>
                    </w:rPr>
                  </w:pPr>
                  <w:r>
                    <w:rPr>
                      <w:rFonts w:hint="default" w:ascii="Times New Roman" w:hAnsi="Times New Roman" w:eastAsia="宋体" w:cs="Times New Roman"/>
                      <w:b/>
                      <w:bCs/>
                      <w:caps w:val="0"/>
                      <w:color w:val="auto"/>
                      <w:spacing w:val="0"/>
                      <w:sz w:val="21"/>
                      <w:szCs w:val="21"/>
                    </w:rPr>
                    <w:t>现状浓度/(μg/m</w:t>
                  </w:r>
                  <w:r>
                    <w:rPr>
                      <w:rFonts w:hint="default" w:ascii="Times New Roman" w:hAnsi="Times New Roman" w:eastAsia="宋体" w:cs="Times New Roman"/>
                      <w:b/>
                      <w:bCs/>
                      <w:caps w:val="0"/>
                      <w:color w:val="auto"/>
                      <w:spacing w:val="0"/>
                      <w:sz w:val="21"/>
                      <w:szCs w:val="21"/>
                      <w:vertAlign w:val="superscript"/>
                    </w:rPr>
                    <w:t>3</w:t>
                  </w:r>
                  <w:r>
                    <w:rPr>
                      <w:rFonts w:hint="default" w:ascii="Times New Roman" w:hAnsi="Times New Roman" w:eastAsia="宋体" w:cs="Times New Roman"/>
                      <w:b/>
                      <w:bCs/>
                      <w:caps w:val="0"/>
                      <w:color w:val="auto"/>
                      <w:spacing w:val="0"/>
                      <w:sz w:val="21"/>
                      <w:szCs w:val="21"/>
                    </w:rPr>
                    <w:t>)</w:t>
                  </w:r>
                </w:p>
              </w:tc>
              <w:tc>
                <w:tcPr>
                  <w:tcW w:w="896" w:type="pct"/>
                  <w:tcBorders>
                    <w:bottom w:val="single" w:color="000000" w:sz="8" w:space="0"/>
                    <w:right w:val="single" w:color="000000" w:sz="8" w:space="0"/>
                  </w:tcBorders>
                  <w:shd w:val="clear" w:color="auto" w:fill="FFFFFF"/>
                  <w:vAlign w:val="center"/>
                </w:tcPr>
                <w:p w14:paraId="67D4A97F">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color w:val="auto"/>
                      <w:sz w:val="24"/>
                      <w:szCs w:val="24"/>
                    </w:rPr>
                  </w:pPr>
                  <w:r>
                    <w:rPr>
                      <w:rFonts w:hint="default" w:ascii="Times New Roman" w:hAnsi="Times New Roman" w:eastAsia="宋体" w:cs="Times New Roman"/>
                      <w:b/>
                      <w:bCs/>
                      <w:caps w:val="0"/>
                      <w:color w:val="auto"/>
                      <w:spacing w:val="0"/>
                      <w:sz w:val="21"/>
                      <w:szCs w:val="21"/>
                    </w:rPr>
                    <w:t>标准值/(μg/m</w:t>
                  </w:r>
                  <w:r>
                    <w:rPr>
                      <w:rFonts w:hint="default" w:ascii="Times New Roman" w:hAnsi="Times New Roman" w:eastAsia="宋体" w:cs="Times New Roman"/>
                      <w:b/>
                      <w:bCs/>
                      <w:caps w:val="0"/>
                      <w:color w:val="auto"/>
                      <w:spacing w:val="0"/>
                      <w:sz w:val="21"/>
                      <w:szCs w:val="21"/>
                      <w:vertAlign w:val="superscript"/>
                    </w:rPr>
                    <w:t>3</w:t>
                  </w:r>
                  <w:r>
                    <w:rPr>
                      <w:rFonts w:hint="default" w:ascii="Times New Roman" w:hAnsi="Times New Roman" w:eastAsia="宋体" w:cs="Times New Roman"/>
                      <w:b/>
                      <w:bCs/>
                      <w:caps w:val="0"/>
                      <w:color w:val="auto"/>
                      <w:spacing w:val="0"/>
                      <w:sz w:val="21"/>
                      <w:szCs w:val="21"/>
                    </w:rPr>
                    <w:t>)</w:t>
                  </w:r>
                </w:p>
              </w:tc>
              <w:tc>
                <w:tcPr>
                  <w:tcW w:w="487" w:type="pct"/>
                  <w:tcBorders>
                    <w:bottom w:val="single" w:color="000000" w:sz="8" w:space="0"/>
                    <w:right w:val="single" w:color="000000" w:sz="8" w:space="0"/>
                  </w:tcBorders>
                  <w:shd w:val="clear" w:color="auto" w:fill="FFFFFF"/>
                  <w:vAlign w:val="center"/>
                </w:tcPr>
                <w:p w14:paraId="5DDB677F">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color w:val="auto"/>
                      <w:sz w:val="24"/>
                      <w:szCs w:val="24"/>
                    </w:rPr>
                  </w:pPr>
                  <w:r>
                    <w:rPr>
                      <w:rFonts w:hint="default" w:ascii="Times New Roman" w:hAnsi="Times New Roman" w:eastAsia="宋体" w:cs="Times New Roman"/>
                      <w:b/>
                      <w:bCs/>
                      <w:caps w:val="0"/>
                      <w:color w:val="auto"/>
                      <w:spacing w:val="0"/>
                      <w:sz w:val="21"/>
                      <w:szCs w:val="21"/>
                    </w:rPr>
                    <w:t>占标率</w:t>
                  </w:r>
                </w:p>
              </w:tc>
              <w:tc>
                <w:tcPr>
                  <w:tcW w:w="523" w:type="pct"/>
                  <w:tcBorders>
                    <w:bottom w:val="single" w:color="000000" w:sz="8" w:space="0"/>
                  </w:tcBorders>
                  <w:shd w:val="clear" w:color="auto" w:fill="FFFFFF"/>
                  <w:vAlign w:val="center"/>
                </w:tcPr>
                <w:p w14:paraId="663F588F">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color w:val="auto"/>
                      <w:sz w:val="24"/>
                      <w:szCs w:val="24"/>
                    </w:rPr>
                  </w:pPr>
                  <w:r>
                    <w:rPr>
                      <w:rFonts w:hint="default" w:ascii="Times New Roman" w:hAnsi="Times New Roman" w:eastAsia="宋体" w:cs="Times New Roman"/>
                      <w:b/>
                      <w:bCs/>
                      <w:caps w:val="0"/>
                      <w:color w:val="auto"/>
                      <w:spacing w:val="0"/>
                      <w:sz w:val="21"/>
                      <w:szCs w:val="21"/>
                    </w:rPr>
                    <w:t>达标情况</w:t>
                  </w:r>
                </w:p>
              </w:tc>
            </w:tr>
            <w:tr w14:paraId="27EF74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FFFFFF"/>
                <w:tblCellMar>
                  <w:top w:w="15" w:type="dxa"/>
                  <w:left w:w="15" w:type="dxa"/>
                  <w:bottom w:w="15" w:type="dxa"/>
                  <w:right w:w="15" w:type="dxa"/>
                </w:tblCellMar>
              </w:tblPrEx>
              <w:trPr>
                <w:trHeight w:val="23" w:hRule="atLeast"/>
              </w:trPr>
              <w:tc>
                <w:tcPr>
                  <w:tcW w:w="463" w:type="pct"/>
                  <w:tcBorders>
                    <w:bottom w:val="single" w:color="000000" w:sz="8" w:space="0"/>
                    <w:right w:val="single" w:color="000000" w:sz="8" w:space="0"/>
                  </w:tcBorders>
                  <w:shd w:val="clear" w:color="auto" w:fill="FFFFFF"/>
                  <w:vAlign w:val="center"/>
                </w:tcPr>
                <w:p w14:paraId="73E07F61">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eastAsia" w:ascii="宋体" w:hAnsi="宋体" w:eastAsia="宋体" w:cs="宋体"/>
                      <w:color w:val="auto"/>
                      <w:sz w:val="24"/>
                      <w:szCs w:val="24"/>
                    </w:rPr>
                  </w:pPr>
                  <w:r>
                    <w:rPr>
                      <w:rFonts w:hint="default" w:ascii="Times New Roman" w:hAnsi="Times New Roman" w:eastAsia="宋体" w:cs="Times New Roman"/>
                      <w:caps w:val="0"/>
                      <w:color w:val="auto"/>
                      <w:spacing w:val="0"/>
                      <w:sz w:val="21"/>
                      <w:szCs w:val="21"/>
                    </w:rPr>
                    <w:t>PM</w:t>
                  </w:r>
                  <w:r>
                    <w:rPr>
                      <w:rFonts w:hint="default" w:ascii="Times New Roman" w:hAnsi="Times New Roman" w:eastAsia="宋体" w:cs="Times New Roman"/>
                      <w:caps w:val="0"/>
                      <w:color w:val="auto"/>
                      <w:spacing w:val="0"/>
                      <w:sz w:val="21"/>
                      <w:szCs w:val="21"/>
                      <w:vertAlign w:val="subscript"/>
                    </w:rPr>
                    <w:t>10</w:t>
                  </w:r>
                </w:p>
              </w:tc>
              <w:tc>
                <w:tcPr>
                  <w:tcW w:w="1662" w:type="pct"/>
                  <w:tcBorders>
                    <w:bottom w:val="single" w:color="000000" w:sz="8" w:space="0"/>
                    <w:right w:val="single" w:color="000000" w:sz="8" w:space="0"/>
                  </w:tcBorders>
                  <w:shd w:val="clear" w:color="auto" w:fill="FFFFFF"/>
                  <w:vAlign w:val="center"/>
                </w:tcPr>
                <w:p w14:paraId="54D3D850">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eastAsia" w:ascii="宋体" w:hAnsi="宋体" w:eastAsia="宋体" w:cs="宋体"/>
                      <w:color w:val="auto"/>
                      <w:sz w:val="24"/>
                      <w:szCs w:val="24"/>
                    </w:rPr>
                  </w:pPr>
                  <w:r>
                    <w:rPr>
                      <w:rFonts w:hint="default" w:ascii="Times New Roman" w:hAnsi="Times New Roman" w:eastAsia="宋体" w:cs="Times New Roman"/>
                      <w:caps w:val="0"/>
                      <w:color w:val="auto"/>
                      <w:spacing w:val="0"/>
                      <w:sz w:val="21"/>
                      <w:szCs w:val="21"/>
                    </w:rPr>
                    <w:t>年平均质量浓度</w:t>
                  </w:r>
                </w:p>
              </w:tc>
              <w:tc>
                <w:tcPr>
                  <w:tcW w:w="967" w:type="pct"/>
                  <w:tcBorders>
                    <w:bottom w:val="single" w:color="000000" w:sz="8" w:space="0"/>
                    <w:right w:val="single" w:color="000000" w:sz="8" w:space="0"/>
                  </w:tcBorders>
                  <w:shd w:val="clear" w:color="auto" w:fill="FFFFFF"/>
                  <w:vAlign w:val="center"/>
                </w:tcPr>
                <w:p w14:paraId="3E7C083B">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aps w:val="0"/>
                      <w:color w:val="auto"/>
                      <w:spacing w:val="0"/>
                      <w:sz w:val="21"/>
                      <w:szCs w:val="21"/>
                    </w:rPr>
                    <w:t>48</w:t>
                  </w:r>
                </w:p>
              </w:tc>
              <w:tc>
                <w:tcPr>
                  <w:tcW w:w="896" w:type="pct"/>
                  <w:tcBorders>
                    <w:bottom w:val="single" w:color="000000" w:sz="8" w:space="0"/>
                    <w:right w:val="single" w:color="000000" w:sz="8" w:space="0"/>
                  </w:tcBorders>
                  <w:shd w:val="clear" w:color="auto" w:fill="FFFFFF"/>
                  <w:vAlign w:val="center"/>
                </w:tcPr>
                <w:p w14:paraId="67C2FAA3">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aps w:val="0"/>
                      <w:color w:val="auto"/>
                      <w:spacing w:val="0"/>
                      <w:sz w:val="20"/>
                      <w:szCs w:val="20"/>
                    </w:rPr>
                    <w:t>70</w:t>
                  </w:r>
                </w:p>
              </w:tc>
              <w:tc>
                <w:tcPr>
                  <w:tcW w:w="487" w:type="pct"/>
                  <w:tcBorders>
                    <w:bottom w:val="single" w:color="000000" w:sz="8" w:space="0"/>
                    <w:right w:val="single" w:color="000000" w:sz="8" w:space="0"/>
                  </w:tcBorders>
                  <w:shd w:val="clear" w:color="auto" w:fill="FFFFFF"/>
                  <w:vAlign w:val="center"/>
                </w:tcPr>
                <w:p w14:paraId="00C1AF83">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aps w:val="0"/>
                      <w:color w:val="auto"/>
                      <w:spacing w:val="0"/>
                      <w:sz w:val="20"/>
                      <w:szCs w:val="20"/>
                    </w:rPr>
                    <w:t>68.6%</w:t>
                  </w:r>
                </w:p>
              </w:tc>
              <w:tc>
                <w:tcPr>
                  <w:tcW w:w="523" w:type="pct"/>
                  <w:tcBorders>
                    <w:bottom w:val="single" w:color="000000" w:sz="8" w:space="0"/>
                  </w:tcBorders>
                  <w:shd w:val="clear" w:color="auto" w:fill="FFFFFF"/>
                  <w:vAlign w:val="center"/>
                </w:tcPr>
                <w:p w14:paraId="4D58EEDB">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aps w:val="0"/>
                      <w:color w:val="auto"/>
                      <w:spacing w:val="0"/>
                      <w:sz w:val="20"/>
                      <w:szCs w:val="20"/>
                    </w:rPr>
                    <w:t>达标</w:t>
                  </w:r>
                </w:p>
              </w:tc>
            </w:tr>
            <w:tr w14:paraId="16805F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FFFFFF"/>
                <w:tblCellMar>
                  <w:top w:w="15" w:type="dxa"/>
                  <w:left w:w="15" w:type="dxa"/>
                  <w:bottom w:w="15" w:type="dxa"/>
                  <w:right w:w="15" w:type="dxa"/>
                </w:tblCellMar>
              </w:tblPrEx>
              <w:trPr>
                <w:trHeight w:val="23" w:hRule="atLeast"/>
              </w:trPr>
              <w:tc>
                <w:tcPr>
                  <w:tcW w:w="463" w:type="pct"/>
                  <w:tcBorders>
                    <w:bottom w:val="single" w:color="000000" w:sz="8" w:space="0"/>
                    <w:right w:val="single" w:color="000000" w:sz="8" w:space="0"/>
                  </w:tcBorders>
                  <w:shd w:val="clear" w:color="auto" w:fill="FFFFFF"/>
                  <w:vAlign w:val="center"/>
                </w:tcPr>
                <w:p w14:paraId="6B5351F2">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eastAsia" w:ascii="宋体" w:hAnsi="宋体" w:eastAsia="宋体" w:cs="宋体"/>
                      <w:color w:val="auto"/>
                      <w:sz w:val="24"/>
                      <w:szCs w:val="24"/>
                    </w:rPr>
                  </w:pPr>
                  <w:r>
                    <w:rPr>
                      <w:rFonts w:hint="default" w:ascii="Times New Roman" w:hAnsi="Times New Roman" w:eastAsia="宋体" w:cs="Times New Roman"/>
                      <w:caps w:val="0"/>
                      <w:color w:val="auto"/>
                      <w:spacing w:val="0"/>
                      <w:sz w:val="21"/>
                      <w:szCs w:val="21"/>
                    </w:rPr>
                    <w:t>PM</w:t>
                  </w:r>
                  <w:r>
                    <w:rPr>
                      <w:rFonts w:hint="default" w:ascii="Times New Roman" w:hAnsi="Times New Roman" w:eastAsia="宋体" w:cs="Times New Roman"/>
                      <w:caps w:val="0"/>
                      <w:color w:val="auto"/>
                      <w:spacing w:val="0"/>
                      <w:sz w:val="21"/>
                      <w:szCs w:val="21"/>
                      <w:vertAlign w:val="subscript"/>
                    </w:rPr>
                    <w:t>2.5</w:t>
                  </w:r>
                </w:p>
              </w:tc>
              <w:tc>
                <w:tcPr>
                  <w:tcW w:w="1662" w:type="pct"/>
                  <w:tcBorders>
                    <w:bottom w:val="single" w:color="000000" w:sz="8" w:space="0"/>
                    <w:right w:val="single" w:color="000000" w:sz="8" w:space="0"/>
                  </w:tcBorders>
                  <w:shd w:val="clear" w:color="auto" w:fill="FFFFFF"/>
                  <w:vAlign w:val="center"/>
                </w:tcPr>
                <w:p w14:paraId="2D7DBA90">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eastAsia" w:ascii="宋体" w:hAnsi="宋体" w:eastAsia="宋体" w:cs="宋体"/>
                      <w:color w:val="auto"/>
                      <w:sz w:val="24"/>
                      <w:szCs w:val="24"/>
                    </w:rPr>
                  </w:pPr>
                  <w:r>
                    <w:rPr>
                      <w:rFonts w:hint="default" w:ascii="Times New Roman" w:hAnsi="Times New Roman" w:eastAsia="宋体" w:cs="Times New Roman"/>
                      <w:caps w:val="0"/>
                      <w:color w:val="auto"/>
                      <w:spacing w:val="0"/>
                      <w:sz w:val="21"/>
                      <w:szCs w:val="21"/>
                    </w:rPr>
                    <w:t>年平均质量浓度</w:t>
                  </w:r>
                </w:p>
              </w:tc>
              <w:tc>
                <w:tcPr>
                  <w:tcW w:w="967" w:type="pct"/>
                  <w:tcBorders>
                    <w:bottom w:val="single" w:color="000000" w:sz="8" w:space="0"/>
                    <w:right w:val="single" w:color="000000" w:sz="8" w:space="0"/>
                  </w:tcBorders>
                  <w:shd w:val="clear" w:color="auto" w:fill="FFFFFF"/>
                  <w:vAlign w:val="center"/>
                </w:tcPr>
                <w:p w14:paraId="6F818F0B">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aps w:val="0"/>
                      <w:color w:val="auto"/>
                      <w:spacing w:val="0"/>
                      <w:sz w:val="21"/>
                      <w:szCs w:val="21"/>
                    </w:rPr>
                    <w:t>29</w:t>
                  </w:r>
                </w:p>
              </w:tc>
              <w:tc>
                <w:tcPr>
                  <w:tcW w:w="896" w:type="pct"/>
                  <w:tcBorders>
                    <w:bottom w:val="single" w:color="000000" w:sz="8" w:space="0"/>
                    <w:right w:val="single" w:color="000000" w:sz="8" w:space="0"/>
                  </w:tcBorders>
                  <w:shd w:val="clear" w:color="auto" w:fill="FFFFFF"/>
                  <w:vAlign w:val="center"/>
                </w:tcPr>
                <w:p w14:paraId="26DACD5F">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aps w:val="0"/>
                      <w:color w:val="auto"/>
                      <w:spacing w:val="0"/>
                      <w:sz w:val="20"/>
                      <w:szCs w:val="20"/>
                    </w:rPr>
                    <w:t>35</w:t>
                  </w:r>
                </w:p>
              </w:tc>
              <w:tc>
                <w:tcPr>
                  <w:tcW w:w="487" w:type="pct"/>
                  <w:tcBorders>
                    <w:bottom w:val="single" w:color="000000" w:sz="8" w:space="0"/>
                    <w:right w:val="single" w:color="000000" w:sz="8" w:space="0"/>
                  </w:tcBorders>
                  <w:shd w:val="clear" w:color="auto" w:fill="FFFFFF"/>
                  <w:vAlign w:val="center"/>
                </w:tcPr>
                <w:p w14:paraId="2B77320C">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aps w:val="0"/>
                      <w:color w:val="auto"/>
                      <w:spacing w:val="0"/>
                      <w:sz w:val="20"/>
                      <w:szCs w:val="20"/>
                    </w:rPr>
                    <w:t>82.9%</w:t>
                  </w:r>
                </w:p>
              </w:tc>
              <w:tc>
                <w:tcPr>
                  <w:tcW w:w="523" w:type="pct"/>
                  <w:tcBorders>
                    <w:bottom w:val="single" w:color="000000" w:sz="8" w:space="0"/>
                  </w:tcBorders>
                  <w:shd w:val="clear" w:color="auto" w:fill="FFFFFF"/>
                  <w:vAlign w:val="center"/>
                </w:tcPr>
                <w:p w14:paraId="2976817D">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aps w:val="0"/>
                      <w:color w:val="auto"/>
                      <w:spacing w:val="0"/>
                      <w:sz w:val="20"/>
                      <w:szCs w:val="20"/>
                    </w:rPr>
                    <w:t>达标</w:t>
                  </w:r>
                </w:p>
              </w:tc>
            </w:tr>
            <w:tr w14:paraId="6B7AF4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FFFFFF"/>
                <w:tblCellMar>
                  <w:top w:w="15" w:type="dxa"/>
                  <w:left w:w="15" w:type="dxa"/>
                  <w:bottom w:w="15" w:type="dxa"/>
                  <w:right w:w="15" w:type="dxa"/>
                </w:tblCellMar>
              </w:tblPrEx>
              <w:trPr>
                <w:trHeight w:val="23" w:hRule="atLeast"/>
              </w:trPr>
              <w:tc>
                <w:tcPr>
                  <w:tcW w:w="463" w:type="pct"/>
                  <w:tcBorders>
                    <w:bottom w:val="single" w:color="000000" w:sz="8" w:space="0"/>
                    <w:right w:val="single" w:color="000000" w:sz="8" w:space="0"/>
                  </w:tcBorders>
                  <w:shd w:val="clear" w:color="auto" w:fill="FFFFFF"/>
                  <w:vAlign w:val="center"/>
                </w:tcPr>
                <w:p w14:paraId="6C5B67AA">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eastAsia" w:ascii="宋体" w:hAnsi="宋体" w:eastAsia="宋体" w:cs="宋体"/>
                      <w:color w:val="auto"/>
                      <w:sz w:val="24"/>
                      <w:szCs w:val="24"/>
                    </w:rPr>
                  </w:pPr>
                  <w:r>
                    <w:rPr>
                      <w:rFonts w:hint="default" w:ascii="Times New Roman" w:hAnsi="Times New Roman" w:eastAsia="宋体" w:cs="Times New Roman"/>
                      <w:caps w:val="0"/>
                      <w:color w:val="auto"/>
                      <w:spacing w:val="0"/>
                      <w:sz w:val="21"/>
                      <w:szCs w:val="21"/>
                    </w:rPr>
                    <w:t>SO</w:t>
                  </w:r>
                  <w:r>
                    <w:rPr>
                      <w:rFonts w:hint="default" w:ascii="Times New Roman" w:hAnsi="Times New Roman" w:eastAsia="宋体" w:cs="Times New Roman"/>
                      <w:caps w:val="0"/>
                      <w:color w:val="auto"/>
                      <w:spacing w:val="0"/>
                      <w:sz w:val="21"/>
                      <w:szCs w:val="21"/>
                      <w:vertAlign w:val="subscript"/>
                    </w:rPr>
                    <w:t>2</w:t>
                  </w:r>
                </w:p>
              </w:tc>
              <w:tc>
                <w:tcPr>
                  <w:tcW w:w="1662" w:type="pct"/>
                  <w:tcBorders>
                    <w:bottom w:val="single" w:color="000000" w:sz="8" w:space="0"/>
                    <w:right w:val="single" w:color="000000" w:sz="8" w:space="0"/>
                  </w:tcBorders>
                  <w:shd w:val="clear" w:color="auto" w:fill="FFFFFF"/>
                  <w:vAlign w:val="center"/>
                </w:tcPr>
                <w:p w14:paraId="32365750">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eastAsia" w:ascii="宋体" w:hAnsi="宋体" w:eastAsia="宋体" w:cs="宋体"/>
                      <w:color w:val="auto"/>
                      <w:sz w:val="24"/>
                      <w:szCs w:val="24"/>
                    </w:rPr>
                  </w:pPr>
                  <w:r>
                    <w:rPr>
                      <w:rFonts w:hint="default" w:ascii="Times New Roman" w:hAnsi="Times New Roman" w:eastAsia="宋体" w:cs="Times New Roman"/>
                      <w:caps w:val="0"/>
                      <w:color w:val="auto"/>
                      <w:spacing w:val="0"/>
                      <w:sz w:val="21"/>
                      <w:szCs w:val="21"/>
                    </w:rPr>
                    <w:t>年平均质量浓度</w:t>
                  </w:r>
                </w:p>
              </w:tc>
              <w:tc>
                <w:tcPr>
                  <w:tcW w:w="967" w:type="pct"/>
                  <w:tcBorders>
                    <w:bottom w:val="single" w:color="000000" w:sz="8" w:space="0"/>
                    <w:right w:val="single" w:color="000000" w:sz="8" w:space="0"/>
                  </w:tcBorders>
                  <w:shd w:val="clear" w:color="auto" w:fill="FFFFFF"/>
                  <w:vAlign w:val="center"/>
                </w:tcPr>
                <w:p w14:paraId="1A198D2B">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aps w:val="0"/>
                      <w:color w:val="auto"/>
                      <w:spacing w:val="0"/>
                      <w:sz w:val="21"/>
                      <w:szCs w:val="21"/>
                    </w:rPr>
                    <w:t>7</w:t>
                  </w:r>
                </w:p>
              </w:tc>
              <w:tc>
                <w:tcPr>
                  <w:tcW w:w="896" w:type="pct"/>
                  <w:tcBorders>
                    <w:bottom w:val="single" w:color="000000" w:sz="8" w:space="0"/>
                    <w:right w:val="single" w:color="000000" w:sz="8" w:space="0"/>
                  </w:tcBorders>
                  <w:shd w:val="clear" w:color="auto" w:fill="FFFFFF"/>
                  <w:vAlign w:val="center"/>
                </w:tcPr>
                <w:p w14:paraId="76C9E1BA">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aps w:val="0"/>
                      <w:color w:val="auto"/>
                      <w:spacing w:val="0"/>
                      <w:sz w:val="20"/>
                      <w:szCs w:val="20"/>
                    </w:rPr>
                    <w:t>60</w:t>
                  </w:r>
                </w:p>
              </w:tc>
              <w:tc>
                <w:tcPr>
                  <w:tcW w:w="487" w:type="pct"/>
                  <w:tcBorders>
                    <w:bottom w:val="single" w:color="000000" w:sz="8" w:space="0"/>
                    <w:right w:val="single" w:color="000000" w:sz="8" w:space="0"/>
                  </w:tcBorders>
                  <w:shd w:val="clear" w:color="auto" w:fill="FFFFFF"/>
                  <w:vAlign w:val="center"/>
                </w:tcPr>
                <w:p w14:paraId="25241EC0">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aps w:val="0"/>
                      <w:color w:val="auto"/>
                      <w:spacing w:val="0"/>
                      <w:sz w:val="20"/>
                      <w:szCs w:val="20"/>
                    </w:rPr>
                    <w:t>11.7%</w:t>
                  </w:r>
                </w:p>
              </w:tc>
              <w:tc>
                <w:tcPr>
                  <w:tcW w:w="523" w:type="pct"/>
                  <w:tcBorders>
                    <w:bottom w:val="single" w:color="000000" w:sz="8" w:space="0"/>
                  </w:tcBorders>
                  <w:shd w:val="clear" w:color="auto" w:fill="FFFFFF"/>
                  <w:vAlign w:val="center"/>
                </w:tcPr>
                <w:p w14:paraId="39B644D3">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aps w:val="0"/>
                      <w:color w:val="auto"/>
                      <w:spacing w:val="0"/>
                      <w:sz w:val="20"/>
                      <w:szCs w:val="20"/>
                    </w:rPr>
                    <w:t>达标</w:t>
                  </w:r>
                </w:p>
              </w:tc>
            </w:tr>
            <w:tr w14:paraId="5A2184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FFFFFF"/>
                <w:tblCellMar>
                  <w:top w:w="15" w:type="dxa"/>
                  <w:left w:w="15" w:type="dxa"/>
                  <w:bottom w:w="15" w:type="dxa"/>
                  <w:right w:w="15" w:type="dxa"/>
                </w:tblCellMar>
              </w:tblPrEx>
              <w:trPr>
                <w:trHeight w:val="23" w:hRule="atLeast"/>
              </w:trPr>
              <w:tc>
                <w:tcPr>
                  <w:tcW w:w="463" w:type="pct"/>
                  <w:tcBorders>
                    <w:bottom w:val="single" w:color="000000" w:sz="8" w:space="0"/>
                    <w:right w:val="single" w:color="000000" w:sz="8" w:space="0"/>
                  </w:tcBorders>
                  <w:shd w:val="clear" w:color="auto" w:fill="FFFFFF"/>
                  <w:vAlign w:val="center"/>
                </w:tcPr>
                <w:p w14:paraId="1EFE41CC">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eastAsia" w:ascii="宋体" w:hAnsi="宋体" w:eastAsia="宋体" w:cs="宋体"/>
                      <w:color w:val="auto"/>
                      <w:sz w:val="24"/>
                      <w:szCs w:val="24"/>
                    </w:rPr>
                  </w:pPr>
                  <w:r>
                    <w:rPr>
                      <w:rFonts w:hint="default" w:ascii="Times New Roman" w:hAnsi="Times New Roman" w:eastAsia="宋体" w:cs="Times New Roman"/>
                      <w:caps w:val="0"/>
                      <w:color w:val="auto"/>
                      <w:spacing w:val="0"/>
                      <w:sz w:val="21"/>
                      <w:szCs w:val="21"/>
                    </w:rPr>
                    <w:t>NO</w:t>
                  </w:r>
                  <w:r>
                    <w:rPr>
                      <w:rFonts w:hint="default" w:ascii="Times New Roman" w:hAnsi="Times New Roman" w:eastAsia="宋体" w:cs="Times New Roman"/>
                      <w:caps w:val="0"/>
                      <w:color w:val="auto"/>
                      <w:spacing w:val="0"/>
                      <w:sz w:val="21"/>
                      <w:szCs w:val="21"/>
                      <w:vertAlign w:val="subscript"/>
                    </w:rPr>
                    <w:t>2</w:t>
                  </w:r>
                </w:p>
              </w:tc>
              <w:tc>
                <w:tcPr>
                  <w:tcW w:w="1662" w:type="pct"/>
                  <w:tcBorders>
                    <w:bottom w:val="single" w:color="000000" w:sz="8" w:space="0"/>
                    <w:right w:val="single" w:color="000000" w:sz="8" w:space="0"/>
                  </w:tcBorders>
                  <w:shd w:val="clear" w:color="auto" w:fill="FFFFFF"/>
                  <w:vAlign w:val="center"/>
                </w:tcPr>
                <w:p w14:paraId="4AAEFCE4">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eastAsia" w:ascii="宋体" w:hAnsi="宋体" w:eastAsia="宋体" w:cs="宋体"/>
                      <w:color w:val="auto"/>
                      <w:sz w:val="24"/>
                      <w:szCs w:val="24"/>
                    </w:rPr>
                  </w:pPr>
                  <w:r>
                    <w:rPr>
                      <w:rFonts w:hint="default" w:ascii="Times New Roman" w:hAnsi="Times New Roman" w:eastAsia="宋体" w:cs="Times New Roman"/>
                      <w:caps w:val="0"/>
                      <w:color w:val="auto"/>
                      <w:spacing w:val="0"/>
                      <w:sz w:val="21"/>
                      <w:szCs w:val="21"/>
                    </w:rPr>
                    <w:t>年平均质量浓度</w:t>
                  </w:r>
                </w:p>
              </w:tc>
              <w:tc>
                <w:tcPr>
                  <w:tcW w:w="967" w:type="pct"/>
                  <w:tcBorders>
                    <w:bottom w:val="single" w:color="000000" w:sz="8" w:space="0"/>
                    <w:right w:val="single" w:color="000000" w:sz="8" w:space="0"/>
                  </w:tcBorders>
                  <w:shd w:val="clear" w:color="auto" w:fill="FFFFFF"/>
                  <w:vAlign w:val="center"/>
                </w:tcPr>
                <w:p w14:paraId="6FDE473C">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aps w:val="0"/>
                      <w:color w:val="auto"/>
                      <w:spacing w:val="0"/>
                      <w:sz w:val="21"/>
                      <w:szCs w:val="21"/>
                    </w:rPr>
                    <w:t>14</w:t>
                  </w:r>
                </w:p>
              </w:tc>
              <w:tc>
                <w:tcPr>
                  <w:tcW w:w="896" w:type="pct"/>
                  <w:tcBorders>
                    <w:bottom w:val="single" w:color="000000" w:sz="8" w:space="0"/>
                    <w:right w:val="single" w:color="000000" w:sz="8" w:space="0"/>
                  </w:tcBorders>
                  <w:shd w:val="clear" w:color="auto" w:fill="FFFFFF"/>
                  <w:vAlign w:val="center"/>
                </w:tcPr>
                <w:p w14:paraId="4C20804B">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aps w:val="0"/>
                      <w:color w:val="auto"/>
                      <w:spacing w:val="0"/>
                      <w:sz w:val="20"/>
                      <w:szCs w:val="20"/>
                    </w:rPr>
                    <w:t>40</w:t>
                  </w:r>
                </w:p>
              </w:tc>
              <w:tc>
                <w:tcPr>
                  <w:tcW w:w="487" w:type="pct"/>
                  <w:tcBorders>
                    <w:bottom w:val="single" w:color="000000" w:sz="8" w:space="0"/>
                    <w:right w:val="single" w:color="000000" w:sz="8" w:space="0"/>
                  </w:tcBorders>
                  <w:shd w:val="clear" w:color="auto" w:fill="FFFFFF"/>
                  <w:vAlign w:val="center"/>
                </w:tcPr>
                <w:p w14:paraId="6EA661BA">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aps w:val="0"/>
                      <w:color w:val="auto"/>
                      <w:spacing w:val="0"/>
                      <w:sz w:val="20"/>
                      <w:szCs w:val="20"/>
                    </w:rPr>
                    <w:t>35%</w:t>
                  </w:r>
                </w:p>
              </w:tc>
              <w:tc>
                <w:tcPr>
                  <w:tcW w:w="523" w:type="pct"/>
                  <w:tcBorders>
                    <w:bottom w:val="single" w:color="000000" w:sz="8" w:space="0"/>
                  </w:tcBorders>
                  <w:shd w:val="clear" w:color="auto" w:fill="FFFFFF"/>
                  <w:vAlign w:val="center"/>
                </w:tcPr>
                <w:p w14:paraId="61018827">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aps w:val="0"/>
                      <w:color w:val="auto"/>
                      <w:spacing w:val="0"/>
                      <w:sz w:val="20"/>
                      <w:szCs w:val="20"/>
                    </w:rPr>
                    <w:t>达标</w:t>
                  </w:r>
                </w:p>
              </w:tc>
            </w:tr>
            <w:tr w14:paraId="50F431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FFFFFF"/>
                <w:tblCellMar>
                  <w:top w:w="15" w:type="dxa"/>
                  <w:left w:w="15" w:type="dxa"/>
                  <w:bottom w:w="15" w:type="dxa"/>
                  <w:right w:w="15" w:type="dxa"/>
                </w:tblCellMar>
              </w:tblPrEx>
              <w:trPr>
                <w:trHeight w:val="23" w:hRule="atLeast"/>
              </w:trPr>
              <w:tc>
                <w:tcPr>
                  <w:tcW w:w="463" w:type="pct"/>
                  <w:tcBorders>
                    <w:bottom w:val="single" w:color="000000" w:sz="8" w:space="0"/>
                    <w:right w:val="single" w:color="000000" w:sz="8" w:space="0"/>
                  </w:tcBorders>
                  <w:shd w:val="clear" w:color="auto" w:fill="FFFFFF"/>
                  <w:vAlign w:val="center"/>
                </w:tcPr>
                <w:p w14:paraId="1BEECE84">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eastAsia" w:ascii="宋体" w:hAnsi="宋体" w:eastAsia="宋体" w:cs="宋体"/>
                      <w:color w:val="auto"/>
                      <w:sz w:val="24"/>
                      <w:szCs w:val="24"/>
                    </w:rPr>
                  </w:pPr>
                  <w:r>
                    <w:rPr>
                      <w:rFonts w:hint="default" w:ascii="Times New Roman" w:hAnsi="Times New Roman" w:eastAsia="宋体" w:cs="Times New Roman"/>
                      <w:caps w:val="0"/>
                      <w:color w:val="auto"/>
                      <w:spacing w:val="0"/>
                      <w:sz w:val="21"/>
                      <w:szCs w:val="21"/>
                    </w:rPr>
                    <w:t>CO</w:t>
                  </w:r>
                </w:p>
              </w:tc>
              <w:tc>
                <w:tcPr>
                  <w:tcW w:w="1662" w:type="pct"/>
                  <w:tcBorders>
                    <w:bottom w:val="single" w:color="000000" w:sz="8" w:space="0"/>
                    <w:right w:val="single" w:color="000000" w:sz="8" w:space="0"/>
                  </w:tcBorders>
                  <w:shd w:val="clear" w:color="auto" w:fill="FFFFFF"/>
                  <w:vAlign w:val="center"/>
                </w:tcPr>
                <w:p w14:paraId="45580386">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eastAsia" w:ascii="宋体" w:hAnsi="宋体" w:eastAsia="宋体" w:cs="宋体"/>
                      <w:color w:val="auto"/>
                      <w:sz w:val="24"/>
                      <w:szCs w:val="24"/>
                    </w:rPr>
                  </w:pPr>
                  <w:r>
                    <w:rPr>
                      <w:rFonts w:hint="default" w:ascii="Times New Roman" w:hAnsi="Times New Roman" w:eastAsia="宋体" w:cs="Times New Roman"/>
                      <w:caps w:val="0"/>
                      <w:color w:val="auto"/>
                      <w:spacing w:val="0"/>
                      <w:sz w:val="21"/>
                      <w:szCs w:val="21"/>
                    </w:rPr>
                    <w:t>保证率日平均第95百分位数</w:t>
                  </w:r>
                </w:p>
              </w:tc>
              <w:tc>
                <w:tcPr>
                  <w:tcW w:w="967" w:type="pct"/>
                  <w:tcBorders>
                    <w:bottom w:val="single" w:color="000000" w:sz="8" w:space="0"/>
                    <w:right w:val="single" w:color="000000" w:sz="8" w:space="0"/>
                  </w:tcBorders>
                  <w:shd w:val="clear" w:color="auto" w:fill="FFFFFF"/>
                  <w:vAlign w:val="center"/>
                </w:tcPr>
                <w:p w14:paraId="169ADAF9">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aps w:val="0"/>
                      <w:color w:val="auto"/>
                      <w:spacing w:val="0"/>
                      <w:sz w:val="21"/>
                      <w:szCs w:val="21"/>
                    </w:rPr>
                    <w:t>1300</w:t>
                  </w:r>
                </w:p>
              </w:tc>
              <w:tc>
                <w:tcPr>
                  <w:tcW w:w="896" w:type="pct"/>
                  <w:tcBorders>
                    <w:bottom w:val="single" w:color="000000" w:sz="8" w:space="0"/>
                    <w:right w:val="single" w:color="000000" w:sz="8" w:space="0"/>
                  </w:tcBorders>
                  <w:shd w:val="clear" w:color="auto" w:fill="FFFFFF"/>
                  <w:vAlign w:val="center"/>
                </w:tcPr>
                <w:p w14:paraId="165649FB">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aps w:val="0"/>
                      <w:color w:val="auto"/>
                      <w:spacing w:val="0"/>
                      <w:sz w:val="20"/>
                      <w:szCs w:val="20"/>
                    </w:rPr>
                    <w:t>4000</w:t>
                  </w:r>
                </w:p>
              </w:tc>
              <w:tc>
                <w:tcPr>
                  <w:tcW w:w="487" w:type="pct"/>
                  <w:tcBorders>
                    <w:bottom w:val="single" w:color="000000" w:sz="8" w:space="0"/>
                    <w:right w:val="single" w:color="000000" w:sz="8" w:space="0"/>
                  </w:tcBorders>
                  <w:shd w:val="clear" w:color="auto" w:fill="FFFFFF"/>
                  <w:vAlign w:val="center"/>
                </w:tcPr>
                <w:p w14:paraId="551F54E0">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aps w:val="0"/>
                      <w:color w:val="auto"/>
                      <w:spacing w:val="0"/>
                      <w:sz w:val="20"/>
                      <w:szCs w:val="20"/>
                    </w:rPr>
                    <w:t>32.5%</w:t>
                  </w:r>
                </w:p>
              </w:tc>
              <w:tc>
                <w:tcPr>
                  <w:tcW w:w="523" w:type="pct"/>
                  <w:tcBorders>
                    <w:bottom w:val="single" w:color="000000" w:sz="8" w:space="0"/>
                  </w:tcBorders>
                  <w:shd w:val="clear" w:color="auto" w:fill="FFFFFF"/>
                  <w:vAlign w:val="center"/>
                </w:tcPr>
                <w:p w14:paraId="28FC8E3F">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aps w:val="0"/>
                      <w:color w:val="auto"/>
                      <w:spacing w:val="0"/>
                      <w:sz w:val="20"/>
                      <w:szCs w:val="20"/>
                    </w:rPr>
                    <w:t>达标</w:t>
                  </w:r>
                </w:p>
              </w:tc>
            </w:tr>
            <w:tr w14:paraId="7771D6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FFFFFF"/>
                <w:tblCellMar>
                  <w:top w:w="15" w:type="dxa"/>
                  <w:left w:w="15" w:type="dxa"/>
                  <w:bottom w:w="15" w:type="dxa"/>
                  <w:right w:w="15" w:type="dxa"/>
                </w:tblCellMar>
              </w:tblPrEx>
              <w:trPr>
                <w:trHeight w:val="23" w:hRule="atLeast"/>
              </w:trPr>
              <w:tc>
                <w:tcPr>
                  <w:tcW w:w="463" w:type="pct"/>
                  <w:tcBorders>
                    <w:right w:val="single" w:color="000000" w:sz="8" w:space="0"/>
                  </w:tcBorders>
                  <w:shd w:val="clear" w:color="auto" w:fill="FFFFFF"/>
                  <w:vAlign w:val="center"/>
                </w:tcPr>
                <w:p w14:paraId="604B9447">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eastAsia" w:ascii="宋体" w:hAnsi="宋体" w:eastAsia="宋体" w:cs="宋体"/>
                      <w:color w:val="auto"/>
                      <w:sz w:val="24"/>
                      <w:szCs w:val="24"/>
                    </w:rPr>
                  </w:pPr>
                  <w:r>
                    <w:rPr>
                      <w:rFonts w:hint="default" w:ascii="Times New Roman" w:hAnsi="Times New Roman" w:eastAsia="宋体" w:cs="Times New Roman"/>
                      <w:caps w:val="0"/>
                      <w:color w:val="auto"/>
                      <w:spacing w:val="0"/>
                      <w:sz w:val="21"/>
                      <w:szCs w:val="21"/>
                    </w:rPr>
                    <w:t>O</w:t>
                  </w:r>
                  <w:r>
                    <w:rPr>
                      <w:rFonts w:hint="default" w:ascii="Times New Roman" w:hAnsi="Times New Roman" w:eastAsia="宋体" w:cs="Times New Roman"/>
                      <w:caps w:val="0"/>
                      <w:color w:val="auto"/>
                      <w:spacing w:val="0"/>
                      <w:sz w:val="21"/>
                      <w:szCs w:val="21"/>
                      <w:vertAlign w:val="subscript"/>
                    </w:rPr>
                    <w:t>3</w:t>
                  </w:r>
                </w:p>
              </w:tc>
              <w:tc>
                <w:tcPr>
                  <w:tcW w:w="1662" w:type="pct"/>
                  <w:tcBorders>
                    <w:right w:val="single" w:color="000000" w:sz="8" w:space="0"/>
                  </w:tcBorders>
                  <w:shd w:val="clear" w:color="auto" w:fill="FFFFFF"/>
                  <w:vAlign w:val="center"/>
                </w:tcPr>
                <w:p w14:paraId="72F0132A">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eastAsia" w:ascii="宋体" w:hAnsi="宋体" w:eastAsia="宋体" w:cs="宋体"/>
                      <w:color w:val="auto"/>
                      <w:sz w:val="24"/>
                      <w:szCs w:val="24"/>
                    </w:rPr>
                  </w:pPr>
                  <w:r>
                    <w:rPr>
                      <w:rFonts w:hint="default" w:ascii="Times New Roman" w:hAnsi="Times New Roman" w:eastAsia="宋体" w:cs="Times New Roman"/>
                      <w:caps w:val="0"/>
                      <w:color w:val="auto"/>
                      <w:spacing w:val="0"/>
                      <w:sz w:val="21"/>
                      <w:szCs w:val="21"/>
                    </w:rPr>
                    <w:t>90%保证率8小时平均质量浓度</w:t>
                  </w:r>
                </w:p>
              </w:tc>
              <w:tc>
                <w:tcPr>
                  <w:tcW w:w="967" w:type="pct"/>
                  <w:tcBorders>
                    <w:right w:val="single" w:color="000000" w:sz="8" w:space="0"/>
                  </w:tcBorders>
                  <w:shd w:val="clear" w:color="auto" w:fill="FFFFFF"/>
                  <w:vAlign w:val="center"/>
                </w:tcPr>
                <w:p w14:paraId="69D40189">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aps w:val="0"/>
                      <w:color w:val="auto"/>
                      <w:spacing w:val="0"/>
                      <w:sz w:val="21"/>
                      <w:szCs w:val="21"/>
                    </w:rPr>
                    <w:t>118</w:t>
                  </w:r>
                </w:p>
              </w:tc>
              <w:tc>
                <w:tcPr>
                  <w:tcW w:w="896" w:type="pct"/>
                  <w:tcBorders>
                    <w:right w:val="single" w:color="000000" w:sz="8" w:space="0"/>
                  </w:tcBorders>
                  <w:shd w:val="clear" w:color="auto" w:fill="FFFFFF"/>
                  <w:vAlign w:val="center"/>
                </w:tcPr>
                <w:p w14:paraId="674D1939">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aps w:val="0"/>
                      <w:color w:val="auto"/>
                      <w:spacing w:val="0"/>
                      <w:sz w:val="20"/>
                      <w:szCs w:val="20"/>
                    </w:rPr>
                    <w:t>160</w:t>
                  </w:r>
                </w:p>
              </w:tc>
              <w:tc>
                <w:tcPr>
                  <w:tcW w:w="487" w:type="pct"/>
                  <w:tcBorders>
                    <w:right w:val="single" w:color="000000" w:sz="8" w:space="0"/>
                  </w:tcBorders>
                  <w:shd w:val="clear" w:color="auto" w:fill="FFFFFF"/>
                  <w:vAlign w:val="center"/>
                </w:tcPr>
                <w:p w14:paraId="61361126">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aps w:val="0"/>
                      <w:color w:val="auto"/>
                      <w:spacing w:val="0"/>
                      <w:sz w:val="20"/>
                      <w:szCs w:val="20"/>
                    </w:rPr>
                    <w:t>73.8%</w:t>
                  </w:r>
                </w:p>
              </w:tc>
              <w:tc>
                <w:tcPr>
                  <w:tcW w:w="523" w:type="pct"/>
                  <w:shd w:val="clear" w:color="auto" w:fill="FFFFFF"/>
                  <w:vAlign w:val="center"/>
                </w:tcPr>
                <w:p w14:paraId="0CE0FE61">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aps w:val="0"/>
                      <w:color w:val="auto"/>
                      <w:spacing w:val="0"/>
                      <w:sz w:val="20"/>
                      <w:szCs w:val="20"/>
                    </w:rPr>
                    <w:t>达标</w:t>
                  </w:r>
                </w:p>
              </w:tc>
            </w:tr>
          </w:tbl>
          <w:p w14:paraId="6632AA8C">
            <w:pPr>
              <w:spacing w:line="360" w:lineRule="auto"/>
              <w:ind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从2023年环境空气质量监测数据来看，2023年洋县各污染物均达标，环境质量良好。</w:t>
            </w:r>
          </w:p>
          <w:p w14:paraId="1B3011E6">
            <w:pPr>
              <w:spacing w:line="360" w:lineRule="auto"/>
              <w:ind w:firstLine="480" w:firstLineChars="200"/>
              <w:rPr>
                <w:rFonts w:hint="default" w:ascii="Times New Roman" w:hAnsi="Times New Roman" w:eastAsia="宋体" w:cs="Times New Roman"/>
                <w:color w:val="auto"/>
                <w:sz w:val="24"/>
                <w:szCs w:val="32"/>
                <w:highlight w:val="none"/>
                <w:lang w:val="zh-CN" w:eastAsia="zh-CN"/>
              </w:rPr>
            </w:pPr>
            <w:r>
              <w:rPr>
                <w:rFonts w:hint="eastAsia" w:ascii="Times New Roman" w:hAnsi="Times New Roman" w:eastAsia="宋体" w:cs="Times New Roman"/>
                <w:color w:val="auto"/>
                <w:sz w:val="24"/>
                <w:szCs w:val="32"/>
                <w:highlight w:val="none"/>
                <w:lang w:val="zh-CN" w:eastAsia="zh-CN"/>
              </w:rPr>
              <w:t>按照《环境影响评价技术导则—大气环境</w:t>
            </w:r>
            <w:r>
              <w:rPr>
                <w:rFonts w:hint="default" w:ascii="Times New Roman" w:hAnsi="Times New Roman" w:eastAsia="宋体" w:cs="Times New Roman"/>
                <w:color w:val="auto"/>
                <w:sz w:val="24"/>
                <w:szCs w:val="32"/>
                <w:highlight w:val="none"/>
                <w:lang w:eastAsia="zh-CN"/>
              </w:rPr>
              <w:t>》</w:t>
            </w:r>
            <w:r>
              <w:rPr>
                <w:rFonts w:hint="eastAsia" w:ascii="Times New Roman" w:hAnsi="Times New Roman" w:eastAsia="宋体" w:cs="Times New Roman"/>
                <w:color w:val="auto"/>
                <w:sz w:val="24"/>
                <w:szCs w:val="32"/>
                <w:highlight w:val="none"/>
                <w:lang w:val="zh-CN" w:eastAsia="zh-CN"/>
              </w:rPr>
              <w:t>（HJ 2.2-2018）中各评价指标进行判定</w:t>
            </w:r>
            <w:r>
              <w:rPr>
                <w:rFonts w:hint="default" w:ascii="Times New Roman" w:hAnsi="Times New Roman" w:eastAsia="宋体" w:cs="Times New Roman"/>
                <w:color w:val="auto"/>
                <w:sz w:val="24"/>
                <w:szCs w:val="32"/>
                <w:highlight w:val="none"/>
                <w:lang w:val="zh-CN" w:eastAsia="zh-CN"/>
              </w:rPr>
              <w:t>，</w:t>
            </w:r>
            <w:r>
              <w:rPr>
                <w:rFonts w:hint="eastAsia" w:ascii="Times New Roman" w:hAnsi="Times New Roman" w:eastAsia="宋体" w:cs="Times New Roman"/>
                <w:color w:val="auto"/>
                <w:sz w:val="24"/>
                <w:szCs w:val="32"/>
                <w:highlight w:val="none"/>
                <w:lang w:val="en-US" w:eastAsia="zh-CN"/>
              </w:rPr>
              <w:t>洋</w:t>
            </w:r>
            <w:r>
              <w:rPr>
                <w:rFonts w:hint="eastAsia" w:ascii="Times New Roman" w:hAnsi="Times New Roman" w:eastAsia="宋体" w:cs="Times New Roman"/>
                <w:color w:val="auto"/>
                <w:sz w:val="24"/>
                <w:szCs w:val="32"/>
                <w:highlight w:val="none"/>
                <w:lang w:val="zh-CN" w:eastAsia="zh-CN"/>
              </w:rPr>
              <w:t>县为达标区</w:t>
            </w:r>
            <w:r>
              <w:rPr>
                <w:rFonts w:hint="default" w:ascii="Times New Roman" w:hAnsi="Times New Roman" w:eastAsia="宋体" w:cs="Times New Roman"/>
                <w:color w:val="auto"/>
                <w:sz w:val="24"/>
                <w:szCs w:val="32"/>
                <w:highlight w:val="none"/>
                <w:lang w:val="zh-CN" w:eastAsia="zh-CN"/>
              </w:rPr>
              <w:t>。</w:t>
            </w:r>
          </w:p>
          <w:p w14:paraId="21E4132A">
            <w:pPr>
              <w:pStyle w:val="16"/>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lang w:eastAsia="zh-CN"/>
              </w:rPr>
              <w:t>水</w:t>
            </w:r>
            <w:r>
              <w:rPr>
                <w:rFonts w:hint="default" w:ascii="Times New Roman" w:hAnsi="Times New Roman" w:eastAsia="宋体" w:cs="Times New Roman"/>
                <w:b/>
                <w:bCs/>
                <w:color w:val="auto"/>
                <w:sz w:val="24"/>
                <w:szCs w:val="24"/>
                <w:highlight w:val="none"/>
              </w:rPr>
              <w:t>环境质量现状</w:t>
            </w:r>
          </w:p>
          <w:p w14:paraId="6757A8B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项目所在地主要的地表水体为</w:t>
            </w:r>
            <w:r>
              <w:rPr>
                <w:rFonts w:hint="default" w:ascii="Times New Roman" w:hAnsi="Times New Roman" w:cs="Times New Roman"/>
                <w:color w:val="auto"/>
                <w:sz w:val="24"/>
                <w:highlight w:val="none"/>
                <w:lang w:val="en-US" w:eastAsia="zh-CN"/>
              </w:rPr>
              <w:t>溢水河，为汉江的一级支流</w:t>
            </w:r>
            <w:r>
              <w:rPr>
                <w:rFonts w:hint="default" w:ascii="Times New Roman" w:hAnsi="Times New Roman" w:cs="Times New Roman"/>
                <w:color w:val="auto"/>
                <w:sz w:val="24"/>
                <w:highlight w:val="none"/>
              </w:rPr>
              <w:t>，地表水环境质量执行《地表水环境质量标准》(GB3838-2002)中的</w:t>
            </w:r>
            <w:r>
              <w:rPr>
                <w:rFonts w:hint="default" w:ascii="Times New Roman" w:hAnsi="Times New Roman" w:eastAsia="宋体" w:cs="Times New Roman"/>
                <w:color w:val="auto"/>
                <w:sz w:val="24"/>
                <w:highlight w:val="none"/>
              </w:rPr>
              <w:t>Ⅱ</w:t>
            </w:r>
            <w:r>
              <w:rPr>
                <w:rFonts w:hint="default" w:ascii="Times New Roman" w:hAnsi="Times New Roman" w:cs="Times New Roman"/>
                <w:color w:val="auto"/>
                <w:sz w:val="24"/>
                <w:highlight w:val="none"/>
              </w:rPr>
              <w:t>类标准要求。</w:t>
            </w:r>
          </w:p>
          <w:p w14:paraId="29F28D7C">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rPr>
              <w:t>根据《汉中市环境质量通报》(202</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年</w:t>
            </w:r>
            <w:r>
              <w:rPr>
                <w:rFonts w:hint="eastAsia" w:ascii="Times New Roman" w:hAnsi="Times New Roman" w:cs="Times New Roman"/>
                <w:color w:val="auto"/>
                <w:sz w:val="24"/>
                <w:highlight w:val="none"/>
                <w:lang w:eastAsia="zh-CN"/>
              </w:rPr>
              <w:t>第</w:t>
            </w:r>
            <w:r>
              <w:rPr>
                <w:rFonts w:hint="eastAsia" w:ascii="Times New Roman" w:hAnsi="Times New Roman" w:cs="Times New Roman"/>
                <w:color w:val="auto"/>
                <w:sz w:val="24"/>
                <w:highlight w:val="none"/>
                <w:lang w:val="en-US" w:eastAsia="zh-CN"/>
              </w:rPr>
              <w:t>9</w:t>
            </w:r>
            <w:r>
              <w:rPr>
                <w:rFonts w:hint="eastAsia" w:ascii="Times New Roman" w:hAnsi="Times New Roman" w:cs="Times New Roman"/>
                <w:color w:val="auto"/>
                <w:sz w:val="24"/>
                <w:highlight w:val="none"/>
                <w:lang w:eastAsia="zh-CN"/>
              </w:rPr>
              <w:t>期</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汉江9个</w:t>
            </w:r>
            <w:r>
              <w:rPr>
                <w:rFonts w:hint="default" w:ascii="Times New Roman" w:hAnsi="Times New Roman" w:cs="Times New Roman"/>
                <w:color w:val="auto"/>
                <w:sz w:val="24"/>
                <w:highlight w:val="none"/>
              </w:rPr>
              <w:t>监测断面处地表水环境质量均达到《地表水环境质量标准》(GB3838-2002)中的</w:t>
            </w:r>
            <w:r>
              <w:rPr>
                <w:rFonts w:hint="eastAsia" w:ascii="Times New Roman" w:hAnsi="Times New Roman" w:cs="Times New Roman"/>
                <w:color w:val="auto"/>
                <w:sz w:val="24"/>
                <w:highlight w:val="none"/>
                <w:lang w:eastAsia="zh-CN" w:bidi="ar-BH"/>
              </w:rPr>
              <w:t>Ⅱ</w:t>
            </w:r>
            <w:r>
              <w:rPr>
                <w:rFonts w:hint="default" w:ascii="Times New Roman" w:hAnsi="Times New Roman" w:cs="Times New Roman"/>
                <w:color w:val="auto"/>
                <w:sz w:val="24"/>
                <w:highlight w:val="none"/>
              </w:rPr>
              <w:t>类水质要求。本项目位于</w:t>
            </w:r>
            <w:r>
              <w:rPr>
                <w:rFonts w:hint="eastAsia" w:ascii="Times New Roman" w:hAnsi="Times New Roman" w:cs="Times New Roman"/>
                <w:color w:val="auto"/>
                <w:sz w:val="24"/>
                <w:highlight w:val="none"/>
                <w:lang w:val="en-US" w:eastAsia="zh-CN"/>
              </w:rPr>
              <w:t>汉江南侧</w:t>
            </w:r>
            <w:r>
              <w:rPr>
                <w:rFonts w:hint="default" w:ascii="Times New Roman" w:hAnsi="Times New Roman" w:cs="Times New Roman"/>
                <w:color w:val="auto"/>
                <w:sz w:val="24"/>
                <w:highlight w:val="none"/>
              </w:rPr>
              <w:t>，类比分析本项目所在区域</w:t>
            </w:r>
            <w:r>
              <w:rPr>
                <w:rFonts w:hint="eastAsia" w:ascii="Times New Roman" w:hAnsi="Times New Roman" w:cs="Times New Roman"/>
                <w:color w:val="auto"/>
                <w:sz w:val="24"/>
                <w:highlight w:val="none"/>
                <w:lang w:val="en-US" w:eastAsia="zh-CN"/>
              </w:rPr>
              <w:t>汉江</w:t>
            </w:r>
            <w:r>
              <w:rPr>
                <w:rFonts w:hint="default" w:ascii="Times New Roman" w:hAnsi="Times New Roman" w:cs="Times New Roman"/>
                <w:color w:val="auto"/>
                <w:sz w:val="24"/>
                <w:highlight w:val="none"/>
              </w:rPr>
              <w:t>水环境质量良好。</w:t>
            </w:r>
          </w:p>
          <w:p w14:paraId="63923A3D">
            <w:pPr>
              <w:pStyle w:val="16"/>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lang w:val="en-US" w:eastAsia="zh-CN"/>
              </w:rPr>
              <w:t>声</w:t>
            </w:r>
            <w:r>
              <w:rPr>
                <w:rFonts w:hint="default" w:ascii="Times New Roman" w:hAnsi="Times New Roman" w:cs="Times New Roman"/>
                <w:b/>
                <w:bCs/>
                <w:color w:val="auto"/>
                <w:sz w:val="24"/>
                <w:szCs w:val="24"/>
                <w:highlight w:val="none"/>
                <w:lang w:eastAsia="zh-CN"/>
              </w:rPr>
              <w:t>环境</w:t>
            </w:r>
            <w:r>
              <w:rPr>
                <w:rFonts w:hint="default" w:ascii="Times New Roman" w:hAnsi="Times New Roman" w:eastAsia="宋体" w:cs="Times New Roman"/>
                <w:b/>
                <w:bCs/>
                <w:color w:val="auto"/>
                <w:sz w:val="24"/>
                <w:szCs w:val="24"/>
                <w:highlight w:val="none"/>
              </w:rPr>
              <w:t>质量现状</w:t>
            </w:r>
          </w:p>
          <w:p w14:paraId="3759BE35">
            <w:pPr>
              <w:spacing w:line="360" w:lineRule="auto"/>
              <w:ind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为了解本项目所在区域声环境质量现状，本环评采用现场监测的方法。</w:t>
            </w:r>
          </w:p>
          <w:p w14:paraId="160051B0">
            <w:pPr>
              <w:spacing w:line="360" w:lineRule="auto"/>
              <w:ind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①监测布点</w:t>
            </w:r>
          </w:p>
          <w:p w14:paraId="0F312BA9">
            <w:pPr>
              <w:spacing w:line="360" w:lineRule="auto"/>
              <w:ind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根据项目所在区域的自然和社会环境状况，在项目</w:t>
            </w:r>
            <w:r>
              <w:rPr>
                <w:rFonts w:hint="eastAsia" w:ascii="Times New Roman" w:hAnsi="Times New Roman" w:eastAsia="宋体" w:cs="Times New Roman"/>
                <w:color w:val="auto"/>
                <w:sz w:val="24"/>
                <w:szCs w:val="32"/>
                <w:highlight w:val="none"/>
                <w:lang w:val="en-US" w:eastAsia="zh-CN"/>
              </w:rPr>
              <w:t>光伏场敏感目标</w:t>
            </w:r>
            <w:r>
              <w:rPr>
                <w:rFonts w:hint="default" w:ascii="Times New Roman" w:hAnsi="Times New Roman" w:eastAsia="宋体" w:cs="Times New Roman"/>
                <w:color w:val="auto"/>
                <w:sz w:val="24"/>
                <w:szCs w:val="32"/>
                <w:highlight w:val="none"/>
                <w:lang w:eastAsia="zh-CN"/>
              </w:rPr>
              <w:t>布设</w:t>
            </w:r>
            <w:r>
              <w:rPr>
                <w:rFonts w:hint="eastAsia" w:ascii="Times New Roman" w:hAnsi="Times New Roman" w:eastAsia="宋体" w:cs="Times New Roman"/>
                <w:color w:val="auto"/>
                <w:sz w:val="24"/>
                <w:szCs w:val="32"/>
                <w:highlight w:val="none"/>
                <w:lang w:val="en-US" w:eastAsia="zh-CN"/>
              </w:rPr>
              <w:t>12</w:t>
            </w:r>
            <w:r>
              <w:rPr>
                <w:rFonts w:hint="default" w:ascii="Times New Roman" w:hAnsi="Times New Roman" w:eastAsia="宋体" w:cs="Times New Roman"/>
                <w:color w:val="auto"/>
                <w:sz w:val="24"/>
                <w:szCs w:val="32"/>
                <w:highlight w:val="none"/>
                <w:lang w:eastAsia="zh-CN"/>
              </w:rPr>
              <w:t>个噪声监测点。监测仪器采用噪声统计分析仪。监测方法按照《声环境质量标准》（GB3096-2008）要求进行。</w:t>
            </w:r>
          </w:p>
          <w:p w14:paraId="1C641D7D">
            <w:pPr>
              <w:spacing w:line="360" w:lineRule="auto"/>
              <w:ind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②监测因子及监测方法</w:t>
            </w:r>
          </w:p>
          <w:p w14:paraId="5C5DB2B6">
            <w:pPr>
              <w:spacing w:line="360" w:lineRule="auto"/>
              <w:ind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监测因子为等效连续A声级，测量方法按《声环境质量标准》（GB3096-2008）进行。</w:t>
            </w:r>
          </w:p>
          <w:p w14:paraId="09362406">
            <w:pPr>
              <w:spacing w:line="360" w:lineRule="auto"/>
              <w:ind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③监测时间及频率</w:t>
            </w:r>
          </w:p>
          <w:p w14:paraId="0EE8B565">
            <w:pPr>
              <w:spacing w:line="360" w:lineRule="auto"/>
              <w:ind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监测工作噪声监测时间为202</w:t>
            </w:r>
            <w:r>
              <w:rPr>
                <w:rFonts w:hint="eastAsia" w:ascii="Times New Roman" w:hAnsi="Times New Roman" w:eastAsia="宋体" w:cs="Times New Roman"/>
                <w:color w:val="auto"/>
                <w:sz w:val="24"/>
                <w:szCs w:val="32"/>
                <w:highlight w:val="none"/>
                <w:lang w:val="en-US" w:eastAsia="zh-CN"/>
              </w:rPr>
              <w:t>4</w:t>
            </w:r>
            <w:r>
              <w:rPr>
                <w:rFonts w:hint="default" w:ascii="Times New Roman" w:hAnsi="Times New Roman" w:eastAsia="宋体" w:cs="Times New Roman"/>
                <w:color w:val="auto"/>
                <w:sz w:val="24"/>
                <w:szCs w:val="32"/>
                <w:highlight w:val="none"/>
                <w:lang w:eastAsia="zh-CN"/>
              </w:rPr>
              <w:t>年</w:t>
            </w:r>
            <w:r>
              <w:rPr>
                <w:rFonts w:hint="eastAsia" w:ascii="Times New Roman" w:hAnsi="Times New Roman" w:eastAsia="宋体" w:cs="Times New Roman"/>
                <w:color w:val="auto"/>
                <w:sz w:val="24"/>
                <w:szCs w:val="32"/>
                <w:highlight w:val="none"/>
                <w:lang w:val="en-US" w:eastAsia="zh-CN"/>
              </w:rPr>
              <w:t>3</w:t>
            </w:r>
            <w:r>
              <w:rPr>
                <w:rFonts w:hint="default" w:ascii="Times New Roman" w:hAnsi="Times New Roman" w:eastAsia="宋体" w:cs="Times New Roman"/>
                <w:color w:val="auto"/>
                <w:sz w:val="24"/>
                <w:szCs w:val="32"/>
                <w:highlight w:val="none"/>
                <w:lang w:eastAsia="zh-CN"/>
              </w:rPr>
              <w:t>月</w:t>
            </w:r>
            <w:r>
              <w:rPr>
                <w:rFonts w:hint="eastAsia" w:ascii="Times New Roman" w:hAnsi="Times New Roman" w:eastAsia="宋体" w:cs="Times New Roman"/>
                <w:color w:val="auto"/>
                <w:sz w:val="24"/>
                <w:szCs w:val="32"/>
                <w:highlight w:val="none"/>
                <w:lang w:val="en-US" w:eastAsia="zh-CN"/>
              </w:rPr>
              <w:t>29</w:t>
            </w:r>
            <w:r>
              <w:rPr>
                <w:rFonts w:hint="default" w:ascii="Times New Roman" w:hAnsi="Times New Roman" w:eastAsia="宋体" w:cs="Times New Roman"/>
                <w:color w:val="auto"/>
                <w:sz w:val="24"/>
                <w:szCs w:val="32"/>
                <w:highlight w:val="none"/>
                <w:lang w:eastAsia="zh-CN"/>
              </w:rPr>
              <w:t>日</w:t>
            </w:r>
            <w:r>
              <w:rPr>
                <w:rFonts w:hint="eastAsia" w:ascii="Times New Roman" w:hAnsi="Times New Roman" w:eastAsia="宋体" w:cs="Times New Roman"/>
                <w:color w:val="auto"/>
                <w:sz w:val="24"/>
                <w:szCs w:val="32"/>
                <w:highlight w:val="none"/>
                <w:lang w:val="en-US" w:eastAsia="zh-CN"/>
              </w:rPr>
              <w:t>-</w:t>
            </w:r>
            <w:r>
              <w:rPr>
                <w:rFonts w:hint="default" w:ascii="Times New Roman" w:hAnsi="Times New Roman" w:eastAsia="宋体" w:cs="Times New Roman"/>
                <w:color w:val="auto"/>
                <w:sz w:val="24"/>
                <w:szCs w:val="32"/>
                <w:highlight w:val="none"/>
                <w:lang w:eastAsia="zh-CN"/>
              </w:rPr>
              <w:t>202</w:t>
            </w:r>
            <w:r>
              <w:rPr>
                <w:rFonts w:hint="eastAsia" w:ascii="Times New Roman" w:hAnsi="Times New Roman" w:eastAsia="宋体" w:cs="Times New Roman"/>
                <w:color w:val="auto"/>
                <w:sz w:val="24"/>
                <w:szCs w:val="32"/>
                <w:highlight w:val="none"/>
                <w:lang w:val="en-US" w:eastAsia="zh-CN"/>
              </w:rPr>
              <w:t>4</w:t>
            </w:r>
            <w:r>
              <w:rPr>
                <w:rFonts w:hint="default" w:ascii="Times New Roman" w:hAnsi="Times New Roman" w:eastAsia="宋体" w:cs="Times New Roman"/>
                <w:color w:val="auto"/>
                <w:sz w:val="24"/>
                <w:szCs w:val="32"/>
                <w:highlight w:val="none"/>
                <w:lang w:eastAsia="zh-CN"/>
              </w:rPr>
              <w:t>年</w:t>
            </w:r>
            <w:r>
              <w:rPr>
                <w:rFonts w:hint="eastAsia" w:ascii="Times New Roman" w:hAnsi="Times New Roman" w:eastAsia="宋体" w:cs="Times New Roman"/>
                <w:color w:val="auto"/>
                <w:sz w:val="24"/>
                <w:szCs w:val="32"/>
                <w:highlight w:val="none"/>
                <w:lang w:val="en-US" w:eastAsia="zh-CN"/>
              </w:rPr>
              <w:t>3</w:t>
            </w:r>
            <w:r>
              <w:rPr>
                <w:rFonts w:hint="default" w:ascii="Times New Roman" w:hAnsi="Times New Roman" w:eastAsia="宋体" w:cs="Times New Roman"/>
                <w:color w:val="auto"/>
                <w:sz w:val="24"/>
                <w:szCs w:val="32"/>
                <w:highlight w:val="none"/>
                <w:lang w:eastAsia="zh-CN"/>
              </w:rPr>
              <w:t>月</w:t>
            </w:r>
            <w:r>
              <w:rPr>
                <w:rFonts w:hint="eastAsia" w:ascii="Times New Roman" w:hAnsi="Times New Roman" w:eastAsia="宋体" w:cs="Times New Roman"/>
                <w:color w:val="auto"/>
                <w:sz w:val="24"/>
                <w:szCs w:val="32"/>
                <w:highlight w:val="none"/>
                <w:lang w:val="en-US" w:eastAsia="zh-CN"/>
              </w:rPr>
              <w:t>30</w:t>
            </w:r>
            <w:r>
              <w:rPr>
                <w:rFonts w:hint="default" w:ascii="Times New Roman" w:hAnsi="Times New Roman" w:eastAsia="宋体" w:cs="Times New Roman"/>
                <w:color w:val="auto"/>
                <w:sz w:val="24"/>
                <w:szCs w:val="32"/>
                <w:highlight w:val="none"/>
                <w:lang w:eastAsia="zh-CN"/>
              </w:rPr>
              <w:t>日，分昼间和夜间两时段监测。监测仪器为AWA</w:t>
            </w:r>
            <w:r>
              <w:rPr>
                <w:rFonts w:hint="eastAsia" w:ascii="Times New Roman" w:hAnsi="Times New Roman" w:eastAsia="宋体" w:cs="Times New Roman"/>
                <w:color w:val="auto"/>
                <w:sz w:val="24"/>
                <w:szCs w:val="32"/>
                <w:highlight w:val="none"/>
                <w:lang w:val="en-US" w:eastAsia="zh-CN"/>
              </w:rPr>
              <w:t>6228+</w:t>
            </w:r>
            <w:r>
              <w:rPr>
                <w:rFonts w:hint="default" w:ascii="Times New Roman" w:hAnsi="Times New Roman" w:eastAsia="宋体" w:cs="Times New Roman"/>
                <w:color w:val="auto"/>
                <w:sz w:val="24"/>
                <w:szCs w:val="32"/>
                <w:highlight w:val="none"/>
                <w:lang w:eastAsia="zh-CN"/>
              </w:rPr>
              <w:t>噪声统计分析仪进行，分昼间和夜间两个时段，各时段进行一次监测。</w:t>
            </w:r>
          </w:p>
          <w:p w14:paraId="44818FE0">
            <w:pPr>
              <w:spacing w:line="360" w:lineRule="auto"/>
              <w:ind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④监测方法及监测单位</w:t>
            </w:r>
          </w:p>
          <w:p w14:paraId="7B98257B">
            <w:pPr>
              <w:spacing w:line="360" w:lineRule="auto"/>
              <w:ind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监测方法按《声环境质量保证》（GB3096-2008）的规定进行。监测单位为</w:t>
            </w:r>
            <w:r>
              <w:rPr>
                <w:rFonts w:hint="eastAsia" w:ascii="Times New Roman" w:hAnsi="Times New Roman" w:eastAsia="宋体" w:cs="Times New Roman"/>
                <w:color w:val="auto"/>
                <w:sz w:val="24"/>
                <w:szCs w:val="32"/>
                <w:highlight w:val="none"/>
                <w:lang w:val="en-US" w:eastAsia="zh-CN"/>
              </w:rPr>
              <w:t>甘肃正青春环保科技有限公司</w:t>
            </w:r>
            <w:r>
              <w:rPr>
                <w:rFonts w:hint="default" w:ascii="Times New Roman" w:hAnsi="Times New Roman" w:eastAsia="宋体" w:cs="Times New Roman"/>
                <w:color w:val="auto"/>
                <w:sz w:val="24"/>
                <w:szCs w:val="32"/>
                <w:highlight w:val="none"/>
                <w:lang w:eastAsia="zh-CN"/>
              </w:rPr>
              <w:t>。</w:t>
            </w:r>
          </w:p>
          <w:p w14:paraId="3A320905">
            <w:pPr>
              <w:spacing w:line="360" w:lineRule="auto"/>
              <w:ind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⑤评价标准</w:t>
            </w:r>
          </w:p>
          <w:p w14:paraId="79D42FD9">
            <w:pPr>
              <w:spacing w:line="360" w:lineRule="auto"/>
              <w:ind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本项目在农村地区，光伏区项目四周场界执行《声环境质量标准》（GB3096-2008）中</w:t>
            </w:r>
            <w:r>
              <w:rPr>
                <w:rFonts w:hint="default" w:ascii="Times New Roman" w:hAnsi="Times New Roman" w:eastAsia="宋体" w:cs="Times New Roman"/>
                <w:color w:val="auto"/>
                <w:sz w:val="24"/>
                <w:szCs w:val="32"/>
                <w:highlight w:val="none"/>
                <w:lang w:val="en-US" w:eastAsia="zh-CN"/>
              </w:rPr>
              <w:t>1</w:t>
            </w:r>
            <w:r>
              <w:rPr>
                <w:rFonts w:hint="default" w:ascii="Times New Roman" w:hAnsi="Times New Roman" w:eastAsia="宋体" w:cs="Times New Roman"/>
                <w:color w:val="auto"/>
                <w:sz w:val="24"/>
                <w:szCs w:val="32"/>
                <w:highlight w:val="none"/>
                <w:lang w:eastAsia="zh-CN"/>
              </w:rPr>
              <w:t>类区标准，即昼间</w:t>
            </w:r>
            <w:r>
              <w:rPr>
                <w:rFonts w:hint="default" w:ascii="Times New Roman" w:hAnsi="Times New Roman" w:eastAsia="宋体" w:cs="Times New Roman"/>
                <w:color w:val="auto"/>
                <w:sz w:val="24"/>
                <w:szCs w:val="32"/>
                <w:highlight w:val="none"/>
                <w:lang w:val="en-US" w:eastAsia="zh-CN"/>
              </w:rPr>
              <w:t>55</w:t>
            </w:r>
            <w:r>
              <w:rPr>
                <w:rFonts w:hint="default" w:ascii="Times New Roman" w:hAnsi="Times New Roman" w:eastAsia="宋体" w:cs="Times New Roman"/>
                <w:color w:val="auto"/>
                <w:sz w:val="24"/>
                <w:szCs w:val="32"/>
                <w:highlight w:val="none"/>
                <w:lang w:eastAsia="zh-CN"/>
              </w:rPr>
              <w:t>dB(A)，夜间</w:t>
            </w:r>
            <w:r>
              <w:rPr>
                <w:rFonts w:hint="default" w:ascii="Times New Roman" w:hAnsi="Times New Roman" w:eastAsia="宋体" w:cs="Times New Roman"/>
                <w:color w:val="auto"/>
                <w:sz w:val="24"/>
                <w:szCs w:val="32"/>
                <w:highlight w:val="none"/>
                <w:lang w:val="en-US" w:eastAsia="zh-CN"/>
              </w:rPr>
              <w:t>45</w:t>
            </w:r>
            <w:r>
              <w:rPr>
                <w:rFonts w:hint="default" w:ascii="Times New Roman" w:hAnsi="Times New Roman" w:eastAsia="宋体" w:cs="Times New Roman"/>
                <w:color w:val="auto"/>
                <w:sz w:val="24"/>
                <w:szCs w:val="32"/>
                <w:highlight w:val="none"/>
                <w:lang w:eastAsia="zh-CN"/>
              </w:rPr>
              <w:t>dB(A)。</w:t>
            </w:r>
          </w:p>
          <w:p w14:paraId="083C5799">
            <w:pPr>
              <w:spacing w:line="360" w:lineRule="auto"/>
              <w:ind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⑥评价方法</w:t>
            </w:r>
          </w:p>
          <w:p w14:paraId="5FE9E5E0">
            <w:pPr>
              <w:spacing w:line="360" w:lineRule="auto"/>
              <w:ind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评价方法采用标准值直接比较的方法。</w:t>
            </w:r>
          </w:p>
          <w:p w14:paraId="4226814C">
            <w:pPr>
              <w:spacing w:line="360" w:lineRule="auto"/>
              <w:ind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⑦监测及评价结果</w:t>
            </w:r>
          </w:p>
          <w:p w14:paraId="429235DD">
            <w:pPr>
              <w:spacing w:line="360" w:lineRule="auto"/>
              <w:ind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项目区噪声监测结果及评价结果见表3-</w:t>
            </w:r>
            <w:r>
              <w:rPr>
                <w:rFonts w:hint="eastAsia" w:ascii="Times New Roman" w:hAnsi="Times New Roman" w:eastAsia="宋体" w:cs="Times New Roman"/>
                <w:color w:val="auto"/>
                <w:sz w:val="24"/>
                <w:szCs w:val="32"/>
                <w:highlight w:val="none"/>
                <w:lang w:val="en-US" w:eastAsia="zh-CN"/>
              </w:rPr>
              <w:t>3</w:t>
            </w:r>
            <w:r>
              <w:rPr>
                <w:rFonts w:hint="default" w:ascii="Times New Roman" w:hAnsi="Times New Roman" w:eastAsia="宋体" w:cs="Times New Roman"/>
                <w:color w:val="auto"/>
                <w:sz w:val="24"/>
                <w:szCs w:val="32"/>
                <w:highlight w:val="none"/>
                <w:lang w:eastAsia="zh-CN"/>
              </w:rPr>
              <w:t>。</w:t>
            </w:r>
          </w:p>
          <w:p w14:paraId="2749C72F">
            <w:pPr>
              <w:spacing w:line="360" w:lineRule="auto"/>
              <w:ind w:firstLine="422" w:firstLineChars="200"/>
              <w:jc w:val="center"/>
              <w:rPr>
                <w:rFonts w:hint="default" w:ascii="Times New Roman" w:hAnsi="Times New Roman" w:eastAsia="宋体" w:cs="Times New Roman"/>
                <w:b/>
                <w:bCs/>
                <w:color w:val="auto"/>
                <w:sz w:val="21"/>
                <w:szCs w:val="24"/>
                <w:highlight w:val="none"/>
                <w:lang w:eastAsia="zh-CN"/>
              </w:rPr>
            </w:pPr>
            <w:r>
              <w:rPr>
                <w:rFonts w:hint="default" w:ascii="Times New Roman" w:hAnsi="Times New Roman" w:eastAsia="宋体" w:cs="Times New Roman"/>
                <w:b/>
                <w:bCs/>
                <w:color w:val="auto"/>
                <w:sz w:val="21"/>
                <w:szCs w:val="24"/>
                <w:highlight w:val="none"/>
                <w:lang w:eastAsia="zh-CN"/>
              </w:rPr>
              <w:t>表3-</w:t>
            </w:r>
            <w:r>
              <w:rPr>
                <w:rFonts w:hint="eastAsia" w:ascii="Times New Roman" w:hAnsi="Times New Roman" w:eastAsia="宋体" w:cs="Times New Roman"/>
                <w:b/>
                <w:bCs/>
                <w:color w:val="auto"/>
                <w:sz w:val="21"/>
                <w:szCs w:val="24"/>
                <w:highlight w:val="none"/>
                <w:lang w:val="en-US" w:eastAsia="zh-CN"/>
              </w:rPr>
              <w:t>3</w:t>
            </w:r>
            <w:r>
              <w:rPr>
                <w:rFonts w:hint="default" w:ascii="Times New Roman" w:hAnsi="Times New Roman" w:eastAsia="宋体" w:cs="Times New Roman"/>
                <w:b/>
                <w:bCs/>
                <w:color w:val="auto"/>
                <w:sz w:val="21"/>
                <w:szCs w:val="24"/>
                <w:highlight w:val="none"/>
                <w:lang w:eastAsia="zh-CN"/>
              </w:rPr>
              <w:t>区域声环境质量现状评价结果一览表</w:t>
            </w:r>
          </w:p>
          <w:tbl>
            <w:tblPr>
              <w:tblStyle w:val="2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989"/>
              <w:gridCol w:w="3416"/>
              <w:gridCol w:w="1237"/>
              <w:gridCol w:w="742"/>
              <w:gridCol w:w="886"/>
            </w:tblGrid>
            <w:tr w14:paraId="1BD4A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1234" w:type="dxa"/>
                  <w:vMerge w:val="restart"/>
                  <w:tcBorders>
                    <w:tl2br w:val="nil"/>
                    <w:tr2bl w:val="nil"/>
                  </w:tcBorders>
                  <w:vAlign w:val="center"/>
                </w:tcPr>
                <w:p w14:paraId="5375C4D8">
                  <w:pPr>
                    <w:adjustRightInd w:val="0"/>
                    <w:snapToGrid w:val="0"/>
                    <w:jc w:val="center"/>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检测日期</w:t>
                  </w:r>
                </w:p>
              </w:tc>
              <w:tc>
                <w:tcPr>
                  <w:tcW w:w="989" w:type="dxa"/>
                  <w:vMerge w:val="restart"/>
                  <w:tcBorders>
                    <w:tl2br w:val="nil"/>
                    <w:tr2bl w:val="nil"/>
                  </w:tcBorders>
                  <w:vAlign w:val="center"/>
                </w:tcPr>
                <w:p w14:paraId="4F26AF9B">
                  <w:pPr>
                    <w:adjustRightInd w:val="0"/>
                    <w:snapToGrid w:val="0"/>
                    <w:jc w:val="center"/>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类别</w:t>
                  </w:r>
                </w:p>
              </w:tc>
              <w:tc>
                <w:tcPr>
                  <w:tcW w:w="3416" w:type="dxa"/>
                  <w:vMerge w:val="restart"/>
                  <w:tcBorders>
                    <w:tl2br w:val="nil"/>
                    <w:tr2bl w:val="nil"/>
                  </w:tcBorders>
                  <w:vAlign w:val="center"/>
                </w:tcPr>
                <w:p w14:paraId="66071CC5">
                  <w:pPr>
                    <w:adjustRightInd w:val="0"/>
                    <w:snapToGrid w:val="0"/>
                    <w:jc w:val="center"/>
                    <w:rPr>
                      <w:rFonts w:hint="default" w:ascii="Times New Roman" w:hAnsi="Times New Roman" w:eastAsia="宋体" w:cs="Times New Roman"/>
                      <w:b w:val="0"/>
                      <w:bCs/>
                      <w:color w:val="auto"/>
                      <w:sz w:val="21"/>
                      <w:szCs w:val="21"/>
                      <w:lang w:val="en-US" w:eastAsia="zh-CN"/>
                    </w:rPr>
                  </w:pPr>
                  <w:r>
                    <w:rPr>
                      <w:rFonts w:ascii="Times New Roman" w:hAnsi="Times New Roman" w:eastAsia="宋体" w:cs="Times New Roman"/>
                      <w:b w:val="0"/>
                      <w:bCs/>
                      <w:color w:val="auto"/>
                      <w:sz w:val="21"/>
                      <w:szCs w:val="21"/>
                    </w:rPr>
                    <w:t>测点名称</w:t>
                  </w:r>
                </w:p>
              </w:tc>
              <w:tc>
                <w:tcPr>
                  <w:tcW w:w="1237" w:type="dxa"/>
                  <w:vMerge w:val="restart"/>
                  <w:tcBorders>
                    <w:tl2br w:val="nil"/>
                    <w:tr2bl w:val="nil"/>
                  </w:tcBorders>
                  <w:vAlign w:val="center"/>
                </w:tcPr>
                <w:p w14:paraId="17CE954D">
                  <w:pPr>
                    <w:adjustRightInd w:val="0"/>
                    <w:snapToGrid w:val="0"/>
                    <w:jc w:val="center"/>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检测因子</w:t>
                  </w:r>
                </w:p>
              </w:tc>
              <w:tc>
                <w:tcPr>
                  <w:tcW w:w="1628" w:type="dxa"/>
                  <w:gridSpan w:val="2"/>
                  <w:tcBorders>
                    <w:tl2br w:val="nil"/>
                    <w:tr2bl w:val="nil"/>
                  </w:tcBorders>
                  <w:vAlign w:val="center"/>
                </w:tcPr>
                <w:p w14:paraId="322375E7">
                  <w:pPr>
                    <w:adjustRightInd w:val="0"/>
                    <w:snapToGrid w:val="0"/>
                    <w:jc w:val="center"/>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检测结果</w:t>
                  </w:r>
                </w:p>
              </w:tc>
            </w:tr>
            <w:tr w14:paraId="26F7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continue"/>
                  <w:tcBorders>
                    <w:tl2br w:val="nil"/>
                    <w:tr2bl w:val="nil"/>
                  </w:tcBorders>
                  <w:vAlign w:val="center"/>
                </w:tcPr>
                <w:p w14:paraId="044C51AE">
                  <w:pPr>
                    <w:adjustRightInd w:val="0"/>
                    <w:snapToGrid w:val="0"/>
                    <w:jc w:val="center"/>
                    <w:rPr>
                      <w:rFonts w:ascii="Times New Roman" w:hAnsi="Times New Roman" w:eastAsia="宋体" w:cs="Times New Roman"/>
                      <w:b w:val="0"/>
                      <w:bCs/>
                      <w:color w:val="auto"/>
                      <w:sz w:val="21"/>
                      <w:szCs w:val="21"/>
                    </w:rPr>
                  </w:pPr>
                </w:p>
              </w:tc>
              <w:tc>
                <w:tcPr>
                  <w:tcW w:w="989" w:type="dxa"/>
                  <w:vMerge w:val="continue"/>
                  <w:tcBorders>
                    <w:tl2br w:val="nil"/>
                    <w:tr2bl w:val="nil"/>
                  </w:tcBorders>
                  <w:vAlign w:val="center"/>
                </w:tcPr>
                <w:p w14:paraId="181610EC">
                  <w:pPr>
                    <w:adjustRightInd w:val="0"/>
                    <w:snapToGrid w:val="0"/>
                    <w:jc w:val="center"/>
                    <w:rPr>
                      <w:rFonts w:ascii="Times New Roman" w:hAnsi="Times New Roman" w:eastAsia="宋体" w:cs="Times New Roman"/>
                      <w:b w:val="0"/>
                      <w:bCs/>
                      <w:color w:val="auto"/>
                      <w:sz w:val="21"/>
                      <w:szCs w:val="21"/>
                    </w:rPr>
                  </w:pPr>
                </w:p>
              </w:tc>
              <w:tc>
                <w:tcPr>
                  <w:tcW w:w="3416" w:type="dxa"/>
                  <w:vMerge w:val="continue"/>
                  <w:tcBorders>
                    <w:tl2br w:val="nil"/>
                    <w:tr2bl w:val="nil"/>
                  </w:tcBorders>
                  <w:vAlign w:val="center"/>
                </w:tcPr>
                <w:p w14:paraId="176632AA">
                  <w:pPr>
                    <w:adjustRightInd w:val="0"/>
                    <w:snapToGrid w:val="0"/>
                    <w:jc w:val="center"/>
                    <w:rPr>
                      <w:rFonts w:ascii="Times New Roman" w:hAnsi="Times New Roman" w:eastAsia="宋体" w:cs="Times New Roman"/>
                      <w:b w:val="0"/>
                      <w:bCs/>
                      <w:color w:val="auto"/>
                      <w:sz w:val="21"/>
                      <w:szCs w:val="21"/>
                    </w:rPr>
                  </w:pPr>
                </w:p>
              </w:tc>
              <w:tc>
                <w:tcPr>
                  <w:tcW w:w="1237" w:type="dxa"/>
                  <w:vMerge w:val="continue"/>
                  <w:tcBorders>
                    <w:tl2br w:val="nil"/>
                    <w:tr2bl w:val="nil"/>
                  </w:tcBorders>
                  <w:vAlign w:val="center"/>
                </w:tcPr>
                <w:p w14:paraId="6D965A68">
                  <w:pPr>
                    <w:adjustRightInd w:val="0"/>
                    <w:snapToGrid w:val="0"/>
                    <w:jc w:val="center"/>
                    <w:rPr>
                      <w:rFonts w:ascii="Times New Roman" w:hAnsi="Times New Roman" w:eastAsia="宋体" w:cs="Times New Roman"/>
                      <w:b w:val="0"/>
                      <w:bCs/>
                      <w:color w:val="auto"/>
                      <w:sz w:val="21"/>
                      <w:szCs w:val="21"/>
                    </w:rPr>
                  </w:pPr>
                </w:p>
              </w:tc>
              <w:tc>
                <w:tcPr>
                  <w:tcW w:w="742" w:type="dxa"/>
                  <w:tcBorders>
                    <w:tl2br w:val="nil"/>
                    <w:tr2bl w:val="nil"/>
                  </w:tcBorders>
                  <w:vAlign w:val="center"/>
                </w:tcPr>
                <w:p w14:paraId="15483E6F">
                  <w:pPr>
                    <w:adjustRightInd w:val="0"/>
                    <w:snapToGrid w:val="0"/>
                    <w:jc w:val="both"/>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昼间</w:t>
                  </w:r>
                </w:p>
              </w:tc>
              <w:tc>
                <w:tcPr>
                  <w:tcW w:w="886" w:type="dxa"/>
                  <w:tcBorders>
                    <w:tl2br w:val="nil"/>
                    <w:tr2bl w:val="nil"/>
                  </w:tcBorders>
                  <w:vAlign w:val="center"/>
                </w:tcPr>
                <w:p w14:paraId="5D9D36F7">
                  <w:pPr>
                    <w:adjustRightInd w:val="0"/>
                    <w:snapToGrid w:val="0"/>
                    <w:jc w:val="center"/>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夜间</w:t>
                  </w:r>
                </w:p>
              </w:tc>
            </w:tr>
            <w:tr w14:paraId="3A69C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restart"/>
                  <w:tcBorders>
                    <w:tl2br w:val="nil"/>
                    <w:tr2bl w:val="nil"/>
                  </w:tcBorders>
                  <w:vAlign w:val="center"/>
                </w:tcPr>
                <w:p w14:paraId="18B25C8E">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2024-0</w:t>
                  </w:r>
                  <w:r>
                    <w:rPr>
                      <w:rFonts w:hint="eastAsia" w:ascii="Times New Roman" w:hAnsi="Times New Roman" w:eastAsia="宋体" w:cs="Times New Roman"/>
                      <w:b w:val="0"/>
                      <w:bCs/>
                      <w:color w:val="auto"/>
                      <w:sz w:val="21"/>
                      <w:szCs w:val="21"/>
                      <w:highlight w:val="none"/>
                      <w:lang w:val="en-US" w:eastAsia="zh-CN"/>
                    </w:rPr>
                    <w:t>3-29</w:t>
                  </w:r>
                </w:p>
              </w:tc>
              <w:tc>
                <w:tcPr>
                  <w:tcW w:w="989" w:type="dxa"/>
                  <w:vMerge w:val="restart"/>
                  <w:tcBorders>
                    <w:tl2br w:val="nil"/>
                    <w:tr2bl w:val="nil"/>
                  </w:tcBorders>
                  <w:vAlign w:val="center"/>
                </w:tcPr>
                <w:p w14:paraId="4157B75F">
                  <w:pPr>
                    <w:pStyle w:val="28"/>
                    <w:tabs>
                      <w:tab w:val="left" w:pos="3540"/>
                    </w:tabs>
                    <w:jc w:val="both"/>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rPr>
                    <w:t>噪声</w:t>
                  </w:r>
                </w:p>
              </w:tc>
              <w:tc>
                <w:tcPr>
                  <w:tcW w:w="3416" w:type="dxa"/>
                  <w:tcBorders>
                    <w:tl2br w:val="nil"/>
                    <w:tr2bl w:val="nil"/>
                  </w:tcBorders>
                  <w:vAlign w:val="center"/>
                </w:tcPr>
                <w:p w14:paraId="6298522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eastAsia="zh-CN"/>
                    </w:rPr>
                    <w:t>李家十字</w:t>
                  </w:r>
                  <w:r>
                    <w:rPr>
                      <w:rFonts w:hint="eastAsia" w:ascii="Times New Roman" w:hAnsi="Times New Roman" w:eastAsia="宋体" w:cs="Times New Roman"/>
                      <w:b w:val="0"/>
                      <w:bCs/>
                      <w:color w:val="auto"/>
                      <w:kern w:val="0"/>
                      <w:sz w:val="21"/>
                      <w:szCs w:val="21"/>
                      <w:highlight w:val="none"/>
                      <w:lang w:val="en-US" w:eastAsia="zh-CN"/>
                    </w:rPr>
                    <w:t>N1</w:t>
                  </w:r>
                </w:p>
              </w:tc>
              <w:tc>
                <w:tcPr>
                  <w:tcW w:w="1237" w:type="dxa"/>
                  <w:vMerge w:val="restart"/>
                  <w:tcBorders>
                    <w:tl2br w:val="nil"/>
                    <w:tr2bl w:val="nil"/>
                  </w:tcBorders>
                  <w:vAlign w:val="center"/>
                </w:tcPr>
                <w:p w14:paraId="20981F49">
                  <w:pPr>
                    <w:adjustRightInd w:val="0"/>
                    <w:snapToGrid w:val="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等效连续A声级</w:t>
                  </w:r>
                </w:p>
              </w:tc>
              <w:tc>
                <w:tcPr>
                  <w:tcW w:w="742" w:type="dxa"/>
                  <w:tcBorders>
                    <w:tl2br w:val="nil"/>
                    <w:tr2bl w:val="nil"/>
                  </w:tcBorders>
                  <w:shd w:val="clear" w:color="auto" w:fill="auto"/>
                  <w:vAlign w:val="center"/>
                </w:tcPr>
                <w:p w14:paraId="01F767DF">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39</w:t>
                  </w:r>
                </w:p>
              </w:tc>
              <w:tc>
                <w:tcPr>
                  <w:tcW w:w="886" w:type="dxa"/>
                  <w:tcBorders>
                    <w:tl2br w:val="nil"/>
                    <w:tr2bl w:val="nil"/>
                  </w:tcBorders>
                  <w:shd w:val="clear" w:color="auto" w:fill="auto"/>
                  <w:vAlign w:val="center"/>
                </w:tcPr>
                <w:p w14:paraId="57EB1733">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36</w:t>
                  </w:r>
                </w:p>
              </w:tc>
            </w:tr>
            <w:tr w14:paraId="324B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continue"/>
                  <w:tcBorders>
                    <w:tl2br w:val="nil"/>
                    <w:tr2bl w:val="nil"/>
                  </w:tcBorders>
                  <w:vAlign w:val="center"/>
                </w:tcPr>
                <w:p w14:paraId="532E1BBF">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p>
              </w:tc>
              <w:tc>
                <w:tcPr>
                  <w:tcW w:w="989" w:type="dxa"/>
                  <w:vMerge w:val="continue"/>
                  <w:tcBorders>
                    <w:tl2br w:val="nil"/>
                    <w:tr2bl w:val="nil"/>
                  </w:tcBorders>
                  <w:vAlign w:val="center"/>
                </w:tcPr>
                <w:p w14:paraId="754B696B">
                  <w:pPr>
                    <w:pStyle w:val="28"/>
                    <w:tabs>
                      <w:tab w:val="left" w:pos="3540"/>
                    </w:tabs>
                    <w:jc w:val="both"/>
                    <w:rPr>
                      <w:rFonts w:hint="default" w:ascii="Times New Roman" w:hAnsi="Times New Roman" w:cs="Times New Roman"/>
                      <w:b w:val="0"/>
                      <w:bCs/>
                      <w:color w:val="auto"/>
                      <w:sz w:val="21"/>
                      <w:szCs w:val="21"/>
                      <w:highlight w:val="none"/>
                    </w:rPr>
                  </w:pPr>
                </w:p>
              </w:tc>
              <w:tc>
                <w:tcPr>
                  <w:tcW w:w="3416" w:type="dxa"/>
                  <w:tcBorders>
                    <w:tl2br w:val="nil"/>
                    <w:tr2bl w:val="nil"/>
                  </w:tcBorders>
                  <w:vAlign w:val="center"/>
                </w:tcPr>
                <w:p w14:paraId="42B84BA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斗家村N2</w:t>
                  </w:r>
                </w:p>
              </w:tc>
              <w:tc>
                <w:tcPr>
                  <w:tcW w:w="1237" w:type="dxa"/>
                  <w:vMerge w:val="continue"/>
                  <w:tcBorders>
                    <w:tl2br w:val="nil"/>
                    <w:tr2bl w:val="nil"/>
                  </w:tcBorders>
                  <w:vAlign w:val="center"/>
                </w:tcPr>
                <w:p w14:paraId="59501F32">
                  <w:pPr>
                    <w:adjustRightInd w:val="0"/>
                    <w:snapToGrid w:val="0"/>
                    <w:jc w:val="center"/>
                    <w:rPr>
                      <w:rFonts w:hint="default" w:ascii="Times New Roman" w:hAnsi="Times New Roman" w:eastAsia="宋体" w:cs="Times New Roman"/>
                      <w:b w:val="0"/>
                      <w:bCs/>
                      <w:color w:val="auto"/>
                      <w:sz w:val="21"/>
                      <w:szCs w:val="21"/>
                      <w:highlight w:val="none"/>
                    </w:rPr>
                  </w:pPr>
                </w:p>
              </w:tc>
              <w:tc>
                <w:tcPr>
                  <w:tcW w:w="742" w:type="dxa"/>
                  <w:tcBorders>
                    <w:tl2br w:val="nil"/>
                    <w:tr2bl w:val="nil"/>
                  </w:tcBorders>
                  <w:shd w:val="clear" w:color="auto" w:fill="auto"/>
                  <w:vAlign w:val="center"/>
                </w:tcPr>
                <w:p w14:paraId="60DC6B2F">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41</w:t>
                  </w:r>
                </w:p>
              </w:tc>
              <w:tc>
                <w:tcPr>
                  <w:tcW w:w="886" w:type="dxa"/>
                  <w:tcBorders>
                    <w:tl2br w:val="nil"/>
                    <w:tr2bl w:val="nil"/>
                  </w:tcBorders>
                  <w:shd w:val="clear" w:color="auto" w:fill="auto"/>
                  <w:vAlign w:val="center"/>
                </w:tcPr>
                <w:p w14:paraId="04804117">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37</w:t>
                  </w:r>
                </w:p>
              </w:tc>
            </w:tr>
            <w:tr w14:paraId="3BC28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continue"/>
                  <w:tcBorders>
                    <w:tl2br w:val="nil"/>
                    <w:tr2bl w:val="nil"/>
                  </w:tcBorders>
                  <w:vAlign w:val="center"/>
                </w:tcPr>
                <w:p w14:paraId="52595A1D">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p>
              </w:tc>
              <w:tc>
                <w:tcPr>
                  <w:tcW w:w="989" w:type="dxa"/>
                  <w:vMerge w:val="continue"/>
                  <w:tcBorders>
                    <w:tl2br w:val="nil"/>
                    <w:tr2bl w:val="nil"/>
                  </w:tcBorders>
                  <w:vAlign w:val="center"/>
                </w:tcPr>
                <w:p w14:paraId="645AE292">
                  <w:pPr>
                    <w:pStyle w:val="28"/>
                    <w:tabs>
                      <w:tab w:val="left" w:pos="3540"/>
                    </w:tabs>
                    <w:jc w:val="both"/>
                    <w:rPr>
                      <w:rFonts w:hint="default" w:ascii="Times New Roman" w:hAnsi="Times New Roman" w:cs="Times New Roman"/>
                      <w:b w:val="0"/>
                      <w:bCs/>
                      <w:color w:val="auto"/>
                      <w:sz w:val="21"/>
                      <w:szCs w:val="21"/>
                      <w:highlight w:val="none"/>
                    </w:rPr>
                  </w:pPr>
                </w:p>
              </w:tc>
              <w:tc>
                <w:tcPr>
                  <w:tcW w:w="3416" w:type="dxa"/>
                  <w:tcBorders>
                    <w:tl2br w:val="nil"/>
                    <w:tr2bl w:val="nil"/>
                  </w:tcBorders>
                  <w:vAlign w:val="center"/>
                </w:tcPr>
                <w:p w14:paraId="7EF1698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白河村N3</w:t>
                  </w:r>
                </w:p>
              </w:tc>
              <w:tc>
                <w:tcPr>
                  <w:tcW w:w="1237" w:type="dxa"/>
                  <w:vMerge w:val="continue"/>
                  <w:tcBorders>
                    <w:tl2br w:val="nil"/>
                    <w:tr2bl w:val="nil"/>
                  </w:tcBorders>
                  <w:vAlign w:val="center"/>
                </w:tcPr>
                <w:p w14:paraId="634938DE">
                  <w:pPr>
                    <w:adjustRightInd w:val="0"/>
                    <w:snapToGrid w:val="0"/>
                    <w:jc w:val="center"/>
                    <w:rPr>
                      <w:rFonts w:hint="default" w:ascii="Times New Roman" w:hAnsi="Times New Roman" w:eastAsia="宋体" w:cs="Times New Roman"/>
                      <w:b w:val="0"/>
                      <w:bCs/>
                      <w:color w:val="auto"/>
                      <w:sz w:val="21"/>
                      <w:szCs w:val="21"/>
                      <w:highlight w:val="none"/>
                    </w:rPr>
                  </w:pPr>
                </w:p>
              </w:tc>
              <w:tc>
                <w:tcPr>
                  <w:tcW w:w="742" w:type="dxa"/>
                  <w:tcBorders>
                    <w:tl2br w:val="nil"/>
                    <w:tr2bl w:val="nil"/>
                  </w:tcBorders>
                  <w:shd w:val="clear" w:color="auto" w:fill="auto"/>
                  <w:vAlign w:val="center"/>
                </w:tcPr>
                <w:p w14:paraId="78743799">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38</w:t>
                  </w:r>
                </w:p>
              </w:tc>
              <w:tc>
                <w:tcPr>
                  <w:tcW w:w="886" w:type="dxa"/>
                  <w:tcBorders>
                    <w:tl2br w:val="nil"/>
                    <w:tr2bl w:val="nil"/>
                  </w:tcBorders>
                  <w:shd w:val="clear" w:color="auto" w:fill="auto"/>
                  <w:vAlign w:val="center"/>
                </w:tcPr>
                <w:p w14:paraId="23F262FD">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35</w:t>
                  </w:r>
                </w:p>
              </w:tc>
            </w:tr>
            <w:tr w14:paraId="641A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continue"/>
                  <w:tcBorders>
                    <w:tl2br w:val="nil"/>
                    <w:tr2bl w:val="nil"/>
                  </w:tcBorders>
                  <w:vAlign w:val="center"/>
                </w:tcPr>
                <w:p w14:paraId="6CBA678F">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p>
              </w:tc>
              <w:tc>
                <w:tcPr>
                  <w:tcW w:w="989" w:type="dxa"/>
                  <w:vMerge w:val="continue"/>
                  <w:tcBorders>
                    <w:tl2br w:val="nil"/>
                    <w:tr2bl w:val="nil"/>
                  </w:tcBorders>
                  <w:vAlign w:val="center"/>
                </w:tcPr>
                <w:p w14:paraId="185E7BC6">
                  <w:pPr>
                    <w:pStyle w:val="28"/>
                    <w:tabs>
                      <w:tab w:val="left" w:pos="3540"/>
                    </w:tabs>
                    <w:jc w:val="both"/>
                    <w:rPr>
                      <w:rFonts w:hint="default" w:ascii="Times New Roman" w:hAnsi="Times New Roman" w:cs="Times New Roman"/>
                      <w:b w:val="0"/>
                      <w:bCs/>
                      <w:color w:val="auto"/>
                      <w:sz w:val="21"/>
                      <w:szCs w:val="21"/>
                      <w:highlight w:val="none"/>
                    </w:rPr>
                  </w:pPr>
                </w:p>
              </w:tc>
              <w:tc>
                <w:tcPr>
                  <w:tcW w:w="3416" w:type="dxa"/>
                  <w:tcBorders>
                    <w:tl2br w:val="nil"/>
                    <w:tr2bl w:val="nil"/>
                  </w:tcBorders>
                  <w:vAlign w:val="center"/>
                </w:tcPr>
                <w:p w14:paraId="0F70F663">
                  <w:pPr>
                    <w:widowControl/>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王半坡N4</w:t>
                  </w:r>
                </w:p>
              </w:tc>
              <w:tc>
                <w:tcPr>
                  <w:tcW w:w="1237" w:type="dxa"/>
                  <w:vMerge w:val="continue"/>
                  <w:tcBorders>
                    <w:tl2br w:val="nil"/>
                    <w:tr2bl w:val="nil"/>
                  </w:tcBorders>
                  <w:vAlign w:val="center"/>
                </w:tcPr>
                <w:p w14:paraId="1548D71C">
                  <w:pPr>
                    <w:adjustRightInd w:val="0"/>
                    <w:snapToGrid w:val="0"/>
                    <w:jc w:val="center"/>
                    <w:rPr>
                      <w:rFonts w:hint="default" w:ascii="Times New Roman" w:hAnsi="Times New Roman" w:eastAsia="宋体" w:cs="Times New Roman"/>
                      <w:b w:val="0"/>
                      <w:bCs/>
                      <w:color w:val="auto"/>
                      <w:sz w:val="21"/>
                      <w:szCs w:val="21"/>
                      <w:highlight w:val="none"/>
                    </w:rPr>
                  </w:pPr>
                </w:p>
              </w:tc>
              <w:tc>
                <w:tcPr>
                  <w:tcW w:w="742" w:type="dxa"/>
                  <w:tcBorders>
                    <w:tl2br w:val="nil"/>
                    <w:tr2bl w:val="nil"/>
                  </w:tcBorders>
                  <w:shd w:val="clear" w:color="auto" w:fill="auto"/>
                  <w:vAlign w:val="center"/>
                </w:tcPr>
                <w:p w14:paraId="1FEF1BAF">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40</w:t>
                  </w:r>
                </w:p>
              </w:tc>
              <w:tc>
                <w:tcPr>
                  <w:tcW w:w="886" w:type="dxa"/>
                  <w:tcBorders>
                    <w:tl2br w:val="nil"/>
                    <w:tr2bl w:val="nil"/>
                  </w:tcBorders>
                  <w:shd w:val="clear" w:color="auto" w:fill="auto"/>
                  <w:vAlign w:val="center"/>
                </w:tcPr>
                <w:p w14:paraId="290D12C3">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35</w:t>
                  </w:r>
                </w:p>
              </w:tc>
            </w:tr>
            <w:tr w14:paraId="5AB9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continue"/>
                  <w:tcBorders>
                    <w:tl2br w:val="nil"/>
                    <w:tr2bl w:val="nil"/>
                  </w:tcBorders>
                  <w:vAlign w:val="center"/>
                </w:tcPr>
                <w:p w14:paraId="2C24F1F1">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p>
              </w:tc>
              <w:tc>
                <w:tcPr>
                  <w:tcW w:w="989" w:type="dxa"/>
                  <w:vMerge w:val="continue"/>
                  <w:tcBorders>
                    <w:tl2br w:val="nil"/>
                    <w:tr2bl w:val="nil"/>
                  </w:tcBorders>
                  <w:vAlign w:val="center"/>
                </w:tcPr>
                <w:p w14:paraId="5DAA716A">
                  <w:pPr>
                    <w:pStyle w:val="28"/>
                    <w:tabs>
                      <w:tab w:val="left" w:pos="3540"/>
                    </w:tabs>
                    <w:jc w:val="both"/>
                    <w:rPr>
                      <w:rFonts w:hint="default" w:ascii="Times New Roman" w:hAnsi="Times New Roman" w:cs="Times New Roman"/>
                      <w:b w:val="0"/>
                      <w:bCs/>
                      <w:color w:val="auto"/>
                      <w:sz w:val="21"/>
                      <w:szCs w:val="21"/>
                      <w:highlight w:val="none"/>
                    </w:rPr>
                  </w:pPr>
                </w:p>
              </w:tc>
              <w:tc>
                <w:tcPr>
                  <w:tcW w:w="3416" w:type="dxa"/>
                  <w:tcBorders>
                    <w:tl2br w:val="nil"/>
                    <w:tr2bl w:val="nil"/>
                  </w:tcBorders>
                  <w:vAlign w:val="center"/>
                </w:tcPr>
                <w:p w14:paraId="1F2D74C6">
                  <w:pPr>
                    <w:widowControl/>
                    <w:jc w:val="center"/>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王家山N5</w:t>
                  </w:r>
                </w:p>
              </w:tc>
              <w:tc>
                <w:tcPr>
                  <w:tcW w:w="1237" w:type="dxa"/>
                  <w:vMerge w:val="continue"/>
                  <w:tcBorders>
                    <w:tl2br w:val="nil"/>
                    <w:tr2bl w:val="nil"/>
                  </w:tcBorders>
                  <w:vAlign w:val="center"/>
                </w:tcPr>
                <w:p w14:paraId="7559561D">
                  <w:pPr>
                    <w:adjustRightInd w:val="0"/>
                    <w:snapToGrid w:val="0"/>
                    <w:jc w:val="center"/>
                    <w:rPr>
                      <w:rFonts w:hint="default" w:ascii="Times New Roman" w:hAnsi="Times New Roman" w:eastAsia="宋体" w:cs="Times New Roman"/>
                      <w:b w:val="0"/>
                      <w:bCs/>
                      <w:color w:val="auto"/>
                      <w:sz w:val="21"/>
                      <w:szCs w:val="21"/>
                      <w:highlight w:val="none"/>
                    </w:rPr>
                  </w:pPr>
                </w:p>
              </w:tc>
              <w:tc>
                <w:tcPr>
                  <w:tcW w:w="742" w:type="dxa"/>
                  <w:tcBorders>
                    <w:tl2br w:val="nil"/>
                    <w:tr2bl w:val="nil"/>
                  </w:tcBorders>
                  <w:shd w:val="clear" w:color="auto" w:fill="auto"/>
                  <w:vAlign w:val="center"/>
                </w:tcPr>
                <w:p w14:paraId="31048A06">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38</w:t>
                  </w:r>
                </w:p>
              </w:tc>
              <w:tc>
                <w:tcPr>
                  <w:tcW w:w="886" w:type="dxa"/>
                  <w:tcBorders>
                    <w:tl2br w:val="nil"/>
                    <w:tr2bl w:val="nil"/>
                  </w:tcBorders>
                  <w:shd w:val="clear" w:color="auto" w:fill="auto"/>
                  <w:vAlign w:val="center"/>
                </w:tcPr>
                <w:p w14:paraId="40A3B92F">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36</w:t>
                  </w:r>
                </w:p>
              </w:tc>
            </w:tr>
            <w:tr w14:paraId="30B21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continue"/>
                  <w:tcBorders>
                    <w:tl2br w:val="nil"/>
                    <w:tr2bl w:val="nil"/>
                  </w:tcBorders>
                  <w:vAlign w:val="center"/>
                </w:tcPr>
                <w:p w14:paraId="046704D4">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p>
              </w:tc>
              <w:tc>
                <w:tcPr>
                  <w:tcW w:w="989" w:type="dxa"/>
                  <w:vMerge w:val="continue"/>
                  <w:tcBorders>
                    <w:tl2br w:val="nil"/>
                    <w:tr2bl w:val="nil"/>
                  </w:tcBorders>
                  <w:vAlign w:val="center"/>
                </w:tcPr>
                <w:p w14:paraId="7C3C37F4">
                  <w:pPr>
                    <w:pStyle w:val="28"/>
                    <w:tabs>
                      <w:tab w:val="left" w:pos="3540"/>
                    </w:tabs>
                    <w:jc w:val="both"/>
                    <w:rPr>
                      <w:rFonts w:hint="default" w:ascii="Times New Roman" w:hAnsi="Times New Roman" w:eastAsia="宋体" w:cs="Times New Roman"/>
                      <w:b w:val="0"/>
                      <w:bCs/>
                      <w:color w:val="auto"/>
                      <w:sz w:val="21"/>
                      <w:szCs w:val="21"/>
                      <w:highlight w:val="none"/>
                      <w:lang w:val="en-US" w:eastAsia="zh-CN"/>
                    </w:rPr>
                  </w:pPr>
                </w:p>
              </w:tc>
              <w:tc>
                <w:tcPr>
                  <w:tcW w:w="3416" w:type="dxa"/>
                  <w:tcBorders>
                    <w:tl2br w:val="nil"/>
                    <w:tr2bl w:val="nil"/>
                  </w:tcBorders>
                  <w:vAlign w:val="center"/>
                </w:tcPr>
                <w:p w14:paraId="5EFAE827">
                  <w:pPr>
                    <w:widowControl/>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张山下N6</w:t>
                  </w:r>
                </w:p>
              </w:tc>
              <w:tc>
                <w:tcPr>
                  <w:tcW w:w="1237" w:type="dxa"/>
                  <w:vMerge w:val="continue"/>
                  <w:tcBorders>
                    <w:tl2br w:val="nil"/>
                    <w:tr2bl w:val="nil"/>
                  </w:tcBorders>
                  <w:vAlign w:val="center"/>
                </w:tcPr>
                <w:p w14:paraId="35EAD6D3">
                  <w:pPr>
                    <w:adjustRightInd w:val="0"/>
                    <w:snapToGrid w:val="0"/>
                    <w:jc w:val="center"/>
                    <w:rPr>
                      <w:rFonts w:hint="default" w:ascii="Times New Roman" w:hAnsi="Times New Roman" w:eastAsia="宋体" w:cs="Times New Roman"/>
                      <w:b w:val="0"/>
                      <w:bCs/>
                      <w:color w:val="auto"/>
                      <w:sz w:val="21"/>
                      <w:szCs w:val="21"/>
                      <w:highlight w:val="none"/>
                    </w:rPr>
                  </w:pPr>
                </w:p>
              </w:tc>
              <w:tc>
                <w:tcPr>
                  <w:tcW w:w="742" w:type="dxa"/>
                  <w:tcBorders>
                    <w:tl2br w:val="nil"/>
                    <w:tr2bl w:val="nil"/>
                  </w:tcBorders>
                  <w:shd w:val="clear" w:color="auto" w:fill="auto"/>
                  <w:vAlign w:val="center"/>
                </w:tcPr>
                <w:p w14:paraId="3B0567A7">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41</w:t>
                  </w:r>
                </w:p>
              </w:tc>
              <w:tc>
                <w:tcPr>
                  <w:tcW w:w="886" w:type="dxa"/>
                  <w:tcBorders>
                    <w:tl2br w:val="nil"/>
                    <w:tr2bl w:val="nil"/>
                  </w:tcBorders>
                  <w:shd w:val="clear" w:color="auto" w:fill="auto"/>
                  <w:vAlign w:val="center"/>
                </w:tcPr>
                <w:p w14:paraId="2CD05434">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37</w:t>
                  </w:r>
                </w:p>
              </w:tc>
            </w:tr>
            <w:tr w14:paraId="15AC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continue"/>
                  <w:tcBorders>
                    <w:tl2br w:val="nil"/>
                    <w:tr2bl w:val="nil"/>
                  </w:tcBorders>
                  <w:vAlign w:val="center"/>
                </w:tcPr>
                <w:p w14:paraId="3119B510">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p>
              </w:tc>
              <w:tc>
                <w:tcPr>
                  <w:tcW w:w="989" w:type="dxa"/>
                  <w:vMerge w:val="continue"/>
                  <w:tcBorders>
                    <w:tl2br w:val="nil"/>
                    <w:tr2bl w:val="nil"/>
                  </w:tcBorders>
                  <w:vAlign w:val="center"/>
                </w:tcPr>
                <w:p w14:paraId="77F4127E">
                  <w:pPr>
                    <w:pStyle w:val="28"/>
                    <w:tabs>
                      <w:tab w:val="left" w:pos="3540"/>
                    </w:tabs>
                    <w:jc w:val="both"/>
                    <w:rPr>
                      <w:rFonts w:hint="default" w:ascii="Times New Roman" w:hAnsi="Times New Roman" w:cs="Times New Roman"/>
                      <w:b w:val="0"/>
                      <w:bCs/>
                      <w:color w:val="auto"/>
                      <w:sz w:val="21"/>
                      <w:szCs w:val="21"/>
                      <w:highlight w:val="none"/>
                    </w:rPr>
                  </w:pPr>
                </w:p>
              </w:tc>
              <w:tc>
                <w:tcPr>
                  <w:tcW w:w="3416" w:type="dxa"/>
                  <w:tcBorders>
                    <w:tl2br w:val="nil"/>
                    <w:tr2bl w:val="nil"/>
                  </w:tcBorders>
                  <w:vAlign w:val="center"/>
                </w:tcPr>
                <w:p w14:paraId="0BA5F2E6">
                  <w:pPr>
                    <w:widowControl/>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沙河N7</w:t>
                  </w:r>
                </w:p>
              </w:tc>
              <w:tc>
                <w:tcPr>
                  <w:tcW w:w="1237" w:type="dxa"/>
                  <w:vMerge w:val="continue"/>
                  <w:tcBorders>
                    <w:tl2br w:val="nil"/>
                    <w:tr2bl w:val="nil"/>
                  </w:tcBorders>
                  <w:vAlign w:val="center"/>
                </w:tcPr>
                <w:p w14:paraId="23CF409E">
                  <w:pPr>
                    <w:adjustRightInd w:val="0"/>
                    <w:snapToGrid w:val="0"/>
                    <w:jc w:val="center"/>
                    <w:rPr>
                      <w:rFonts w:hint="default" w:ascii="Times New Roman" w:hAnsi="Times New Roman" w:eastAsia="宋体" w:cs="Times New Roman"/>
                      <w:b w:val="0"/>
                      <w:bCs/>
                      <w:color w:val="auto"/>
                      <w:sz w:val="21"/>
                      <w:szCs w:val="21"/>
                      <w:highlight w:val="none"/>
                    </w:rPr>
                  </w:pPr>
                </w:p>
              </w:tc>
              <w:tc>
                <w:tcPr>
                  <w:tcW w:w="742" w:type="dxa"/>
                  <w:tcBorders>
                    <w:tl2br w:val="nil"/>
                    <w:tr2bl w:val="nil"/>
                  </w:tcBorders>
                  <w:shd w:val="clear" w:color="auto" w:fill="auto"/>
                  <w:vAlign w:val="center"/>
                </w:tcPr>
                <w:p w14:paraId="11B6B27C">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42</w:t>
                  </w:r>
                </w:p>
              </w:tc>
              <w:tc>
                <w:tcPr>
                  <w:tcW w:w="886" w:type="dxa"/>
                  <w:tcBorders>
                    <w:tl2br w:val="nil"/>
                    <w:tr2bl w:val="nil"/>
                  </w:tcBorders>
                  <w:shd w:val="clear" w:color="auto" w:fill="auto"/>
                  <w:vAlign w:val="center"/>
                </w:tcPr>
                <w:p w14:paraId="42F3D3A6">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37</w:t>
                  </w:r>
                </w:p>
              </w:tc>
            </w:tr>
            <w:tr w14:paraId="19D9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continue"/>
                  <w:tcBorders>
                    <w:tl2br w:val="nil"/>
                    <w:tr2bl w:val="nil"/>
                  </w:tcBorders>
                  <w:vAlign w:val="center"/>
                </w:tcPr>
                <w:p w14:paraId="23D2FAA9">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p>
              </w:tc>
              <w:tc>
                <w:tcPr>
                  <w:tcW w:w="989" w:type="dxa"/>
                  <w:vMerge w:val="continue"/>
                  <w:tcBorders>
                    <w:tl2br w:val="nil"/>
                    <w:tr2bl w:val="nil"/>
                  </w:tcBorders>
                  <w:vAlign w:val="center"/>
                </w:tcPr>
                <w:p w14:paraId="4D7A108F">
                  <w:pPr>
                    <w:pStyle w:val="28"/>
                    <w:tabs>
                      <w:tab w:val="left" w:pos="3540"/>
                    </w:tabs>
                    <w:jc w:val="both"/>
                    <w:rPr>
                      <w:rFonts w:hint="default" w:ascii="Times New Roman" w:hAnsi="Times New Roman" w:cs="Times New Roman"/>
                      <w:b w:val="0"/>
                      <w:bCs/>
                      <w:color w:val="auto"/>
                      <w:sz w:val="21"/>
                      <w:szCs w:val="21"/>
                      <w:highlight w:val="none"/>
                    </w:rPr>
                  </w:pPr>
                </w:p>
              </w:tc>
              <w:tc>
                <w:tcPr>
                  <w:tcW w:w="3416" w:type="dxa"/>
                  <w:tcBorders>
                    <w:tl2br w:val="nil"/>
                    <w:tr2bl w:val="nil"/>
                  </w:tcBorders>
                  <w:vAlign w:val="center"/>
                </w:tcPr>
                <w:p w14:paraId="41EAA120">
                  <w:pPr>
                    <w:widowControl/>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沙河弯N8</w:t>
                  </w:r>
                </w:p>
              </w:tc>
              <w:tc>
                <w:tcPr>
                  <w:tcW w:w="1237" w:type="dxa"/>
                  <w:vMerge w:val="continue"/>
                  <w:tcBorders>
                    <w:tl2br w:val="nil"/>
                    <w:tr2bl w:val="nil"/>
                  </w:tcBorders>
                  <w:vAlign w:val="center"/>
                </w:tcPr>
                <w:p w14:paraId="11834A6E">
                  <w:pPr>
                    <w:adjustRightInd w:val="0"/>
                    <w:snapToGrid w:val="0"/>
                    <w:jc w:val="center"/>
                    <w:rPr>
                      <w:rFonts w:hint="default" w:ascii="Times New Roman" w:hAnsi="Times New Roman" w:eastAsia="宋体" w:cs="Times New Roman"/>
                      <w:b w:val="0"/>
                      <w:bCs/>
                      <w:color w:val="auto"/>
                      <w:sz w:val="21"/>
                      <w:szCs w:val="21"/>
                      <w:highlight w:val="none"/>
                    </w:rPr>
                  </w:pPr>
                </w:p>
              </w:tc>
              <w:tc>
                <w:tcPr>
                  <w:tcW w:w="742" w:type="dxa"/>
                  <w:tcBorders>
                    <w:tl2br w:val="nil"/>
                    <w:tr2bl w:val="nil"/>
                  </w:tcBorders>
                  <w:shd w:val="clear" w:color="auto" w:fill="auto"/>
                  <w:vAlign w:val="center"/>
                </w:tcPr>
                <w:p w14:paraId="7F9CC91C">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38</w:t>
                  </w:r>
                </w:p>
              </w:tc>
              <w:tc>
                <w:tcPr>
                  <w:tcW w:w="886" w:type="dxa"/>
                  <w:tcBorders>
                    <w:tl2br w:val="nil"/>
                    <w:tr2bl w:val="nil"/>
                  </w:tcBorders>
                  <w:shd w:val="clear" w:color="auto" w:fill="auto"/>
                  <w:vAlign w:val="center"/>
                </w:tcPr>
                <w:p w14:paraId="4D476FFE">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36</w:t>
                  </w:r>
                </w:p>
              </w:tc>
            </w:tr>
            <w:tr w14:paraId="3C110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continue"/>
                  <w:tcBorders>
                    <w:tl2br w:val="nil"/>
                    <w:tr2bl w:val="nil"/>
                  </w:tcBorders>
                  <w:vAlign w:val="center"/>
                </w:tcPr>
                <w:p w14:paraId="290F50B5">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p>
              </w:tc>
              <w:tc>
                <w:tcPr>
                  <w:tcW w:w="989" w:type="dxa"/>
                  <w:vMerge w:val="continue"/>
                  <w:tcBorders>
                    <w:tl2br w:val="nil"/>
                    <w:tr2bl w:val="nil"/>
                  </w:tcBorders>
                  <w:vAlign w:val="center"/>
                </w:tcPr>
                <w:p w14:paraId="6C2863B3">
                  <w:pPr>
                    <w:pStyle w:val="28"/>
                    <w:tabs>
                      <w:tab w:val="left" w:pos="3540"/>
                    </w:tabs>
                    <w:jc w:val="both"/>
                    <w:rPr>
                      <w:rFonts w:hint="default" w:ascii="Times New Roman" w:hAnsi="Times New Roman" w:cs="Times New Roman"/>
                      <w:b w:val="0"/>
                      <w:bCs/>
                      <w:color w:val="auto"/>
                      <w:sz w:val="21"/>
                      <w:szCs w:val="21"/>
                      <w:highlight w:val="none"/>
                    </w:rPr>
                  </w:pPr>
                </w:p>
              </w:tc>
              <w:tc>
                <w:tcPr>
                  <w:tcW w:w="3416" w:type="dxa"/>
                  <w:tcBorders>
                    <w:tl2br w:val="nil"/>
                    <w:tr2bl w:val="nil"/>
                  </w:tcBorders>
                  <w:vAlign w:val="center"/>
                </w:tcPr>
                <w:p w14:paraId="4D786976">
                  <w:pPr>
                    <w:widowControl/>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油房N9</w:t>
                  </w:r>
                </w:p>
              </w:tc>
              <w:tc>
                <w:tcPr>
                  <w:tcW w:w="1237" w:type="dxa"/>
                  <w:vMerge w:val="continue"/>
                  <w:tcBorders>
                    <w:tl2br w:val="nil"/>
                    <w:tr2bl w:val="nil"/>
                  </w:tcBorders>
                  <w:vAlign w:val="center"/>
                </w:tcPr>
                <w:p w14:paraId="7611B2F9">
                  <w:pPr>
                    <w:adjustRightInd w:val="0"/>
                    <w:snapToGrid w:val="0"/>
                    <w:jc w:val="center"/>
                    <w:rPr>
                      <w:rFonts w:hint="default" w:ascii="Times New Roman" w:hAnsi="Times New Roman" w:eastAsia="宋体" w:cs="Times New Roman"/>
                      <w:b w:val="0"/>
                      <w:bCs/>
                      <w:color w:val="auto"/>
                      <w:sz w:val="21"/>
                      <w:szCs w:val="21"/>
                      <w:highlight w:val="none"/>
                    </w:rPr>
                  </w:pPr>
                </w:p>
              </w:tc>
              <w:tc>
                <w:tcPr>
                  <w:tcW w:w="742" w:type="dxa"/>
                  <w:tcBorders>
                    <w:tl2br w:val="nil"/>
                    <w:tr2bl w:val="nil"/>
                  </w:tcBorders>
                  <w:shd w:val="clear" w:color="auto" w:fill="auto"/>
                  <w:vAlign w:val="center"/>
                </w:tcPr>
                <w:p w14:paraId="2229F469">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40</w:t>
                  </w:r>
                </w:p>
              </w:tc>
              <w:tc>
                <w:tcPr>
                  <w:tcW w:w="886" w:type="dxa"/>
                  <w:tcBorders>
                    <w:tl2br w:val="nil"/>
                    <w:tr2bl w:val="nil"/>
                  </w:tcBorders>
                  <w:shd w:val="clear" w:color="auto" w:fill="auto"/>
                  <w:vAlign w:val="center"/>
                </w:tcPr>
                <w:p w14:paraId="31666C6A">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36</w:t>
                  </w:r>
                </w:p>
              </w:tc>
            </w:tr>
            <w:tr w14:paraId="2E5C0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continue"/>
                  <w:tcBorders>
                    <w:tl2br w:val="nil"/>
                    <w:tr2bl w:val="nil"/>
                  </w:tcBorders>
                  <w:vAlign w:val="center"/>
                </w:tcPr>
                <w:p w14:paraId="70666729">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p>
              </w:tc>
              <w:tc>
                <w:tcPr>
                  <w:tcW w:w="989" w:type="dxa"/>
                  <w:vMerge w:val="continue"/>
                  <w:tcBorders>
                    <w:tl2br w:val="nil"/>
                    <w:tr2bl w:val="nil"/>
                  </w:tcBorders>
                  <w:vAlign w:val="center"/>
                </w:tcPr>
                <w:p w14:paraId="79382814">
                  <w:pPr>
                    <w:pStyle w:val="28"/>
                    <w:tabs>
                      <w:tab w:val="left" w:pos="3540"/>
                    </w:tabs>
                    <w:jc w:val="both"/>
                    <w:rPr>
                      <w:rFonts w:hint="default" w:ascii="Times New Roman" w:hAnsi="Times New Roman" w:cs="Times New Roman"/>
                      <w:b w:val="0"/>
                      <w:bCs/>
                      <w:color w:val="auto"/>
                      <w:sz w:val="21"/>
                      <w:szCs w:val="21"/>
                      <w:highlight w:val="none"/>
                    </w:rPr>
                  </w:pPr>
                </w:p>
              </w:tc>
              <w:tc>
                <w:tcPr>
                  <w:tcW w:w="3416" w:type="dxa"/>
                  <w:tcBorders>
                    <w:tl2br w:val="nil"/>
                    <w:tr2bl w:val="nil"/>
                  </w:tcBorders>
                  <w:vAlign w:val="center"/>
                </w:tcPr>
                <w:p w14:paraId="59036899">
                  <w:pPr>
                    <w:widowControl/>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颜家河N10</w:t>
                  </w:r>
                </w:p>
              </w:tc>
              <w:tc>
                <w:tcPr>
                  <w:tcW w:w="1237" w:type="dxa"/>
                  <w:vMerge w:val="continue"/>
                  <w:tcBorders>
                    <w:tl2br w:val="nil"/>
                    <w:tr2bl w:val="nil"/>
                  </w:tcBorders>
                  <w:vAlign w:val="center"/>
                </w:tcPr>
                <w:p w14:paraId="372CD36B">
                  <w:pPr>
                    <w:adjustRightInd w:val="0"/>
                    <w:snapToGrid w:val="0"/>
                    <w:jc w:val="center"/>
                    <w:rPr>
                      <w:rFonts w:hint="default" w:ascii="Times New Roman" w:hAnsi="Times New Roman" w:eastAsia="宋体" w:cs="Times New Roman"/>
                      <w:b w:val="0"/>
                      <w:bCs/>
                      <w:color w:val="auto"/>
                      <w:sz w:val="21"/>
                      <w:szCs w:val="21"/>
                      <w:highlight w:val="none"/>
                    </w:rPr>
                  </w:pPr>
                </w:p>
              </w:tc>
              <w:tc>
                <w:tcPr>
                  <w:tcW w:w="742" w:type="dxa"/>
                  <w:tcBorders>
                    <w:tl2br w:val="nil"/>
                    <w:tr2bl w:val="nil"/>
                  </w:tcBorders>
                  <w:shd w:val="clear" w:color="auto" w:fill="auto"/>
                  <w:vAlign w:val="center"/>
                </w:tcPr>
                <w:p w14:paraId="1F3BEB73">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39</w:t>
                  </w:r>
                </w:p>
              </w:tc>
              <w:tc>
                <w:tcPr>
                  <w:tcW w:w="886" w:type="dxa"/>
                  <w:tcBorders>
                    <w:tl2br w:val="nil"/>
                    <w:tr2bl w:val="nil"/>
                  </w:tcBorders>
                  <w:shd w:val="clear" w:color="auto" w:fill="auto"/>
                  <w:vAlign w:val="center"/>
                </w:tcPr>
                <w:p w14:paraId="1FCCBDCF">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37</w:t>
                  </w:r>
                </w:p>
              </w:tc>
            </w:tr>
            <w:tr w14:paraId="09D45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continue"/>
                  <w:tcBorders>
                    <w:tl2br w:val="nil"/>
                    <w:tr2bl w:val="nil"/>
                  </w:tcBorders>
                  <w:vAlign w:val="center"/>
                </w:tcPr>
                <w:p w14:paraId="4E1E19A0">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p>
              </w:tc>
              <w:tc>
                <w:tcPr>
                  <w:tcW w:w="989" w:type="dxa"/>
                  <w:vMerge w:val="continue"/>
                  <w:tcBorders>
                    <w:tl2br w:val="nil"/>
                    <w:tr2bl w:val="nil"/>
                  </w:tcBorders>
                  <w:vAlign w:val="center"/>
                </w:tcPr>
                <w:p w14:paraId="2FEA1740">
                  <w:pPr>
                    <w:pStyle w:val="28"/>
                    <w:tabs>
                      <w:tab w:val="left" w:pos="3540"/>
                    </w:tabs>
                    <w:jc w:val="both"/>
                    <w:rPr>
                      <w:rFonts w:hint="default" w:ascii="Times New Roman" w:hAnsi="Times New Roman" w:cs="Times New Roman"/>
                      <w:b w:val="0"/>
                      <w:bCs/>
                      <w:color w:val="auto"/>
                      <w:sz w:val="21"/>
                      <w:szCs w:val="21"/>
                      <w:highlight w:val="none"/>
                    </w:rPr>
                  </w:pPr>
                </w:p>
              </w:tc>
              <w:tc>
                <w:tcPr>
                  <w:tcW w:w="3416" w:type="dxa"/>
                  <w:tcBorders>
                    <w:tl2br w:val="nil"/>
                    <w:tr2bl w:val="nil"/>
                  </w:tcBorders>
                  <w:vAlign w:val="center"/>
                </w:tcPr>
                <w:p w14:paraId="5C86EB96">
                  <w:pPr>
                    <w:widowControl/>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磨子桥镇N11</w:t>
                  </w:r>
                </w:p>
              </w:tc>
              <w:tc>
                <w:tcPr>
                  <w:tcW w:w="1237" w:type="dxa"/>
                  <w:vMerge w:val="continue"/>
                  <w:tcBorders>
                    <w:tl2br w:val="nil"/>
                    <w:tr2bl w:val="nil"/>
                  </w:tcBorders>
                  <w:vAlign w:val="center"/>
                </w:tcPr>
                <w:p w14:paraId="45460432">
                  <w:pPr>
                    <w:adjustRightInd w:val="0"/>
                    <w:snapToGrid w:val="0"/>
                    <w:jc w:val="center"/>
                    <w:rPr>
                      <w:rFonts w:hint="default" w:ascii="Times New Roman" w:hAnsi="Times New Roman" w:eastAsia="宋体" w:cs="Times New Roman"/>
                      <w:b w:val="0"/>
                      <w:bCs/>
                      <w:color w:val="auto"/>
                      <w:sz w:val="21"/>
                      <w:szCs w:val="21"/>
                      <w:highlight w:val="none"/>
                    </w:rPr>
                  </w:pPr>
                </w:p>
              </w:tc>
              <w:tc>
                <w:tcPr>
                  <w:tcW w:w="742" w:type="dxa"/>
                  <w:tcBorders>
                    <w:tl2br w:val="nil"/>
                    <w:tr2bl w:val="nil"/>
                  </w:tcBorders>
                  <w:shd w:val="clear" w:color="auto" w:fill="auto"/>
                  <w:vAlign w:val="center"/>
                </w:tcPr>
                <w:p w14:paraId="149EE1A1">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42</w:t>
                  </w:r>
                </w:p>
              </w:tc>
              <w:tc>
                <w:tcPr>
                  <w:tcW w:w="886" w:type="dxa"/>
                  <w:tcBorders>
                    <w:tl2br w:val="nil"/>
                    <w:tr2bl w:val="nil"/>
                  </w:tcBorders>
                  <w:shd w:val="clear" w:color="auto" w:fill="auto"/>
                  <w:vAlign w:val="center"/>
                </w:tcPr>
                <w:p w14:paraId="711BD26C">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39</w:t>
                  </w:r>
                </w:p>
              </w:tc>
            </w:tr>
            <w:tr w14:paraId="2F51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continue"/>
                  <w:tcBorders>
                    <w:tl2br w:val="nil"/>
                    <w:tr2bl w:val="nil"/>
                  </w:tcBorders>
                  <w:vAlign w:val="center"/>
                </w:tcPr>
                <w:p w14:paraId="4624F0D0">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p>
              </w:tc>
              <w:tc>
                <w:tcPr>
                  <w:tcW w:w="989" w:type="dxa"/>
                  <w:vMerge w:val="continue"/>
                  <w:tcBorders>
                    <w:tl2br w:val="nil"/>
                    <w:tr2bl w:val="nil"/>
                  </w:tcBorders>
                  <w:vAlign w:val="center"/>
                </w:tcPr>
                <w:p w14:paraId="66DCF48B">
                  <w:pPr>
                    <w:pStyle w:val="28"/>
                    <w:tabs>
                      <w:tab w:val="left" w:pos="3540"/>
                    </w:tabs>
                    <w:jc w:val="both"/>
                    <w:rPr>
                      <w:rFonts w:hint="default" w:ascii="Times New Roman" w:hAnsi="Times New Roman" w:cs="Times New Roman"/>
                      <w:b w:val="0"/>
                      <w:bCs/>
                      <w:color w:val="auto"/>
                      <w:sz w:val="21"/>
                      <w:szCs w:val="21"/>
                      <w:highlight w:val="none"/>
                    </w:rPr>
                  </w:pPr>
                </w:p>
              </w:tc>
              <w:tc>
                <w:tcPr>
                  <w:tcW w:w="3416" w:type="dxa"/>
                  <w:tcBorders>
                    <w:tl2br w:val="nil"/>
                    <w:tr2bl w:val="nil"/>
                  </w:tcBorders>
                  <w:vAlign w:val="center"/>
                </w:tcPr>
                <w:p w14:paraId="3D9EF963">
                  <w:pPr>
                    <w:widowControl/>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雷张村N12</w:t>
                  </w:r>
                </w:p>
              </w:tc>
              <w:tc>
                <w:tcPr>
                  <w:tcW w:w="1237" w:type="dxa"/>
                  <w:vMerge w:val="continue"/>
                  <w:tcBorders>
                    <w:tl2br w:val="nil"/>
                    <w:tr2bl w:val="nil"/>
                  </w:tcBorders>
                  <w:vAlign w:val="center"/>
                </w:tcPr>
                <w:p w14:paraId="670E3D02">
                  <w:pPr>
                    <w:adjustRightInd w:val="0"/>
                    <w:snapToGrid w:val="0"/>
                    <w:jc w:val="center"/>
                    <w:rPr>
                      <w:rFonts w:hint="default" w:ascii="Times New Roman" w:hAnsi="Times New Roman" w:eastAsia="宋体" w:cs="Times New Roman"/>
                      <w:b w:val="0"/>
                      <w:bCs/>
                      <w:color w:val="auto"/>
                      <w:sz w:val="21"/>
                      <w:szCs w:val="21"/>
                      <w:highlight w:val="none"/>
                    </w:rPr>
                  </w:pPr>
                </w:p>
              </w:tc>
              <w:tc>
                <w:tcPr>
                  <w:tcW w:w="742" w:type="dxa"/>
                  <w:tcBorders>
                    <w:tl2br w:val="nil"/>
                    <w:tr2bl w:val="nil"/>
                  </w:tcBorders>
                  <w:shd w:val="clear" w:color="auto" w:fill="auto"/>
                  <w:vAlign w:val="center"/>
                </w:tcPr>
                <w:p w14:paraId="1CA08753">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40</w:t>
                  </w:r>
                </w:p>
              </w:tc>
              <w:tc>
                <w:tcPr>
                  <w:tcW w:w="886" w:type="dxa"/>
                  <w:tcBorders>
                    <w:tl2br w:val="nil"/>
                    <w:tr2bl w:val="nil"/>
                  </w:tcBorders>
                  <w:shd w:val="clear" w:color="auto" w:fill="auto"/>
                  <w:vAlign w:val="center"/>
                </w:tcPr>
                <w:p w14:paraId="619C1A97">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36</w:t>
                  </w:r>
                </w:p>
              </w:tc>
            </w:tr>
            <w:tr w14:paraId="3F24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restart"/>
                  <w:tcBorders>
                    <w:tl2br w:val="nil"/>
                    <w:tr2bl w:val="nil"/>
                  </w:tcBorders>
                  <w:vAlign w:val="center"/>
                </w:tcPr>
                <w:p w14:paraId="54CEE2F9">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2024-0</w:t>
                  </w:r>
                  <w:r>
                    <w:rPr>
                      <w:rFonts w:hint="eastAsia" w:ascii="Times New Roman" w:hAnsi="Times New Roman" w:eastAsia="宋体" w:cs="Times New Roman"/>
                      <w:b w:val="0"/>
                      <w:bCs/>
                      <w:color w:val="auto"/>
                      <w:sz w:val="21"/>
                      <w:szCs w:val="21"/>
                      <w:highlight w:val="none"/>
                      <w:lang w:val="en-US" w:eastAsia="zh-CN"/>
                    </w:rPr>
                    <w:t>3-30</w:t>
                  </w:r>
                </w:p>
                <w:p w14:paraId="4062CE35">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p>
                <w:p w14:paraId="7DB7B3BC">
                  <w:pPr>
                    <w:pStyle w:val="28"/>
                    <w:tabs>
                      <w:tab w:val="left" w:pos="3540"/>
                    </w:tabs>
                    <w:rPr>
                      <w:rFonts w:hint="default"/>
                      <w:b w:val="0"/>
                      <w:bCs/>
                      <w:color w:val="auto"/>
                      <w:sz w:val="21"/>
                      <w:szCs w:val="21"/>
                      <w:highlight w:val="none"/>
                      <w:lang w:val="en-US" w:eastAsia="zh-CN"/>
                    </w:rPr>
                  </w:pPr>
                </w:p>
              </w:tc>
              <w:tc>
                <w:tcPr>
                  <w:tcW w:w="989" w:type="dxa"/>
                  <w:vMerge w:val="continue"/>
                  <w:tcBorders>
                    <w:tl2br w:val="nil"/>
                    <w:tr2bl w:val="nil"/>
                  </w:tcBorders>
                  <w:vAlign w:val="center"/>
                </w:tcPr>
                <w:p w14:paraId="17E5A58F">
                  <w:pPr>
                    <w:pStyle w:val="28"/>
                    <w:tabs>
                      <w:tab w:val="left" w:pos="3540"/>
                    </w:tabs>
                    <w:jc w:val="center"/>
                    <w:rPr>
                      <w:rFonts w:hint="default" w:ascii="Times New Roman" w:hAnsi="Times New Roman" w:cs="Times New Roman"/>
                      <w:b w:val="0"/>
                      <w:bCs/>
                      <w:color w:val="auto"/>
                      <w:sz w:val="21"/>
                      <w:szCs w:val="21"/>
                      <w:highlight w:val="none"/>
                    </w:rPr>
                  </w:pPr>
                </w:p>
              </w:tc>
              <w:tc>
                <w:tcPr>
                  <w:tcW w:w="3416" w:type="dxa"/>
                  <w:tcBorders>
                    <w:tl2br w:val="nil"/>
                    <w:tr2bl w:val="nil"/>
                  </w:tcBorders>
                  <w:vAlign w:val="center"/>
                </w:tcPr>
                <w:p w14:paraId="4052292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eastAsia="zh-CN"/>
                    </w:rPr>
                    <w:t>李家十字</w:t>
                  </w:r>
                  <w:r>
                    <w:rPr>
                      <w:rFonts w:hint="eastAsia" w:ascii="Times New Roman" w:hAnsi="Times New Roman" w:eastAsia="宋体" w:cs="Times New Roman"/>
                      <w:b w:val="0"/>
                      <w:bCs/>
                      <w:color w:val="auto"/>
                      <w:kern w:val="0"/>
                      <w:sz w:val="21"/>
                      <w:szCs w:val="21"/>
                      <w:highlight w:val="none"/>
                      <w:lang w:val="en-US" w:eastAsia="zh-CN"/>
                    </w:rPr>
                    <w:t>N1</w:t>
                  </w:r>
                </w:p>
              </w:tc>
              <w:tc>
                <w:tcPr>
                  <w:tcW w:w="1237" w:type="dxa"/>
                  <w:vMerge w:val="continue"/>
                  <w:tcBorders>
                    <w:tl2br w:val="nil"/>
                    <w:tr2bl w:val="nil"/>
                  </w:tcBorders>
                  <w:vAlign w:val="center"/>
                </w:tcPr>
                <w:p w14:paraId="0F1F3E43">
                  <w:pPr>
                    <w:adjustRightInd w:val="0"/>
                    <w:snapToGrid w:val="0"/>
                    <w:jc w:val="center"/>
                    <w:rPr>
                      <w:rFonts w:hint="default" w:ascii="Times New Roman" w:hAnsi="Times New Roman" w:eastAsia="宋体" w:cs="Times New Roman"/>
                      <w:b w:val="0"/>
                      <w:bCs/>
                      <w:color w:val="auto"/>
                      <w:sz w:val="21"/>
                      <w:szCs w:val="21"/>
                      <w:highlight w:val="none"/>
                    </w:rPr>
                  </w:pPr>
                </w:p>
              </w:tc>
              <w:tc>
                <w:tcPr>
                  <w:tcW w:w="742" w:type="dxa"/>
                  <w:tcBorders>
                    <w:tl2br w:val="nil"/>
                    <w:tr2bl w:val="nil"/>
                  </w:tcBorders>
                  <w:shd w:val="clear" w:color="auto" w:fill="auto"/>
                  <w:vAlign w:val="center"/>
                </w:tcPr>
                <w:p w14:paraId="6E3C3FA1">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40</w:t>
                  </w:r>
                </w:p>
              </w:tc>
              <w:tc>
                <w:tcPr>
                  <w:tcW w:w="886" w:type="dxa"/>
                  <w:tcBorders>
                    <w:tl2br w:val="nil"/>
                    <w:tr2bl w:val="nil"/>
                  </w:tcBorders>
                  <w:shd w:val="clear" w:color="auto" w:fill="auto"/>
                  <w:vAlign w:val="center"/>
                </w:tcPr>
                <w:p w14:paraId="7F75497D">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37</w:t>
                  </w:r>
                </w:p>
              </w:tc>
            </w:tr>
            <w:tr w14:paraId="3B9A8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continue"/>
                  <w:tcBorders>
                    <w:tl2br w:val="nil"/>
                    <w:tr2bl w:val="nil"/>
                  </w:tcBorders>
                  <w:vAlign w:val="center"/>
                </w:tcPr>
                <w:p w14:paraId="021E6D84">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p>
              </w:tc>
              <w:tc>
                <w:tcPr>
                  <w:tcW w:w="989" w:type="dxa"/>
                  <w:vMerge w:val="continue"/>
                  <w:tcBorders>
                    <w:tl2br w:val="nil"/>
                    <w:tr2bl w:val="nil"/>
                  </w:tcBorders>
                  <w:vAlign w:val="center"/>
                </w:tcPr>
                <w:p w14:paraId="31C58E74">
                  <w:pPr>
                    <w:pStyle w:val="28"/>
                    <w:tabs>
                      <w:tab w:val="left" w:pos="3540"/>
                    </w:tabs>
                    <w:jc w:val="center"/>
                    <w:rPr>
                      <w:rFonts w:hint="default" w:ascii="Times New Roman" w:hAnsi="Times New Roman" w:cs="Times New Roman"/>
                      <w:b w:val="0"/>
                      <w:bCs/>
                      <w:color w:val="auto"/>
                      <w:sz w:val="21"/>
                      <w:szCs w:val="21"/>
                      <w:highlight w:val="none"/>
                    </w:rPr>
                  </w:pPr>
                </w:p>
              </w:tc>
              <w:tc>
                <w:tcPr>
                  <w:tcW w:w="3416" w:type="dxa"/>
                  <w:tcBorders>
                    <w:tl2br w:val="nil"/>
                    <w:tr2bl w:val="nil"/>
                  </w:tcBorders>
                  <w:vAlign w:val="center"/>
                </w:tcPr>
                <w:p w14:paraId="4CABF2A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斗家村N2</w:t>
                  </w:r>
                </w:p>
              </w:tc>
              <w:tc>
                <w:tcPr>
                  <w:tcW w:w="1237" w:type="dxa"/>
                  <w:vMerge w:val="continue"/>
                  <w:tcBorders>
                    <w:tl2br w:val="nil"/>
                    <w:tr2bl w:val="nil"/>
                  </w:tcBorders>
                  <w:vAlign w:val="center"/>
                </w:tcPr>
                <w:p w14:paraId="783617F7">
                  <w:pPr>
                    <w:adjustRightInd w:val="0"/>
                    <w:snapToGrid w:val="0"/>
                    <w:jc w:val="center"/>
                    <w:rPr>
                      <w:rFonts w:hint="default" w:ascii="Times New Roman" w:hAnsi="Times New Roman" w:eastAsia="宋体" w:cs="Times New Roman"/>
                      <w:b w:val="0"/>
                      <w:bCs/>
                      <w:color w:val="auto"/>
                      <w:sz w:val="21"/>
                      <w:szCs w:val="21"/>
                      <w:highlight w:val="none"/>
                    </w:rPr>
                  </w:pPr>
                </w:p>
              </w:tc>
              <w:tc>
                <w:tcPr>
                  <w:tcW w:w="742" w:type="dxa"/>
                  <w:tcBorders>
                    <w:tl2br w:val="nil"/>
                    <w:tr2bl w:val="nil"/>
                  </w:tcBorders>
                  <w:shd w:val="clear" w:color="auto" w:fill="auto"/>
                  <w:vAlign w:val="center"/>
                </w:tcPr>
                <w:p w14:paraId="657FD0A8">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40</w:t>
                  </w:r>
                </w:p>
              </w:tc>
              <w:tc>
                <w:tcPr>
                  <w:tcW w:w="886" w:type="dxa"/>
                  <w:tcBorders>
                    <w:tl2br w:val="nil"/>
                    <w:tr2bl w:val="nil"/>
                  </w:tcBorders>
                  <w:shd w:val="clear" w:color="auto" w:fill="auto"/>
                  <w:vAlign w:val="center"/>
                </w:tcPr>
                <w:p w14:paraId="6FEAC15C">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36</w:t>
                  </w:r>
                </w:p>
              </w:tc>
            </w:tr>
            <w:tr w14:paraId="64D9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continue"/>
                  <w:tcBorders>
                    <w:tl2br w:val="nil"/>
                    <w:tr2bl w:val="nil"/>
                  </w:tcBorders>
                  <w:vAlign w:val="center"/>
                </w:tcPr>
                <w:p w14:paraId="6AE203DA">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p>
              </w:tc>
              <w:tc>
                <w:tcPr>
                  <w:tcW w:w="989" w:type="dxa"/>
                  <w:vMerge w:val="continue"/>
                  <w:tcBorders>
                    <w:tl2br w:val="nil"/>
                    <w:tr2bl w:val="nil"/>
                  </w:tcBorders>
                  <w:vAlign w:val="center"/>
                </w:tcPr>
                <w:p w14:paraId="331E8A76">
                  <w:pPr>
                    <w:pStyle w:val="28"/>
                    <w:tabs>
                      <w:tab w:val="left" w:pos="3540"/>
                    </w:tabs>
                    <w:jc w:val="center"/>
                    <w:rPr>
                      <w:rFonts w:hint="default" w:ascii="Times New Roman" w:hAnsi="Times New Roman" w:cs="Times New Roman"/>
                      <w:b w:val="0"/>
                      <w:bCs/>
                      <w:color w:val="auto"/>
                      <w:sz w:val="21"/>
                      <w:szCs w:val="21"/>
                      <w:highlight w:val="none"/>
                    </w:rPr>
                  </w:pPr>
                </w:p>
              </w:tc>
              <w:tc>
                <w:tcPr>
                  <w:tcW w:w="3416" w:type="dxa"/>
                  <w:tcBorders>
                    <w:tl2br w:val="nil"/>
                    <w:tr2bl w:val="nil"/>
                  </w:tcBorders>
                  <w:vAlign w:val="center"/>
                </w:tcPr>
                <w:p w14:paraId="29B2F02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白河村N3</w:t>
                  </w:r>
                </w:p>
              </w:tc>
              <w:tc>
                <w:tcPr>
                  <w:tcW w:w="1237" w:type="dxa"/>
                  <w:vMerge w:val="continue"/>
                  <w:tcBorders>
                    <w:tl2br w:val="nil"/>
                    <w:tr2bl w:val="nil"/>
                  </w:tcBorders>
                  <w:vAlign w:val="center"/>
                </w:tcPr>
                <w:p w14:paraId="1E28DC3B">
                  <w:pPr>
                    <w:adjustRightInd w:val="0"/>
                    <w:snapToGrid w:val="0"/>
                    <w:jc w:val="center"/>
                    <w:rPr>
                      <w:rFonts w:hint="default" w:ascii="Times New Roman" w:hAnsi="Times New Roman" w:eastAsia="宋体" w:cs="Times New Roman"/>
                      <w:b w:val="0"/>
                      <w:bCs/>
                      <w:color w:val="auto"/>
                      <w:sz w:val="21"/>
                      <w:szCs w:val="21"/>
                      <w:highlight w:val="none"/>
                    </w:rPr>
                  </w:pPr>
                </w:p>
              </w:tc>
              <w:tc>
                <w:tcPr>
                  <w:tcW w:w="742" w:type="dxa"/>
                  <w:tcBorders>
                    <w:tl2br w:val="nil"/>
                    <w:tr2bl w:val="nil"/>
                  </w:tcBorders>
                  <w:shd w:val="clear" w:color="auto" w:fill="auto"/>
                  <w:vAlign w:val="center"/>
                </w:tcPr>
                <w:p w14:paraId="7127CC63">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39</w:t>
                  </w:r>
                </w:p>
              </w:tc>
              <w:tc>
                <w:tcPr>
                  <w:tcW w:w="886" w:type="dxa"/>
                  <w:tcBorders>
                    <w:tl2br w:val="nil"/>
                    <w:tr2bl w:val="nil"/>
                  </w:tcBorders>
                  <w:shd w:val="clear" w:color="auto" w:fill="auto"/>
                  <w:vAlign w:val="center"/>
                </w:tcPr>
                <w:p w14:paraId="06446325">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37</w:t>
                  </w:r>
                </w:p>
              </w:tc>
            </w:tr>
            <w:tr w14:paraId="2249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continue"/>
                  <w:tcBorders>
                    <w:tl2br w:val="nil"/>
                    <w:tr2bl w:val="nil"/>
                  </w:tcBorders>
                  <w:vAlign w:val="center"/>
                </w:tcPr>
                <w:p w14:paraId="2C530D43">
                  <w:pPr>
                    <w:pStyle w:val="28"/>
                    <w:tabs>
                      <w:tab w:val="left" w:pos="3540"/>
                    </w:tabs>
                    <w:rPr>
                      <w:rFonts w:hint="default"/>
                      <w:b w:val="0"/>
                      <w:bCs/>
                      <w:color w:val="auto"/>
                      <w:sz w:val="21"/>
                      <w:szCs w:val="21"/>
                      <w:highlight w:val="none"/>
                      <w:lang w:val="en-US" w:eastAsia="zh-CN"/>
                    </w:rPr>
                  </w:pPr>
                </w:p>
              </w:tc>
              <w:tc>
                <w:tcPr>
                  <w:tcW w:w="989" w:type="dxa"/>
                  <w:vMerge w:val="continue"/>
                  <w:tcBorders>
                    <w:tl2br w:val="nil"/>
                    <w:tr2bl w:val="nil"/>
                  </w:tcBorders>
                  <w:vAlign w:val="center"/>
                </w:tcPr>
                <w:p w14:paraId="6A57BE98">
                  <w:pPr>
                    <w:pStyle w:val="28"/>
                    <w:tabs>
                      <w:tab w:val="left" w:pos="3540"/>
                    </w:tabs>
                    <w:jc w:val="center"/>
                    <w:rPr>
                      <w:rFonts w:hint="default" w:ascii="Times New Roman" w:hAnsi="Times New Roman" w:cs="Times New Roman"/>
                      <w:b w:val="0"/>
                      <w:bCs/>
                      <w:color w:val="auto"/>
                      <w:sz w:val="21"/>
                      <w:szCs w:val="21"/>
                      <w:highlight w:val="none"/>
                    </w:rPr>
                  </w:pPr>
                </w:p>
              </w:tc>
              <w:tc>
                <w:tcPr>
                  <w:tcW w:w="3416" w:type="dxa"/>
                  <w:tcBorders>
                    <w:tl2br w:val="nil"/>
                    <w:tr2bl w:val="nil"/>
                  </w:tcBorders>
                  <w:vAlign w:val="center"/>
                </w:tcPr>
                <w:p w14:paraId="14DFD715">
                  <w:pPr>
                    <w:widowControl/>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王半坡N4</w:t>
                  </w:r>
                </w:p>
              </w:tc>
              <w:tc>
                <w:tcPr>
                  <w:tcW w:w="1237" w:type="dxa"/>
                  <w:vMerge w:val="continue"/>
                  <w:tcBorders>
                    <w:tl2br w:val="nil"/>
                    <w:tr2bl w:val="nil"/>
                  </w:tcBorders>
                  <w:vAlign w:val="center"/>
                </w:tcPr>
                <w:p w14:paraId="264227B8">
                  <w:pPr>
                    <w:adjustRightInd w:val="0"/>
                    <w:snapToGrid w:val="0"/>
                    <w:jc w:val="center"/>
                    <w:rPr>
                      <w:rFonts w:hint="default" w:ascii="Times New Roman" w:hAnsi="Times New Roman" w:eastAsia="宋体" w:cs="Times New Roman"/>
                      <w:b w:val="0"/>
                      <w:bCs/>
                      <w:color w:val="auto"/>
                      <w:sz w:val="21"/>
                      <w:szCs w:val="21"/>
                      <w:highlight w:val="none"/>
                    </w:rPr>
                  </w:pPr>
                </w:p>
              </w:tc>
              <w:tc>
                <w:tcPr>
                  <w:tcW w:w="742" w:type="dxa"/>
                  <w:tcBorders>
                    <w:tl2br w:val="nil"/>
                    <w:tr2bl w:val="nil"/>
                  </w:tcBorders>
                  <w:shd w:val="clear" w:color="auto" w:fill="auto"/>
                  <w:vAlign w:val="center"/>
                </w:tcPr>
                <w:p w14:paraId="75AE76E1">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39</w:t>
                  </w:r>
                </w:p>
              </w:tc>
              <w:tc>
                <w:tcPr>
                  <w:tcW w:w="886" w:type="dxa"/>
                  <w:tcBorders>
                    <w:tl2br w:val="nil"/>
                    <w:tr2bl w:val="nil"/>
                  </w:tcBorders>
                  <w:shd w:val="clear" w:color="auto" w:fill="auto"/>
                  <w:vAlign w:val="center"/>
                </w:tcPr>
                <w:p w14:paraId="24E220A4">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38</w:t>
                  </w:r>
                </w:p>
              </w:tc>
            </w:tr>
            <w:tr w14:paraId="59F6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continue"/>
                  <w:tcBorders>
                    <w:tl2br w:val="nil"/>
                    <w:tr2bl w:val="nil"/>
                  </w:tcBorders>
                  <w:vAlign w:val="center"/>
                </w:tcPr>
                <w:p w14:paraId="746B3D44">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p>
              </w:tc>
              <w:tc>
                <w:tcPr>
                  <w:tcW w:w="989" w:type="dxa"/>
                  <w:vMerge w:val="continue"/>
                  <w:tcBorders>
                    <w:tl2br w:val="nil"/>
                    <w:tr2bl w:val="nil"/>
                  </w:tcBorders>
                  <w:vAlign w:val="center"/>
                </w:tcPr>
                <w:p w14:paraId="59A71491">
                  <w:pPr>
                    <w:pStyle w:val="28"/>
                    <w:tabs>
                      <w:tab w:val="left" w:pos="3540"/>
                    </w:tabs>
                    <w:jc w:val="center"/>
                    <w:rPr>
                      <w:rFonts w:hint="default" w:ascii="Times New Roman" w:hAnsi="Times New Roman" w:cs="Times New Roman"/>
                      <w:b w:val="0"/>
                      <w:bCs/>
                      <w:color w:val="auto"/>
                      <w:sz w:val="21"/>
                      <w:szCs w:val="21"/>
                      <w:highlight w:val="none"/>
                    </w:rPr>
                  </w:pPr>
                </w:p>
              </w:tc>
              <w:tc>
                <w:tcPr>
                  <w:tcW w:w="3416" w:type="dxa"/>
                  <w:tcBorders>
                    <w:tl2br w:val="nil"/>
                    <w:tr2bl w:val="nil"/>
                  </w:tcBorders>
                  <w:vAlign w:val="center"/>
                </w:tcPr>
                <w:p w14:paraId="6CF5E2BB">
                  <w:pPr>
                    <w:widowControl/>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王家山N5</w:t>
                  </w:r>
                </w:p>
              </w:tc>
              <w:tc>
                <w:tcPr>
                  <w:tcW w:w="1237" w:type="dxa"/>
                  <w:vMerge w:val="continue"/>
                  <w:tcBorders>
                    <w:tl2br w:val="nil"/>
                    <w:tr2bl w:val="nil"/>
                  </w:tcBorders>
                  <w:vAlign w:val="center"/>
                </w:tcPr>
                <w:p w14:paraId="5F3248C7">
                  <w:pPr>
                    <w:adjustRightInd w:val="0"/>
                    <w:snapToGrid w:val="0"/>
                    <w:jc w:val="center"/>
                    <w:rPr>
                      <w:rFonts w:hint="default" w:ascii="Times New Roman" w:hAnsi="Times New Roman" w:eastAsia="宋体" w:cs="Times New Roman"/>
                      <w:b w:val="0"/>
                      <w:bCs/>
                      <w:color w:val="auto"/>
                      <w:sz w:val="21"/>
                      <w:szCs w:val="21"/>
                      <w:highlight w:val="none"/>
                    </w:rPr>
                  </w:pPr>
                </w:p>
              </w:tc>
              <w:tc>
                <w:tcPr>
                  <w:tcW w:w="742" w:type="dxa"/>
                  <w:tcBorders>
                    <w:tl2br w:val="nil"/>
                    <w:tr2bl w:val="nil"/>
                  </w:tcBorders>
                  <w:shd w:val="clear" w:color="auto" w:fill="auto"/>
                  <w:vAlign w:val="center"/>
                </w:tcPr>
                <w:p w14:paraId="53D88387">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40</w:t>
                  </w:r>
                </w:p>
              </w:tc>
              <w:tc>
                <w:tcPr>
                  <w:tcW w:w="886" w:type="dxa"/>
                  <w:tcBorders>
                    <w:tl2br w:val="nil"/>
                    <w:tr2bl w:val="nil"/>
                  </w:tcBorders>
                  <w:shd w:val="clear" w:color="auto" w:fill="auto"/>
                  <w:vAlign w:val="center"/>
                </w:tcPr>
                <w:p w14:paraId="57DFBAB3">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35</w:t>
                  </w:r>
                </w:p>
              </w:tc>
            </w:tr>
            <w:tr w14:paraId="20FE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continue"/>
                  <w:tcBorders>
                    <w:tl2br w:val="nil"/>
                    <w:tr2bl w:val="nil"/>
                  </w:tcBorders>
                  <w:vAlign w:val="center"/>
                </w:tcPr>
                <w:p w14:paraId="71B8F27C">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p>
              </w:tc>
              <w:tc>
                <w:tcPr>
                  <w:tcW w:w="989" w:type="dxa"/>
                  <w:vMerge w:val="continue"/>
                  <w:tcBorders>
                    <w:tl2br w:val="nil"/>
                    <w:tr2bl w:val="nil"/>
                  </w:tcBorders>
                  <w:vAlign w:val="center"/>
                </w:tcPr>
                <w:p w14:paraId="24EB3008">
                  <w:pPr>
                    <w:pStyle w:val="28"/>
                    <w:tabs>
                      <w:tab w:val="left" w:pos="3540"/>
                    </w:tabs>
                    <w:jc w:val="center"/>
                    <w:rPr>
                      <w:rFonts w:hint="default" w:ascii="Times New Roman" w:hAnsi="Times New Roman" w:cs="Times New Roman"/>
                      <w:b w:val="0"/>
                      <w:bCs/>
                      <w:color w:val="auto"/>
                      <w:sz w:val="21"/>
                      <w:szCs w:val="21"/>
                      <w:highlight w:val="none"/>
                    </w:rPr>
                  </w:pPr>
                </w:p>
              </w:tc>
              <w:tc>
                <w:tcPr>
                  <w:tcW w:w="3416" w:type="dxa"/>
                  <w:tcBorders>
                    <w:tl2br w:val="nil"/>
                    <w:tr2bl w:val="nil"/>
                  </w:tcBorders>
                  <w:vAlign w:val="center"/>
                </w:tcPr>
                <w:p w14:paraId="11A3249D">
                  <w:pPr>
                    <w:widowControl/>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张山下N6</w:t>
                  </w:r>
                </w:p>
              </w:tc>
              <w:tc>
                <w:tcPr>
                  <w:tcW w:w="1237" w:type="dxa"/>
                  <w:vMerge w:val="continue"/>
                  <w:tcBorders>
                    <w:tl2br w:val="nil"/>
                    <w:tr2bl w:val="nil"/>
                  </w:tcBorders>
                  <w:vAlign w:val="center"/>
                </w:tcPr>
                <w:p w14:paraId="280A4F63">
                  <w:pPr>
                    <w:adjustRightInd w:val="0"/>
                    <w:snapToGrid w:val="0"/>
                    <w:jc w:val="center"/>
                    <w:rPr>
                      <w:rFonts w:hint="default" w:ascii="Times New Roman" w:hAnsi="Times New Roman" w:eastAsia="宋体" w:cs="Times New Roman"/>
                      <w:b w:val="0"/>
                      <w:bCs/>
                      <w:color w:val="auto"/>
                      <w:sz w:val="21"/>
                      <w:szCs w:val="21"/>
                      <w:highlight w:val="none"/>
                    </w:rPr>
                  </w:pPr>
                </w:p>
              </w:tc>
              <w:tc>
                <w:tcPr>
                  <w:tcW w:w="742" w:type="dxa"/>
                  <w:tcBorders>
                    <w:tl2br w:val="nil"/>
                    <w:tr2bl w:val="nil"/>
                  </w:tcBorders>
                  <w:shd w:val="clear" w:color="auto" w:fill="auto"/>
                  <w:vAlign w:val="center"/>
                </w:tcPr>
                <w:p w14:paraId="05332EAE">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42</w:t>
                  </w:r>
                </w:p>
              </w:tc>
              <w:tc>
                <w:tcPr>
                  <w:tcW w:w="886" w:type="dxa"/>
                  <w:tcBorders>
                    <w:tl2br w:val="nil"/>
                    <w:tr2bl w:val="nil"/>
                  </w:tcBorders>
                  <w:shd w:val="clear" w:color="auto" w:fill="auto"/>
                  <w:vAlign w:val="center"/>
                </w:tcPr>
                <w:p w14:paraId="041BBB5B">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38</w:t>
                  </w:r>
                </w:p>
              </w:tc>
            </w:tr>
            <w:tr w14:paraId="3AC67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continue"/>
                  <w:tcBorders>
                    <w:tl2br w:val="nil"/>
                    <w:tr2bl w:val="nil"/>
                  </w:tcBorders>
                  <w:vAlign w:val="center"/>
                </w:tcPr>
                <w:p w14:paraId="4ABAD37A">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p>
              </w:tc>
              <w:tc>
                <w:tcPr>
                  <w:tcW w:w="989" w:type="dxa"/>
                  <w:vMerge w:val="continue"/>
                  <w:tcBorders>
                    <w:tl2br w:val="nil"/>
                    <w:tr2bl w:val="nil"/>
                  </w:tcBorders>
                  <w:vAlign w:val="center"/>
                </w:tcPr>
                <w:p w14:paraId="10A38B20">
                  <w:pPr>
                    <w:pStyle w:val="28"/>
                    <w:tabs>
                      <w:tab w:val="left" w:pos="3540"/>
                    </w:tabs>
                    <w:jc w:val="center"/>
                    <w:rPr>
                      <w:rFonts w:hint="default" w:ascii="Times New Roman" w:hAnsi="Times New Roman" w:cs="Times New Roman"/>
                      <w:b w:val="0"/>
                      <w:bCs/>
                      <w:color w:val="auto"/>
                      <w:sz w:val="21"/>
                      <w:szCs w:val="21"/>
                      <w:highlight w:val="none"/>
                    </w:rPr>
                  </w:pPr>
                </w:p>
              </w:tc>
              <w:tc>
                <w:tcPr>
                  <w:tcW w:w="3416" w:type="dxa"/>
                  <w:tcBorders>
                    <w:tl2br w:val="nil"/>
                    <w:tr2bl w:val="nil"/>
                  </w:tcBorders>
                  <w:vAlign w:val="center"/>
                </w:tcPr>
                <w:p w14:paraId="28BB1AA7">
                  <w:pPr>
                    <w:widowControl/>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沙河N7</w:t>
                  </w:r>
                </w:p>
              </w:tc>
              <w:tc>
                <w:tcPr>
                  <w:tcW w:w="1237" w:type="dxa"/>
                  <w:vMerge w:val="continue"/>
                  <w:tcBorders>
                    <w:tl2br w:val="nil"/>
                    <w:tr2bl w:val="nil"/>
                  </w:tcBorders>
                  <w:vAlign w:val="center"/>
                </w:tcPr>
                <w:p w14:paraId="6D3079B6">
                  <w:pPr>
                    <w:adjustRightInd w:val="0"/>
                    <w:snapToGrid w:val="0"/>
                    <w:jc w:val="center"/>
                    <w:rPr>
                      <w:rFonts w:hint="default" w:ascii="Times New Roman" w:hAnsi="Times New Roman" w:eastAsia="宋体" w:cs="Times New Roman"/>
                      <w:b w:val="0"/>
                      <w:bCs/>
                      <w:color w:val="auto"/>
                      <w:sz w:val="21"/>
                      <w:szCs w:val="21"/>
                      <w:highlight w:val="none"/>
                    </w:rPr>
                  </w:pPr>
                </w:p>
              </w:tc>
              <w:tc>
                <w:tcPr>
                  <w:tcW w:w="742" w:type="dxa"/>
                  <w:tcBorders>
                    <w:tl2br w:val="nil"/>
                    <w:tr2bl w:val="nil"/>
                  </w:tcBorders>
                  <w:shd w:val="clear" w:color="auto" w:fill="auto"/>
                  <w:vAlign w:val="center"/>
                </w:tcPr>
                <w:p w14:paraId="5A9D0B81">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41</w:t>
                  </w:r>
                </w:p>
              </w:tc>
              <w:tc>
                <w:tcPr>
                  <w:tcW w:w="886" w:type="dxa"/>
                  <w:tcBorders>
                    <w:tl2br w:val="nil"/>
                    <w:tr2bl w:val="nil"/>
                  </w:tcBorders>
                  <w:shd w:val="clear" w:color="auto" w:fill="auto"/>
                  <w:vAlign w:val="center"/>
                </w:tcPr>
                <w:p w14:paraId="50248639">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38</w:t>
                  </w:r>
                </w:p>
              </w:tc>
            </w:tr>
            <w:tr w14:paraId="2ADF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continue"/>
                  <w:tcBorders>
                    <w:tl2br w:val="nil"/>
                    <w:tr2bl w:val="nil"/>
                  </w:tcBorders>
                  <w:vAlign w:val="center"/>
                </w:tcPr>
                <w:p w14:paraId="011A5B1A">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p>
              </w:tc>
              <w:tc>
                <w:tcPr>
                  <w:tcW w:w="989" w:type="dxa"/>
                  <w:vMerge w:val="continue"/>
                  <w:tcBorders>
                    <w:tl2br w:val="nil"/>
                    <w:tr2bl w:val="nil"/>
                  </w:tcBorders>
                  <w:vAlign w:val="center"/>
                </w:tcPr>
                <w:p w14:paraId="5DF264F6">
                  <w:pPr>
                    <w:pStyle w:val="28"/>
                    <w:tabs>
                      <w:tab w:val="left" w:pos="3540"/>
                    </w:tabs>
                    <w:jc w:val="center"/>
                    <w:rPr>
                      <w:rFonts w:hint="default" w:ascii="Times New Roman" w:hAnsi="Times New Roman" w:cs="Times New Roman"/>
                      <w:b w:val="0"/>
                      <w:bCs/>
                      <w:color w:val="auto"/>
                      <w:sz w:val="21"/>
                      <w:szCs w:val="21"/>
                      <w:highlight w:val="none"/>
                    </w:rPr>
                  </w:pPr>
                </w:p>
              </w:tc>
              <w:tc>
                <w:tcPr>
                  <w:tcW w:w="3416" w:type="dxa"/>
                  <w:tcBorders>
                    <w:tl2br w:val="nil"/>
                    <w:tr2bl w:val="nil"/>
                  </w:tcBorders>
                  <w:vAlign w:val="center"/>
                </w:tcPr>
                <w:p w14:paraId="24A04235">
                  <w:pPr>
                    <w:widowControl/>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沙河弯N8</w:t>
                  </w:r>
                </w:p>
              </w:tc>
              <w:tc>
                <w:tcPr>
                  <w:tcW w:w="1237" w:type="dxa"/>
                  <w:vMerge w:val="continue"/>
                  <w:tcBorders>
                    <w:tl2br w:val="nil"/>
                    <w:tr2bl w:val="nil"/>
                  </w:tcBorders>
                  <w:vAlign w:val="center"/>
                </w:tcPr>
                <w:p w14:paraId="4EDE7976">
                  <w:pPr>
                    <w:adjustRightInd w:val="0"/>
                    <w:snapToGrid w:val="0"/>
                    <w:jc w:val="center"/>
                    <w:rPr>
                      <w:rFonts w:hint="default" w:ascii="Times New Roman" w:hAnsi="Times New Roman" w:eastAsia="宋体" w:cs="Times New Roman"/>
                      <w:b w:val="0"/>
                      <w:bCs/>
                      <w:color w:val="auto"/>
                      <w:sz w:val="21"/>
                      <w:szCs w:val="21"/>
                      <w:highlight w:val="none"/>
                    </w:rPr>
                  </w:pPr>
                </w:p>
              </w:tc>
              <w:tc>
                <w:tcPr>
                  <w:tcW w:w="742" w:type="dxa"/>
                  <w:tcBorders>
                    <w:tl2br w:val="nil"/>
                    <w:tr2bl w:val="nil"/>
                  </w:tcBorders>
                  <w:shd w:val="clear" w:color="auto" w:fill="auto"/>
                  <w:vAlign w:val="center"/>
                </w:tcPr>
                <w:p w14:paraId="44889DC0">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39</w:t>
                  </w:r>
                </w:p>
              </w:tc>
              <w:tc>
                <w:tcPr>
                  <w:tcW w:w="886" w:type="dxa"/>
                  <w:tcBorders>
                    <w:tl2br w:val="nil"/>
                    <w:tr2bl w:val="nil"/>
                  </w:tcBorders>
                  <w:shd w:val="clear" w:color="auto" w:fill="auto"/>
                  <w:vAlign w:val="center"/>
                </w:tcPr>
                <w:p w14:paraId="6D106294">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37</w:t>
                  </w:r>
                </w:p>
              </w:tc>
            </w:tr>
            <w:tr w14:paraId="77AB8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continue"/>
                  <w:tcBorders>
                    <w:tl2br w:val="nil"/>
                    <w:tr2bl w:val="nil"/>
                  </w:tcBorders>
                  <w:vAlign w:val="center"/>
                </w:tcPr>
                <w:p w14:paraId="0B7D5E7B">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p>
              </w:tc>
              <w:tc>
                <w:tcPr>
                  <w:tcW w:w="989" w:type="dxa"/>
                  <w:vMerge w:val="continue"/>
                  <w:tcBorders>
                    <w:tl2br w:val="nil"/>
                    <w:tr2bl w:val="nil"/>
                  </w:tcBorders>
                  <w:vAlign w:val="center"/>
                </w:tcPr>
                <w:p w14:paraId="03FD809E">
                  <w:pPr>
                    <w:pStyle w:val="28"/>
                    <w:tabs>
                      <w:tab w:val="left" w:pos="3540"/>
                    </w:tabs>
                    <w:jc w:val="center"/>
                    <w:rPr>
                      <w:rFonts w:hint="default" w:ascii="Times New Roman" w:hAnsi="Times New Roman" w:cs="Times New Roman"/>
                      <w:b w:val="0"/>
                      <w:bCs/>
                      <w:color w:val="auto"/>
                      <w:sz w:val="21"/>
                      <w:szCs w:val="21"/>
                      <w:highlight w:val="none"/>
                    </w:rPr>
                  </w:pPr>
                </w:p>
              </w:tc>
              <w:tc>
                <w:tcPr>
                  <w:tcW w:w="3416" w:type="dxa"/>
                  <w:tcBorders>
                    <w:tl2br w:val="nil"/>
                    <w:tr2bl w:val="nil"/>
                  </w:tcBorders>
                  <w:vAlign w:val="center"/>
                </w:tcPr>
                <w:p w14:paraId="173F83A1">
                  <w:pPr>
                    <w:widowControl/>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油房N9</w:t>
                  </w:r>
                </w:p>
              </w:tc>
              <w:tc>
                <w:tcPr>
                  <w:tcW w:w="1237" w:type="dxa"/>
                  <w:vMerge w:val="continue"/>
                  <w:tcBorders>
                    <w:tl2br w:val="nil"/>
                    <w:tr2bl w:val="nil"/>
                  </w:tcBorders>
                  <w:vAlign w:val="center"/>
                </w:tcPr>
                <w:p w14:paraId="3B635509">
                  <w:pPr>
                    <w:adjustRightInd w:val="0"/>
                    <w:snapToGrid w:val="0"/>
                    <w:jc w:val="center"/>
                    <w:rPr>
                      <w:rFonts w:hint="default" w:ascii="Times New Roman" w:hAnsi="Times New Roman" w:eastAsia="宋体" w:cs="Times New Roman"/>
                      <w:b w:val="0"/>
                      <w:bCs/>
                      <w:color w:val="auto"/>
                      <w:sz w:val="21"/>
                      <w:szCs w:val="21"/>
                      <w:highlight w:val="none"/>
                    </w:rPr>
                  </w:pPr>
                </w:p>
              </w:tc>
              <w:tc>
                <w:tcPr>
                  <w:tcW w:w="742" w:type="dxa"/>
                  <w:tcBorders>
                    <w:tl2br w:val="nil"/>
                    <w:tr2bl w:val="nil"/>
                  </w:tcBorders>
                  <w:shd w:val="clear" w:color="auto" w:fill="auto"/>
                  <w:vAlign w:val="center"/>
                </w:tcPr>
                <w:p w14:paraId="4E2974C4">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39</w:t>
                  </w:r>
                </w:p>
              </w:tc>
              <w:tc>
                <w:tcPr>
                  <w:tcW w:w="886" w:type="dxa"/>
                  <w:tcBorders>
                    <w:tl2br w:val="nil"/>
                    <w:tr2bl w:val="nil"/>
                  </w:tcBorders>
                  <w:shd w:val="clear" w:color="auto" w:fill="auto"/>
                  <w:vAlign w:val="center"/>
                </w:tcPr>
                <w:p w14:paraId="35323D1C">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37</w:t>
                  </w:r>
                </w:p>
              </w:tc>
            </w:tr>
            <w:tr w14:paraId="21919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continue"/>
                  <w:tcBorders>
                    <w:tl2br w:val="nil"/>
                    <w:tr2bl w:val="nil"/>
                  </w:tcBorders>
                  <w:vAlign w:val="center"/>
                </w:tcPr>
                <w:p w14:paraId="35235535">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p>
              </w:tc>
              <w:tc>
                <w:tcPr>
                  <w:tcW w:w="989" w:type="dxa"/>
                  <w:vMerge w:val="continue"/>
                  <w:tcBorders>
                    <w:tl2br w:val="nil"/>
                    <w:tr2bl w:val="nil"/>
                  </w:tcBorders>
                  <w:vAlign w:val="center"/>
                </w:tcPr>
                <w:p w14:paraId="1037426E">
                  <w:pPr>
                    <w:pStyle w:val="28"/>
                    <w:tabs>
                      <w:tab w:val="left" w:pos="3540"/>
                    </w:tabs>
                    <w:jc w:val="center"/>
                    <w:rPr>
                      <w:rFonts w:hint="default" w:ascii="Times New Roman" w:hAnsi="Times New Roman" w:cs="Times New Roman"/>
                      <w:b w:val="0"/>
                      <w:bCs/>
                      <w:color w:val="auto"/>
                      <w:sz w:val="21"/>
                      <w:szCs w:val="21"/>
                      <w:highlight w:val="none"/>
                    </w:rPr>
                  </w:pPr>
                </w:p>
              </w:tc>
              <w:tc>
                <w:tcPr>
                  <w:tcW w:w="3416" w:type="dxa"/>
                  <w:tcBorders>
                    <w:tl2br w:val="nil"/>
                    <w:tr2bl w:val="nil"/>
                  </w:tcBorders>
                  <w:vAlign w:val="center"/>
                </w:tcPr>
                <w:p w14:paraId="227855CB">
                  <w:pPr>
                    <w:widowControl/>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颜家河N10</w:t>
                  </w:r>
                </w:p>
              </w:tc>
              <w:tc>
                <w:tcPr>
                  <w:tcW w:w="1237" w:type="dxa"/>
                  <w:vMerge w:val="continue"/>
                  <w:tcBorders>
                    <w:tl2br w:val="nil"/>
                    <w:tr2bl w:val="nil"/>
                  </w:tcBorders>
                  <w:vAlign w:val="center"/>
                </w:tcPr>
                <w:p w14:paraId="5CCC3AA4">
                  <w:pPr>
                    <w:adjustRightInd w:val="0"/>
                    <w:snapToGrid w:val="0"/>
                    <w:jc w:val="center"/>
                    <w:rPr>
                      <w:rFonts w:hint="default" w:ascii="Times New Roman" w:hAnsi="Times New Roman" w:eastAsia="宋体" w:cs="Times New Roman"/>
                      <w:b w:val="0"/>
                      <w:bCs/>
                      <w:color w:val="auto"/>
                      <w:sz w:val="21"/>
                      <w:szCs w:val="21"/>
                      <w:highlight w:val="none"/>
                    </w:rPr>
                  </w:pPr>
                </w:p>
              </w:tc>
              <w:tc>
                <w:tcPr>
                  <w:tcW w:w="742" w:type="dxa"/>
                  <w:tcBorders>
                    <w:tl2br w:val="nil"/>
                    <w:tr2bl w:val="nil"/>
                  </w:tcBorders>
                  <w:shd w:val="clear" w:color="auto" w:fill="auto"/>
                  <w:vAlign w:val="center"/>
                </w:tcPr>
                <w:p w14:paraId="51141827">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40</w:t>
                  </w:r>
                </w:p>
              </w:tc>
              <w:tc>
                <w:tcPr>
                  <w:tcW w:w="886" w:type="dxa"/>
                  <w:tcBorders>
                    <w:tl2br w:val="nil"/>
                    <w:tr2bl w:val="nil"/>
                  </w:tcBorders>
                  <w:shd w:val="clear" w:color="auto" w:fill="auto"/>
                  <w:vAlign w:val="center"/>
                </w:tcPr>
                <w:p w14:paraId="282416E6">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37</w:t>
                  </w:r>
                </w:p>
              </w:tc>
            </w:tr>
            <w:tr w14:paraId="03C4B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continue"/>
                  <w:tcBorders>
                    <w:tl2br w:val="nil"/>
                    <w:tr2bl w:val="nil"/>
                  </w:tcBorders>
                  <w:vAlign w:val="center"/>
                </w:tcPr>
                <w:p w14:paraId="60CAD656">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p>
              </w:tc>
              <w:tc>
                <w:tcPr>
                  <w:tcW w:w="989" w:type="dxa"/>
                  <w:vMerge w:val="continue"/>
                  <w:tcBorders>
                    <w:tl2br w:val="nil"/>
                    <w:tr2bl w:val="nil"/>
                  </w:tcBorders>
                  <w:vAlign w:val="center"/>
                </w:tcPr>
                <w:p w14:paraId="0FBA5AB9">
                  <w:pPr>
                    <w:pStyle w:val="28"/>
                    <w:tabs>
                      <w:tab w:val="left" w:pos="3540"/>
                    </w:tabs>
                    <w:jc w:val="center"/>
                    <w:rPr>
                      <w:rFonts w:hint="default" w:ascii="Times New Roman" w:hAnsi="Times New Roman" w:cs="Times New Roman"/>
                      <w:b w:val="0"/>
                      <w:bCs/>
                      <w:color w:val="auto"/>
                      <w:sz w:val="21"/>
                      <w:szCs w:val="21"/>
                      <w:highlight w:val="none"/>
                    </w:rPr>
                  </w:pPr>
                </w:p>
              </w:tc>
              <w:tc>
                <w:tcPr>
                  <w:tcW w:w="3416" w:type="dxa"/>
                  <w:tcBorders>
                    <w:tl2br w:val="nil"/>
                    <w:tr2bl w:val="nil"/>
                  </w:tcBorders>
                  <w:vAlign w:val="center"/>
                </w:tcPr>
                <w:p w14:paraId="4A508FD0">
                  <w:pPr>
                    <w:widowControl/>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磨子桥镇N11</w:t>
                  </w:r>
                </w:p>
              </w:tc>
              <w:tc>
                <w:tcPr>
                  <w:tcW w:w="1237" w:type="dxa"/>
                  <w:vMerge w:val="continue"/>
                  <w:tcBorders>
                    <w:tl2br w:val="nil"/>
                    <w:tr2bl w:val="nil"/>
                  </w:tcBorders>
                  <w:vAlign w:val="center"/>
                </w:tcPr>
                <w:p w14:paraId="7D82D8D3">
                  <w:pPr>
                    <w:adjustRightInd w:val="0"/>
                    <w:snapToGrid w:val="0"/>
                    <w:jc w:val="center"/>
                    <w:rPr>
                      <w:rFonts w:hint="default" w:ascii="Times New Roman" w:hAnsi="Times New Roman" w:eastAsia="宋体" w:cs="Times New Roman"/>
                      <w:b w:val="0"/>
                      <w:bCs/>
                      <w:color w:val="auto"/>
                      <w:sz w:val="21"/>
                      <w:szCs w:val="21"/>
                      <w:highlight w:val="none"/>
                    </w:rPr>
                  </w:pPr>
                </w:p>
              </w:tc>
              <w:tc>
                <w:tcPr>
                  <w:tcW w:w="742" w:type="dxa"/>
                  <w:tcBorders>
                    <w:tl2br w:val="nil"/>
                    <w:tr2bl w:val="nil"/>
                  </w:tcBorders>
                  <w:shd w:val="clear" w:color="auto" w:fill="auto"/>
                  <w:vAlign w:val="center"/>
                </w:tcPr>
                <w:p w14:paraId="17DDE8BC">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43</w:t>
                  </w:r>
                </w:p>
              </w:tc>
              <w:tc>
                <w:tcPr>
                  <w:tcW w:w="886" w:type="dxa"/>
                  <w:tcBorders>
                    <w:tl2br w:val="nil"/>
                    <w:tr2bl w:val="nil"/>
                  </w:tcBorders>
                  <w:shd w:val="clear" w:color="auto" w:fill="auto"/>
                  <w:vAlign w:val="center"/>
                </w:tcPr>
                <w:p w14:paraId="66C71867">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39</w:t>
                  </w:r>
                </w:p>
              </w:tc>
            </w:tr>
            <w:tr w14:paraId="2491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4" w:type="dxa"/>
                  <w:vMerge w:val="continue"/>
                  <w:tcBorders>
                    <w:tl2br w:val="nil"/>
                    <w:tr2bl w:val="nil"/>
                  </w:tcBorders>
                  <w:vAlign w:val="center"/>
                </w:tcPr>
                <w:p w14:paraId="213C0655">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p>
              </w:tc>
              <w:tc>
                <w:tcPr>
                  <w:tcW w:w="989" w:type="dxa"/>
                  <w:vMerge w:val="continue"/>
                  <w:tcBorders>
                    <w:tl2br w:val="nil"/>
                    <w:tr2bl w:val="nil"/>
                  </w:tcBorders>
                  <w:vAlign w:val="center"/>
                </w:tcPr>
                <w:p w14:paraId="0BDBD540">
                  <w:pPr>
                    <w:pStyle w:val="28"/>
                    <w:tabs>
                      <w:tab w:val="left" w:pos="3540"/>
                    </w:tabs>
                    <w:jc w:val="center"/>
                    <w:rPr>
                      <w:rFonts w:hint="default" w:ascii="Times New Roman" w:hAnsi="Times New Roman" w:cs="Times New Roman"/>
                      <w:b w:val="0"/>
                      <w:bCs/>
                      <w:color w:val="auto"/>
                      <w:sz w:val="21"/>
                      <w:szCs w:val="21"/>
                      <w:highlight w:val="none"/>
                    </w:rPr>
                  </w:pPr>
                </w:p>
              </w:tc>
              <w:tc>
                <w:tcPr>
                  <w:tcW w:w="3416" w:type="dxa"/>
                  <w:tcBorders>
                    <w:tl2br w:val="nil"/>
                    <w:tr2bl w:val="nil"/>
                  </w:tcBorders>
                  <w:vAlign w:val="center"/>
                </w:tcPr>
                <w:p w14:paraId="01D34592">
                  <w:pPr>
                    <w:widowControl/>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雷张村N12</w:t>
                  </w:r>
                </w:p>
              </w:tc>
              <w:tc>
                <w:tcPr>
                  <w:tcW w:w="1237" w:type="dxa"/>
                  <w:vMerge w:val="continue"/>
                  <w:tcBorders>
                    <w:tl2br w:val="nil"/>
                    <w:tr2bl w:val="nil"/>
                  </w:tcBorders>
                  <w:vAlign w:val="center"/>
                </w:tcPr>
                <w:p w14:paraId="687A3EB3">
                  <w:pPr>
                    <w:adjustRightInd w:val="0"/>
                    <w:snapToGrid w:val="0"/>
                    <w:jc w:val="center"/>
                    <w:rPr>
                      <w:rFonts w:hint="default" w:ascii="Times New Roman" w:hAnsi="Times New Roman" w:eastAsia="宋体" w:cs="Times New Roman"/>
                      <w:b w:val="0"/>
                      <w:bCs/>
                      <w:color w:val="auto"/>
                      <w:sz w:val="21"/>
                      <w:szCs w:val="21"/>
                      <w:highlight w:val="none"/>
                    </w:rPr>
                  </w:pPr>
                </w:p>
              </w:tc>
              <w:tc>
                <w:tcPr>
                  <w:tcW w:w="742" w:type="dxa"/>
                  <w:tcBorders>
                    <w:tl2br w:val="nil"/>
                    <w:tr2bl w:val="nil"/>
                  </w:tcBorders>
                  <w:shd w:val="clear" w:color="auto" w:fill="auto"/>
                  <w:vAlign w:val="center"/>
                </w:tcPr>
                <w:p w14:paraId="46F4EE8B">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41</w:t>
                  </w:r>
                </w:p>
              </w:tc>
              <w:tc>
                <w:tcPr>
                  <w:tcW w:w="886" w:type="dxa"/>
                  <w:tcBorders>
                    <w:tl2br w:val="nil"/>
                    <w:tr2bl w:val="nil"/>
                  </w:tcBorders>
                  <w:shd w:val="clear" w:color="auto" w:fill="auto"/>
                  <w:vAlign w:val="center"/>
                </w:tcPr>
                <w:p w14:paraId="49CD0A12">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37</w:t>
                  </w:r>
                </w:p>
              </w:tc>
            </w:tr>
            <w:tr w14:paraId="3CEA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504" w:type="dxa"/>
                  <w:gridSpan w:val="6"/>
                  <w:tcBorders>
                    <w:tl2br w:val="nil"/>
                    <w:tr2bl w:val="nil"/>
                  </w:tcBorders>
                  <w:vAlign w:val="center"/>
                </w:tcPr>
                <w:p w14:paraId="76A88F14">
                  <w:pPr>
                    <w:numPr>
                      <w:ilvl w:val="0"/>
                      <w:numId w:val="0"/>
                    </w:numPr>
                    <w:adjustRightInd w:val="0"/>
                    <w:snapToGrid w:val="0"/>
                    <w:spacing w:line="360" w:lineRule="auto"/>
                    <w:jc w:val="left"/>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2024.0</w:t>
                  </w:r>
                  <w:r>
                    <w:rPr>
                      <w:rFonts w:hint="eastAsia" w:ascii="Times New Roman" w:hAnsi="Times New Roman" w:eastAsia="宋体" w:cs="Times New Roman"/>
                      <w:b w:val="0"/>
                      <w:bCs/>
                      <w:color w:val="auto"/>
                      <w:kern w:val="2"/>
                      <w:sz w:val="21"/>
                      <w:szCs w:val="21"/>
                      <w:highlight w:val="none"/>
                      <w:lang w:val="en-US" w:eastAsia="zh-CN" w:bidi="ar-SA"/>
                    </w:rPr>
                    <w:t>3.29</w:t>
                  </w:r>
                  <w:r>
                    <w:rPr>
                      <w:rFonts w:hint="default" w:ascii="Times New Roman" w:hAnsi="Times New Roman" w:eastAsia="宋体" w:cs="Times New Roman"/>
                      <w:b w:val="0"/>
                      <w:bCs/>
                      <w:color w:val="auto"/>
                      <w:sz w:val="21"/>
                      <w:szCs w:val="21"/>
                      <w:highlight w:val="none"/>
                      <w:lang w:val="en-US" w:eastAsia="zh-CN"/>
                    </w:rPr>
                    <w:t>：</w:t>
                  </w:r>
                  <w:r>
                    <w:rPr>
                      <w:rFonts w:hint="eastAsia" w:ascii="Times New Roman" w:hAnsi="Times New Roman" w:eastAsia="宋体" w:cs="Times New Roman"/>
                      <w:b w:val="0"/>
                      <w:bCs/>
                      <w:color w:val="auto"/>
                      <w:sz w:val="21"/>
                      <w:szCs w:val="21"/>
                      <w:highlight w:val="none"/>
                      <w:lang w:eastAsia="zh-CN"/>
                    </w:rPr>
                    <w:t>天气</w:t>
                  </w:r>
                  <w:r>
                    <w:rPr>
                      <w:rFonts w:hint="eastAsia" w:ascii="Times New Roman" w:hAnsi="Times New Roman" w:eastAsia="宋体" w:cs="Times New Roman"/>
                      <w:b w:val="0"/>
                      <w:bCs/>
                      <w:color w:val="auto"/>
                      <w:sz w:val="21"/>
                      <w:szCs w:val="21"/>
                      <w:highlight w:val="none"/>
                      <w:lang w:val="en-US" w:eastAsia="zh-CN"/>
                    </w:rPr>
                    <w:t xml:space="preserve"> 晴 </w:t>
                  </w:r>
                  <w:r>
                    <w:rPr>
                      <w:rFonts w:hint="default" w:ascii="Times New Roman" w:hAnsi="Times New Roman" w:eastAsia="宋体" w:cs="Times New Roman"/>
                      <w:b w:val="0"/>
                      <w:bCs/>
                      <w:color w:val="auto"/>
                      <w:sz w:val="21"/>
                      <w:szCs w:val="21"/>
                      <w:highlight w:val="none"/>
                      <w:lang w:val="en-US" w:eastAsia="zh-CN"/>
                    </w:rPr>
                    <w:t xml:space="preserve"> </w:t>
                  </w:r>
                  <w:r>
                    <w:rPr>
                      <w:rFonts w:hint="default" w:ascii="Times New Roman" w:hAnsi="Times New Roman" w:eastAsia="宋体" w:cs="Times New Roman"/>
                      <w:b w:val="0"/>
                      <w:bCs/>
                      <w:color w:val="auto"/>
                      <w:sz w:val="21"/>
                      <w:szCs w:val="21"/>
                      <w:highlight w:val="none"/>
                    </w:rPr>
                    <w:t>风速</w:t>
                  </w:r>
                  <w:r>
                    <w:rPr>
                      <w:rFonts w:hint="default" w:ascii="Times New Roman" w:hAnsi="Times New Roman" w:eastAsia="宋体" w:cs="Times New Roman"/>
                      <w:b w:val="0"/>
                      <w:bCs/>
                      <w:color w:val="auto"/>
                      <w:sz w:val="21"/>
                      <w:szCs w:val="21"/>
                      <w:highlight w:val="none"/>
                      <w:lang w:val="en-US" w:eastAsia="zh-CN"/>
                    </w:rPr>
                    <w:t>1.</w:t>
                  </w:r>
                  <w:r>
                    <w:rPr>
                      <w:rFonts w:hint="eastAsia" w:ascii="Times New Roman" w:hAnsi="Times New Roman" w:eastAsia="宋体" w:cs="Times New Roman"/>
                      <w:b w:val="0"/>
                      <w:bCs/>
                      <w:color w:val="auto"/>
                      <w:sz w:val="21"/>
                      <w:szCs w:val="21"/>
                      <w:highlight w:val="none"/>
                      <w:lang w:val="en-US" w:eastAsia="zh-CN"/>
                    </w:rPr>
                    <w:t>0</w:t>
                  </w:r>
                  <w:r>
                    <w:rPr>
                      <w:rFonts w:hint="default" w:ascii="Times New Roman" w:hAnsi="Times New Roman" w:eastAsia="宋体" w:cs="Times New Roman"/>
                      <w:b w:val="0"/>
                      <w:bCs/>
                      <w:color w:val="auto"/>
                      <w:sz w:val="21"/>
                      <w:szCs w:val="21"/>
                      <w:highlight w:val="none"/>
                    </w:rPr>
                    <w:t>m/s</w:t>
                  </w:r>
                  <w:r>
                    <w:rPr>
                      <w:rFonts w:hint="eastAsia" w:ascii="Times New Roman" w:hAnsi="Times New Roman" w:eastAsia="宋体" w:cs="Times New Roman"/>
                      <w:b w:val="0"/>
                      <w:bCs/>
                      <w:color w:val="auto"/>
                      <w:sz w:val="21"/>
                      <w:szCs w:val="21"/>
                      <w:highlight w:val="none"/>
                      <w:lang w:val="en-US" w:eastAsia="zh-CN"/>
                    </w:rPr>
                    <w:t xml:space="preserve">  风向 东风；</w:t>
                  </w:r>
                </w:p>
                <w:p w14:paraId="0D8C2165">
                  <w:pPr>
                    <w:numPr>
                      <w:ilvl w:val="0"/>
                      <w:numId w:val="0"/>
                    </w:numPr>
                    <w:adjustRightInd w:val="0"/>
                    <w:snapToGrid w:val="0"/>
                    <w:spacing w:line="360" w:lineRule="auto"/>
                    <w:jc w:val="left"/>
                    <w:rPr>
                      <w:rFonts w:hint="default"/>
                      <w:b w:val="0"/>
                      <w:bCs/>
                      <w:color w:val="auto"/>
                      <w:sz w:val="21"/>
                      <w:szCs w:val="21"/>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2024.0</w:t>
                  </w:r>
                  <w:r>
                    <w:rPr>
                      <w:rFonts w:hint="eastAsia" w:ascii="Times New Roman" w:hAnsi="Times New Roman" w:eastAsia="宋体" w:cs="Times New Roman"/>
                      <w:b w:val="0"/>
                      <w:bCs/>
                      <w:color w:val="auto"/>
                      <w:kern w:val="2"/>
                      <w:sz w:val="21"/>
                      <w:szCs w:val="21"/>
                      <w:highlight w:val="none"/>
                      <w:lang w:val="en-US" w:eastAsia="zh-CN" w:bidi="ar-SA"/>
                    </w:rPr>
                    <w:t>3.30</w:t>
                  </w:r>
                  <w:r>
                    <w:rPr>
                      <w:rFonts w:hint="default" w:ascii="Times New Roman" w:hAnsi="Times New Roman" w:eastAsia="宋体" w:cs="Times New Roman"/>
                      <w:b w:val="0"/>
                      <w:bCs/>
                      <w:color w:val="auto"/>
                      <w:sz w:val="21"/>
                      <w:szCs w:val="21"/>
                      <w:highlight w:val="none"/>
                      <w:lang w:val="en-US" w:eastAsia="zh-CN"/>
                    </w:rPr>
                    <w:t>：</w:t>
                  </w:r>
                  <w:r>
                    <w:rPr>
                      <w:rFonts w:hint="eastAsia" w:ascii="Times New Roman" w:hAnsi="Times New Roman" w:eastAsia="宋体" w:cs="Times New Roman"/>
                      <w:b w:val="0"/>
                      <w:bCs/>
                      <w:color w:val="auto"/>
                      <w:sz w:val="21"/>
                      <w:szCs w:val="21"/>
                      <w:highlight w:val="none"/>
                      <w:lang w:eastAsia="zh-CN"/>
                    </w:rPr>
                    <w:t>天气</w:t>
                  </w:r>
                  <w:r>
                    <w:rPr>
                      <w:rFonts w:hint="eastAsia" w:ascii="Times New Roman" w:hAnsi="Times New Roman" w:eastAsia="宋体" w:cs="Times New Roman"/>
                      <w:b w:val="0"/>
                      <w:bCs/>
                      <w:color w:val="auto"/>
                      <w:sz w:val="21"/>
                      <w:szCs w:val="21"/>
                      <w:highlight w:val="none"/>
                      <w:lang w:val="en-US" w:eastAsia="zh-CN"/>
                    </w:rPr>
                    <w:t xml:space="preserve"> 晴 </w:t>
                  </w:r>
                  <w:r>
                    <w:rPr>
                      <w:rFonts w:hint="default" w:ascii="Times New Roman" w:hAnsi="Times New Roman" w:eastAsia="宋体" w:cs="Times New Roman"/>
                      <w:b w:val="0"/>
                      <w:bCs/>
                      <w:color w:val="auto"/>
                      <w:sz w:val="21"/>
                      <w:szCs w:val="21"/>
                      <w:highlight w:val="none"/>
                      <w:lang w:val="en-US" w:eastAsia="zh-CN"/>
                    </w:rPr>
                    <w:t xml:space="preserve"> </w:t>
                  </w:r>
                  <w:r>
                    <w:rPr>
                      <w:rFonts w:hint="default" w:ascii="Times New Roman" w:hAnsi="Times New Roman" w:eastAsia="宋体" w:cs="Times New Roman"/>
                      <w:b w:val="0"/>
                      <w:bCs/>
                      <w:color w:val="auto"/>
                      <w:sz w:val="21"/>
                      <w:szCs w:val="21"/>
                      <w:highlight w:val="none"/>
                    </w:rPr>
                    <w:t>风速</w:t>
                  </w:r>
                  <w:r>
                    <w:rPr>
                      <w:rFonts w:hint="default" w:ascii="Times New Roman" w:hAnsi="Times New Roman" w:eastAsia="宋体" w:cs="Times New Roman"/>
                      <w:b w:val="0"/>
                      <w:bCs/>
                      <w:color w:val="auto"/>
                      <w:sz w:val="21"/>
                      <w:szCs w:val="21"/>
                      <w:highlight w:val="none"/>
                      <w:lang w:val="en-US" w:eastAsia="zh-CN"/>
                    </w:rPr>
                    <w:t>1.</w:t>
                  </w:r>
                  <w:r>
                    <w:rPr>
                      <w:rFonts w:hint="eastAsia" w:ascii="Times New Roman" w:hAnsi="Times New Roman" w:eastAsia="宋体" w:cs="Times New Roman"/>
                      <w:b w:val="0"/>
                      <w:bCs/>
                      <w:color w:val="auto"/>
                      <w:sz w:val="21"/>
                      <w:szCs w:val="21"/>
                      <w:highlight w:val="none"/>
                      <w:lang w:val="en-US" w:eastAsia="zh-CN"/>
                    </w:rPr>
                    <w:t>2</w:t>
                  </w:r>
                  <w:r>
                    <w:rPr>
                      <w:rFonts w:hint="default" w:ascii="Times New Roman" w:hAnsi="Times New Roman" w:eastAsia="宋体" w:cs="Times New Roman"/>
                      <w:b w:val="0"/>
                      <w:bCs/>
                      <w:color w:val="auto"/>
                      <w:sz w:val="21"/>
                      <w:szCs w:val="21"/>
                      <w:highlight w:val="none"/>
                    </w:rPr>
                    <w:t>m/s</w:t>
                  </w:r>
                  <w:r>
                    <w:rPr>
                      <w:rFonts w:hint="eastAsia" w:ascii="Times New Roman" w:hAnsi="Times New Roman" w:eastAsia="宋体" w:cs="Times New Roman"/>
                      <w:b w:val="0"/>
                      <w:bCs/>
                      <w:color w:val="auto"/>
                      <w:sz w:val="21"/>
                      <w:szCs w:val="21"/>
                      <w:highlight w:val="none"/>
                      <w:lang w:val="en-US" w:eastAsia="zh-CN"/>
                    </w:rPr>
                    <w:t xml:space="preserve">  风向 东南风</w:t>
                  </w:r>
                </w:p>
              </w:tc>
            </w:tr>
          </w:tbl>
          <w:p w14:paraId="28327F2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根据上表本项目周边声环境质量现状监测值满足</w:t>
            </w:r>
            <w:r>
              <w:rPr>
                <w:rFonts w:hint="default" w:ascii="Times New Roman" w:hAnsi="Times New Roman" w:eastAsia="宋体" w:cs="Times New Roman"/>
                <w:color w:val="auto"/>
                <w:sz w:val="24"/>
                <w:szCs w:val="32"/>
                <w:highlight w:val="none"/>
                <w:lang w:eastAsia="zh-CN"/>
              </w:rPr>
              <w:t>《声环境质量标准》（GB3096-2008）中</w:t>
            </w:r>
            <w:r>
              <w:rPr>
                <w:rFonts w:hint="default" w:ascii="Times New Roman" w:hAnsi="Times New Roman" w:eastAsia="宋体" w:cs="Times New Roman"/>
                <w:color w:val="auto"/>
                <w:sz w:val="24"/>
                <w:szCs w:val="32"/>
                <w:highlight w:val="none"/>
                <w:lang w:val="en-US" w:eastAsia="zh-CN"/>
              </w:rPr>
              <w:t>1</w:t>
            </w:r>
            <w:r>
              <w:rPr>
                <w:rFonts w:hint="default" w:ascii="Times New Roman" w:hAnsi="Times New Roman" w:eastAsia="宋体" w:cs="Times New Roman"/>
                <w:color w:val="auto"/>
                <w:sz w:val="24"/>
                <w:szCs w:val="32"/>
                <w:highlight w:val="none"/>
                <w:lang w:eastAsia="zh-CN"/>
              </w:rPr>
              <w:t>类区标准。</w:t>
            </w:r>
          </w:p>
          <w:p w14:paraId="4A54BC3D">
            <w:pPr>
              <w:adjustRightInd w:val="0"/>
              <w:snapToGrid w:val="0"/>
              <w:spacing w:line="360" w:lineRule="auto"/>
              <w:ind w:firstLine="482" w:firstLineChars="200"/>
              <w:jc w:val="left"/>
              <w:rPr>
                <w:rFonts w:hint="default" w:ascii="Times New Roman" w:hAnsi="Times New Roman" w:cs="Times New Roman"/>
                <w:color w:val="auto"/>
                <w:sz w:val="24"/>
              </w:rPr>
            </w:pPr>
            <w:r>
              <w:rPr>
                <w:rFonts w:hint="eastAsia" w:ascii="Times New Roman" w:hAnsi="Times New Roman" w:cs="Times New Roman"/>
                <w:b/>
                <w:bCs/>
                <w:color w:val="auto"/>
                <w:sz w:val="24"/>
                <w:lang w:val="en-US" w:eastAsia="zh-CN"/>
              </w:rPr>
              <w:t>4）</w:t>
            </w:r>
            <w:r>
              <w:rPr>
                <w:rFonts w:hint="default" w:ascii="Times New Roman" w:hAnsi="Times New Roman" w:cs="Times New Roman"/>
                <w:b/>
                <w:bCs/>
                <w:color w:val="auto"/>
                <w:sz w:val="24"/>
              </w:rPr>
              <w:t>地下水环境质量现状</w:t>
            </w:r>
          </w:p>
          <w:p w14:paraId="2B7841AD">
            <w:pPr>
              <w:snapToGrid w:val="0"/>
              <w:spacing w:line="360" w:lineRule="auto"/>
              <w:ind w:firstLine="480" w:firstLineChars="200"/>
              <w:rPr>
                <w:rFonts w:hint="default"/>
                <w:color w:val="auto"/>
                <w:sz w:val="24"/>
              </w:rPr>
            </w:pPr>
            <w:r>
              <w:rPr>
                <w:rFonts w:hint="default"/>
                <w:color w:val="auto"/>
                <w:sz w:val="24"/>
              </w:rPr>
              <w:t>根据《环境影响评价技术导则地下水环境》（HJ610-2016），本项目为太阳能发电项目，属于IV类项目，可不开展地下水环境影响评价。</w:t>
            </w:r>
          </w:p>
          <w:p w14:paraId="2C49423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5）</w:t>
            </w:r>
            <w:r>
              <w:rPr>
                <w:rFonts w:hint="default" w:ascii="Times New Roman" w:hAnsi="Times New Roman" w:cs="Times New Roman"/>
                <w:b/>
                <w:bCs/>
                <w:color w:val="auto"/>
                <w:sz w:val="24"/>
              </w:rPr>
              <w:t>土壤环境质量现状</w:t>
            </w:r>
          </w:p>
          <w:p w14:paraId="4461A2B6">
            <w:pPr>
              <w:snapToGrid w:val="0"/>
              <w:spacing w:line="360" w:lineRule="auto"/>
              <w:ind w:firstLine="480" w:firstLineChars="200"/>
              <w:rPr>
                <w:rFonts w:ascii="Times New Roman" w:hAnsi="Times New Roman" w:eastAsia="宋体" w:cs="Times New Roman"/>
                <w:color w:val="auto"/>
                <w:kern w:val="0"/>
                <w:szCs w:val="21"/>
                <w:highlight w:val="none"/>
              </w:rPr>
            </w:pPr>
            <w:r>
              <w:rPr>
                <w:rFonts w:hint="default"/>
                <w:color w:val="auto"/>
                <w:sz w:val="24"/>
              </w:rPr>
              <w:t>根据《环境影响评价技术导则土壤环境（试行）》（HJ964-2018），本项目为IV类项目，可不开展土壤环境影响评价。本项目为</w:t>
            </w:r>
            <w:r>
              <w:rPr>
                <w:rFonts w:hint="eastAsia"/>
                <w:color w:val="auto"/>
                <w:sz w:val="24"/>
                <w:lang w:val="en-US" w:eastAsia="zh-CN"/>
              </w:rPr>
              <w:t>光伏发电</w:t>
            </w:r>
            <w:r>
              <w:rPr>
                <w:rFonts w:hint="default"/>
                <w:color w:val="auto"/>
                <w:sz w:val="24"/>
              </w:rPr>
              <w:t>项目，不涉及土壤污染问题。</w:t>
            </w:r>
          </w:p>
        </w:tc>
      </w:tr>
      <w:tr w14:paraId="3096F0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8" w:hRule="atLeast"/>
          <w:jc w:val="center"/>
        </w:trPr>
        <w:tc>
          <w:tcPr>
            <w:tcW w:w="456" w:type="dxa"/>
            <w:noWrap w:val="0"/>
            <w:vAlign w:val="center"/>
          </w:tcPr>
          <w:p w14:paraId="262E252B">
            <w:pPr>
              <w:adjustRightInd w:val="0"/>
              <w:snapToGrid w:val="0"/>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bCs/>
                <w:color w:val="auto"/>
                <w:sz w:val="24"/>
                <w:szCs w:val="24"/>
                <w:highlight w:val="none"/>
              </w:rPr>
              <w:t>与项目有关的原有环境污染和生态破坏问题</w:t>
            </w:r>
          </w:p>
        </w:tc>
        <w:tc>
          <w:tcPr>
            <w:tcW w:w="8832" w:type="dxa"/>
            <w:noWrap w:val="0"/>
            <w:vAlign w:val="center"/>
          </w:tcPr>
          <w:p w14:paraId="36F89D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highlight w:val="none"/>
                <w:lang w:eastAsia="zh-CN"/>
              </w:rPr>
            </w:pPr>
            <w:r>
              <w:rPr>
                <w:rFonts w:hint="eastAsia" w:ascii="Times New Roman" w:hAnsi="Times New Roman" w:eastAsia="宋体" w:cs="Times New Roman"/>
                <w:color w:val="auto"/>
                <w:kern w:val="0"/>
                <w:sz w:val="24"/>
                <w:szCs w:val="24"/>
                <w:highlight w:val="none"/>
                <w:lang w:val="en-US" w:eastAsia="zh-CN"/>
              </w:rPr>
              <w:t>本项目为新建项目，现场踏勘时，项目区域主要为农用地，未开工建设，不存在原有环境污染和生态破坏问题</w:t>
            </w:r>
          </w:p>
        </w:tc>
      </w:tr>
      <w:tr w14:paraId="4F8E5C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456" w:type="dxa"/>
            <w:noWrap w:val="0"/>
            <w:vAlign w:val="center"/>
          </w:tcPr>
          <w:p w14:paraId="17307E63">
            <w:pPr>
              <w:adjustRightInd w:val="0"/>
              <w:snapToGrid w:val="0"/>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生态环境保护目标</w:t>
            </w:r>
          </w:p>
        </w:tc>
        <w:tc>
          <w:tcPr>
            <w:tcW w:w="8832" w:type="dxa"/>
            <w:noWrap w:val="0"/>
            <w:vAlign w:val="center"/>
          </w:tcPr>
          <w:p w14:paraId="7791CB7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cs="Times New Roman"/>
                <w:b/>
                <w:bCs/>
                <w:color w:val="auto"/>
                <w:sz w:val="21"/>
                <w:szCs w:val="21"/>
                <w:highlight w:val="none"/>
                <w:lang w:val="en-US" w:eastAsia="zh-CN"/>
              </w:rPr>
            </w:pPr>
            <w:r>
              <w:rPr>
                <w:rFonts w:hint="default" w:ascii="Times New Roman" w:hAnsi="Times New Roman" w:cs="Times New Roman"/>
                <w:color w:val="auto"/>
                <w:sz w:val="24"/>
                <w:highlight w:val="none"/>
              </w:rPr>
              <w:t>根据现状调查</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szCs w:val="32"/>
                <w:highlight w:val="none"/>
                <w:lang w:val="en-US" w:eastAsia="zh-CN"/>
              </w:rPr>
              <w:t>陕西汉中朱鹮国家级自然保护区</w:t>
            </w:r>
            <w:r>
              <w:rPr>
                <w:rFonts w:hint="eastAsia" w:ascii="Times New Roman" w:hAnsi="Times New Roman" w:eastAsia="宋体" w:cs="Times New Roman"/>
                <w:color w:val="auto"/>
                <w:sz w:val="24"/>
                <w:szCs w:val="32"/>
                <w:highlight w:val="none"/>
                <w:lang w:val="en-US" w:eastAsia="zh-CN"/>
              </w:rPr>
              <w:t>与本项目选址地块最近距离为580m</w:t>
            </w:r>
            <w:r>
              <w:rPr>
                <w:rFonts w:hint="default" w:ascii="Times New Roman" w:hAnsi="Times New Roman" w:cs="Times New Roman"/>
                <w:bCs/>
                <w:color w:val="auto"/>
                <w:sz w:val="24"/>
                <w:lang w:val="en-US" w:eastAsia="zh-CN"/>
              </w:rPr>
              <w:t>。</w:t>
            </w:r>
            <w:r>
              <w:rPr>
                <w:rFonts w:hint="default" w:ascii="Times New Roman" w:hAnsi="Times New Roman" w:cs="Times New Roman"/>
                <w:color w:val="auto"/>
                <w:kern w:val="0"/>
                <w:sz w:val="24"/>
                <w:highlight w:val="none"/>
              </w:rPr>
              <w:t>环境保护目标分布图</w:t>
            </w:r>
            <w:r>
              <w:rPr>
                <w:rFonts w:hint="default" w:ascii="Times New Roman" w:hAnsi="Times New Roman" w:eastAsia="宋体" w:cs="Times New Roman"/>
                <w:color w:val="auto"/>
                <w:sz w:val="24"/>
                <w:szCs w:val="32"/>
                <w:highlight w:val="none"/>
              </w:rPr>
              <w:t>见</w:t>
            </w:r>
            <w:r>
              <w:rPr>
                <w:rFonts w:hint="default" w:ascii="Times New Roman" w:hAnsi="Times New Roman" w:cs="Times New Roman"/>
                <w:color w:val="auto"/>
                <w:sz w:val="24"/>
                <w:szCs w:val="32"/>
                <w:highlight w:val="none"/>
                <w:lang w:val="en-US" w:eastAsia="zh-CN"/>
              </w:rPr>
              <w:t>附图</w:t>
            </w:r>
            <w:r>
              <w:rPr>
                <w:rFonts w:hint="eastAsia" w:ascii="Times New Roman" w:hAnsi="Times New Roman" w:cs="Times New Roman"/>
                <w:color w:val="auto"/>
                <w:sz w:val="24"/>
                <w:szCs w:val="32"/>
                <w:highlight w:val="none"/>
                <w:lang w:val="en-US" w:eastAsia="zh-CN"/>
              </w:rPr>
              <w:t>7</w:t>
            </w:r>
            <w:r>
              <w:rPr>
                <w:rFonts w:hint="default" w:ascii="Times New Roman" w:hAnsi="Times New Roman" w:eastAsia="宋体" w:cs="Times New Roman"/>
                <w:color w:val="auto"/>
                <w:sz w:val="24"/>
                <w:szCs w:val="32"/>
                <w:highlight w:val="none"/>
              </w:rPr>
              <w:t>。该项目周围环境保护目标如</w:t>
            </w: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REF_Ref287340937\h\*MERGEFORMAT</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32"/>
                <w:highlight w:val="none"/>
              </w:rPr>
              <w:t>表</w:t>
            </w:r>
            <w:r>
              <w:rPr>
                <w:rFonts w:hint="default" w:ascii="Times New Roman" w:hAnsi="Times New Roman" w:eastAsia="宋体" w:cs="Times New Roman"/>
                <w:color w:val="auto"/>
                <w:sz w:val="24"/>
                <w:szCs w:val="32"/>
                <w:highlight w:val="none"/>
              </w:rPr>
              <w:fldChar w:fldCharType="end"/>
            </w:r>
            <w:r>
              <w:rPr>
                <w:rFonts w:hint="eastAsia" w:ascii="Times New Roman" w:hAnsi="Times New Roman" w:eastAsia="宋体" w:cs="Times New Roman"/>
                <w:color w:val="auto"/>
                <w:sz w:val="24"/>
                <w:szCs w:val="32"/>
                <w:highlight w:val="none"/>
                <w:lang w:val="en-US" w:eastAsia="zh-CN"/>
              </w:rPr>
              <w:t>3-4、</w:t>
            </w:r>
            <w:r>
              <w:rPr>
                <w:rFonts w:hint="default" w:ascii="Times New Roman" w:hAnsi="Times New Roman" w:cs="Times New Roman"/>
                <w:color w:val="auto"/>
                <w:sz w:val="24"/>
                <w:szCs w:val="32"/>
                <w:highlight w:val="none"/>
                <w:lang w:val="en-US" w:eastAsia="zh-CN"/>
              </w:rPr>
              <w:t>3-</w:t>
            </w:r>
            <w:r>
              <w:rPr>
                <w:rFonts w:hint="eastAsia" w:ascii="Times New Roman" w:hAnsi="Times New Roman" w:cs="Times New Roman"/>
                <w:color w:val="auto"/>
                <w:sz w:val="24"/>
                <w:szCs w:val="32"/>
                <w:highlight w:val="none"/>
                <w:lang w:val="en-US" w:eastAsia="zh-CN"/>
              </w:rPr>
              <w:t>5和3-6</w:t>
            </w:r>
            <w:r>
              <w:rPr>
                <w:rFonts w:hint="default" w:ascii="Times New Roman" w:hAnsi="Times New Roman" w:eastAsia="宋体" w:cs="Times New Roman"/>
                <w:color w:val="auto"/>
                <w:sz w:val="24"/>
                <w:szCs w:val="32"/>
                <w:highlight w:val="none"/>
              </w:rPr>
              <w:t>所示。</w:t>
            </w:r>
          </w:p>
          <w:p w14:paraId="79660980">
            <w:pPr>
              <w:pStyle w:val="34"/>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b/>
                <w:bCs/>
                <w:color w:val="auto"/>
                <w:highlight w:val="none"/>
              </w:rPr>
            </w:pPr>
            <w:r>
              <w:rPr>
                <w:rFonts w:hint="eastAsia" w:ascii="Times New Roman" w:hAnsi="Times New Roman" w:cs="Times New Roman"/>
                <w:b/>
                <w:bCs/>
                <w:color w:val="auto"/>
                <w:sz w:val="21"/>
                <w:szCs w:val="21"/>
                <w:highlight w:val="none"/>
                <w:lang w:val="en-US" w:eastAsia="zh-CN"/>
              </w:rPr>
              <w:t>表3-4</w:t>
            </w:r>
            <w:r>
              <w:rPr>
                <w:rFonts w:hint="eastAsia" w:ascii="Times New Roman" w:hAnsi="Times New Roman" w:eastAsia="宋体" w:cs="Times New Roman"/>
                <w:b/>
                <w:bCs/>
                <w:color w:val="auto"/>
                <w:sz w:val="21"/>
                <w:szCs w:val="21"/>
                <w:highlight w:val="none"/>
                <w:lang w:val="en-US" w:eastAsia="zh-CN"/>
              </w:rPr>
              <w:t>声环境</w:t>
            </w:r>
            <w:r>
              <w:rPr>
                <w:rFonts w:hint="default" w:ascii="Times New Roman" w:hAnsi="Times New Roman" w:eastAsia="宋体" w:cs="Times New Roman"/>
                <w:b/>
                <w:bCs/>
                <w:color w:val="auto"/>
                <w:sz w:val="21"/>
                <w:szCs w:val="21"/>
                <w:highlight w:val="none"/>
              </w:rPr>
              <w:t>保护目标一览表</w:t>
            </w:r>
          </w:p>
          <w:tbl>
            <w:tblPr>
              <w:tblStyle w:val="24"/>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890"/>
              <w:gridCol w:w="426"/>
              <w:gridCol w:w="1547"/>
              <w:gridCol w:w="1439"/>
              <w:gridCol w:w="426"/>
              <w:gridCol w:w="531"/>
              <w:gridCol w:w="426"/>
              <w:gridCol w:w="566"/>
              <w:gridCol w:w="917"/>
            </w:tblGrid>
            <w:tr w14:paraId="57FF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47" w:type="pct"/>
                  <w:vMerge w:val="restart"/>
                  <w:tcBorders>
                    <w:tl2br w:val="nil"/>
                    <w:tr2bl w:val="nil"/>
                  </w:tcBorders>
                  <w:noWrap w:val="0"/>
                  <w:vAlign w:val="center"/>
                </w:tcPr>
                <w:p w14:paraId="25B9A71B">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区域</w:t>
                  </w:r>
                </w:p>
              </w:tc>
              <w:tc>
                <w:tcPr>
                  <w:tcW w:w="1099" w:type="pct"/>
                  <w:vMerge w:val="restart"/>
                  <w:tcBorders>
                    <w:tl2br w:val="nil"/>
                    <w:tr2bl w:val="nil"/>
                  </w:tcBorders>
                  <w:noWrap w:val="0"/>
                  <w:vAlign w:val="center"/>
                </w:tcPr>
                <w:p w14:paraId="7277C9EF">
                  <w:pPr>
                    <w:pStyle w:val="34"/>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地块</w:t>
                  </w:r>
                </w:p>
              </w:tc>
              <w:tc>
                <w:tcPr>
                  <w:tcW w:w="247" w:type="pct"/>
                  <w:vMerge w:val="restart"/>
                  <w:tcBorders>
                    <w:tl2br w:val="nil"/>
                    <w:tr2bl w:val="nil"/>
                  </w:tcBorders>
                  <w:noWrap w:val="0"/>
                  <w:vAlign w:val="center"/>
                </w:tcPr>
                <w:p w14:paraId="750A7346">
                  <w:pPr>
                    <w:pStyle w:val="34"/>
                    <w:jc w:val="center"/>
                    <w:rPr>
                      <w:rFonts w:hint="default" w:ascii="Times New Roman" w:cs="Times New Roman"/>
                      <w:color w:val="auto"/>
                      <w:sz w:val="21"/>
                      <w:szCs w:val="21"/>
                    </w:rPr>
                  </w:pPr>
                  <w:r>
                    <w:rPr>
                      <w:rFonts w:hint="default" w:ascii="Times New Roman" w:cs="Times New Roman"/>
                      <w:color w:val="auto"/>
                      <w:sz w:val="21"/>
                      <w:szCs w:val="21"/>
                    </w:rPr>
                    <w:t>名称</w:t>
                  </w:r>
                </w:p>
              </w:tc>
              <w:tc>
                <w:tcPr>
                  <w:tcW w:w="1737" w:type="pct"/>
                  <w:gridSpan w:val="2"/>
                  <w:tcBorders>
                    <w:tl2br w:val="nil"/>
                    <w:tr2bl w:val="nil"/>
                  </w:tcBorders>
                  <w:noWrap w:val="0"/>
                  <w:vAlign w:val="center"/>
                </w:tcPr>
                <w:p w14:paraId="02B609A4">
                  <w:pPr>
                    <w:pStyle w:val="34"/>
                    <w:jc w:val="center"/>
                    <w:rPr>
                      <w:rFonts w:hint="default" w:ascii="Times New Roman" w:cs="Times New Roman"/>
                      <w:color w:val="auto"/>
                      <w:sz w:val="21"/>
                      <w:szCs w:val="21"/>
                    </w:rPr>
                  </w:pPr>
                  <w:r>
                    <w:rPr>
                      <w:rFonts w:hint="default" w:ascii="Times New Roman" w:cs="Times New Roman"/>
                      <w:color w:val="auto"/>
                      <w:sz w:val="21"/>
                      <w:szCs w:val="21"/>
                    </w:rPr>
                    <w:t>坐标/m</w:t>
                  </w:r>
                </w:p>
              </w:tc>
              <w:tc>
                <w:tcPr>
                  <w:tcW w:w="247" w:type="pct"/>
                  <w:vMerge w:val="restart"/>
                  <w:tcBorders>
                    <w:tl2br w:val="nil"/>
                    <w:tr2bl w:val="nil"/>
                  </w:tcBorders>
                  <w:noWrap w:val="0"/>
                  <w:vAlign w:val="center"/>
                </w:tcPr>
                <w:p w14:paraId="38BA1769">
                  <w:pPr>
                    <w:pStyle w:val="34"/>
                    <w:jc w:val="center"/>
                    <w:rPr>
                      <w:rFonts w:hint="default" w:ascii="Times New Roman" w:cs="Times New Roman"/>
                      <w:color w:val="auto"/>
                      <w:sz w:val="21"/>
                      <w:szCs w:val="21"/>
                    </w:rPr>
                  </w:pPr>
                  <w:r>
                    <w:rPr>
                      <w:rFonts w:hint="default" w:ascii="Times New Roman" w:cs="Times New Roman"/>
                      <w:color w:val="auto"/>
                      <w:sz w:val="21"/>
                      <w:szCs w:val="21"/>
                    </w:rPr>
                    <w:t>保护对象</w:t>
                  </w:r>
                </w:p>
              </w:tc>
              <w:tc>
                <w:tcPr>
                  <w:tcW w:w="308" w:type="pct"/>
                  <w:vMerge w:val="restart"/>
                  <w:tcBorders>
                    <w:tl2br w:val="nil"/>
                    <w:tr2bl w:val="nil"/>
                  </w:tcBorders>
                  <w:noWrap w:val="0"/>
                  <w:vAlign w:val="center"/>
                </w:tcPr>
                <w:p w14:paraId="5E1F8D32">
                  <w:pPr>
                    <w:pStyle w:val="34"/>
                    <w:jc w:val="center"/>
                    <w:rPr>
                      <w:rFonts w:hint="default" w:ascii="Times New Roman" w:cs="Times New Roman"/>
                      <w:color w:val="auto"/>
                      <w:sz w:val="21"/>
                      <w:szCs w:val="21"/>
                    </w:rPr>
                  </w:pPr>
                  <w:r>
                    <w:rPr>
                      <w:rFonts w:hint="default" w:ascii="Times New Roman" w:cs="Times New Roman"/>
                      <w:color w:val="auto"/>
                      <w:sz w:val="21"/>
                      <w:szCs w:val="21"/>
                    </w:rPr>
                    <w:t>保护</w:t>
                  </w:r>
                </w:p>
                <w:p w14:paraId="16744929">
                  <w:pPr>
                    <w:pStyle w:val="34"/>
                    <w:jc w:val="center"/>
                    <w:rPr>
                      <w:rFonts w:hint="default" w:ascii="Times New Roman" w:cs="Times New Roman"/>
                      <w:color w:val="auto"/>
                      <w:sz w:val="21"/>
                      <w:szCs w:val="21"/>
                    </w:rPr>
                  </w:pPr>
                  <w:r>
                    <w:rPr>
                      <w:rFonts w:hint="default" w:ascii="Times New Roman" w:cs="Times New Roman"/>
                      <w:color w:val="auto"/>
                      <w:sz w:val="21"/>
                      <w:szCs w:val="21"/>
                    </w:rPr>
                    <w:t>内容</w:t>
                  </w:r>
                </w:p>
              </w:tc>
              <w:tc>
                <w:tcPr>
                  <w:tcW w:w="247" w:type="pct"/>
                  <w:vMerge w:val="restart"/>
                  <w:tcBorders>
                    <w:tl2br w:val="nil"/>
                    <w:tr2bl w:val="nil"/>
                  </w:tcBorders>
                  <w:noWrap w:val="0"/>
                  <w:vAlign w:val="center"/>
                </w:tcPr>
                <w:p w14:paraId="1AB73BF9">
                  <w:pPr>
                    <w:pStyle w:val="34"/>
                    <w:jc w:val="center"/>
                    <w:rPr>
                      <w:rFonts w:hint="default" w:ascii="Times New Roman" w:cs="Times New Roman"/>
                      <w:color w:val="auto"/>
                      <w:sz w:val="21"/>
                      <w:szCs w:val="21"/>
                    </w:rPr>
                  </w:pPr>
                  <w:r>
                    <w:rPr>
                      <w:rFonts w:hint="default" w:ascii="Times New Roman" w:cs="Times New Roman"/>
                      <w:color w:val="auto"/>
                      <w:sz w:val="21"/>
                      <w:szCs w:val="21"/>
                    </w:rPr>
                    <w:t>环境</w:t>
                  </w:r>
                </w:p>
                <w:p w14:paraId="321C801A">
                  <w:pPr>
                    <w:pStyle w:val="34"/>
                    <w:jc w:val="center"/>
                    <w:rPr>
                      <w:rFonts w:hint="default" w:ascii="Times New Roman" w:cs="Times New Roman"/>
                      <w:color w:val="auto"/>
                      <w:sz w:val="21"/>
                      <w:szCs w:val="21"/>
                    </w:rPr>
                  </w:pPr>
                  <w:r>
                    <w:rPr>
                      <w:rFonts w:hint="default" w:ascii="Times New Roman" w:cs="Times New Roman"/>
                      <w:color w:val="auto"/>
                      <w:sz w:val="21"/>
                      <w:szCs w:val="21"/>
                    </w:rPr>
                    <w:t>功能区</w:t>
                  </w:r>
                </w:p>
              </w:tc>
              <w:tc>
                <w:tcPr>
                  <w:tcW w:w="329" w:type="pct"/>
                  <w:vMerge w:val="restart"/>
                  <w:tcBorders>
                    <w:tl2br w:val="nil"/>
                    <w:tr2bl w:val="nil"/>
                  </w:tcBorders>
                  <w:noWrap w:val="0"/>
                  <w:vAlign w:val="center"/>
                </w:tcPr>
                <w:p w14:paraId="19BF1002">
                  <w:pPr>
                    <w:pStyle w:val="34"/>
                    <w:jc w:val="center"/>
                    <w:rPr>
                      <w:rFonts w:hint="default" w:ascii="Times New Roman" w:cs="Times New Roman"/>
                      <w:color w:val="auto"/>
                      <w:sz w:val="21"/>
                      <w:szCs w:val="21"/>
                    </w:rPr>
                  </w:pPr>
                  <w:r>
                    <w:rPr>
                      <w:rFonts w:hint="default" w:ascii="Times New Roman" w:cs="Times New Roman"/>
                      <w:color w:val="auto"/>
                      <w:sz w:val="21"/>
                      <w:szCs w:val="21"/>
                    </w:rPr>
                    <w:t>相对厂址方位</w:t>
                  </w:r>
                </w:p>
              </w:tc>
              <w:tc>
                <w:tcPr>
                  <w:tcW w:w="532" w:type="pct"/>
                  <w:vMerge w:val="restart"/>
                  <w:tcBorders>
                    <w:tl2br w:val="nil"/>
                    <w:tr2bl w:val="nil"/>
                  </w:tcBorders>
                  <w:noWrap w:val="0"/>
                  <w:vAlign w:val="center"/>
                </w:tcPr>
                <w:p w14:paraId="792FE437">
                  <w:pPr>
                    <w:pStyle w:val="34"/>
                    <w:jc w:val="center"/>
                    <w:rPr>
                      <w:rFonts w:hint="default" w:ascii="Times New Roman" w:cs="Times New Roman"/>
                      <w:color w:val="auto"/>
                      <w:sz w:val="21"/>
                      <w:szCs w:val="21"/>
                    </w:rPr>
                  </w:pPr>
                  <w:r>
                    <w:rPr>
                      <w:rFonts w:hint="default" w:ascii="Times New Roman" w:cs="Times New Roman"/>
                      <w:color w:val="auto"/>
                      <w:sz w:val="21"/>
                      <w:szCs w:val="21"/>
                    </w:rPr>
                    <w:t>相对厂界距离/m</w:t>
                  </w:r>
                </w:p>
              </w:tc>
            </w:tr>
            <w:tr w14:paraId="47B2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 w:type="pct"/>
                  <w:vMerge w:val="continue"/>
                  <w:tcBorders>
                    <w:tl2br w:val="nil"/>
                    <w:tr2bl w:val="nil"/>
                  </w:tcBorders>
                  <w:noWrap w:val="0"/>
                  <w:vAlign w:val="center"/>
                </w:tcPr>
                <w:p w14:paraId="05B3DAEF">
                  <w:pPr>
                    <w:pStyle w:val="34"/>
                    <w:jc w:val="center"/>
                    <w:rPr>
                      <w:rFonts w:hint="default" w:ascii="Times New Roman" w:cs="Times New Roman"/>
                      <w:color w:val="auto"/>
                      <w:sz w:val="21"/>
                      <w:szCs w:val="21"/>
                    </w:rPr>
                  </w:pPr>
                </w:p>
              </w:tc>
              <w:tc>
                <w:tcPr>
                  <w:tcW w:w="1099" w:type="pct"/>
                  <w:vMerge w:val="continue"/>
                  <w:tcBorders>
                    <w:tl2br w:val="nil"/>
                    <w:tr2bl w:val="nil"/>
                  </w:tcBorders>
                  <w:noWrap w:val="0"/>
                  <w:vAlign w:val="center"/>
                </w:tcPr>
                <w:p w14:paraId="7119459B">
                  <w:pPr>
                    <w:pStyle w:val="34"/>
                    <w:jc w:val="center"/>
                    <w:rPr>
                      <w:rFonts w:hint="default" w:ascii="Times New Roman" w:cs="Times New Roman"/>
                      <w:color w:val="auto"/>
                      <w:sz w:val="21"/>
                      <w:szCs w:val="21"/>
                    </w:rPr>
                  </w:pPr>
                </w:p>
              </w:tc>
              <w:tc>
                <w:tcPr>
                  <w:tcW w:w="247" w:type="pct"/>
                  <w:vMerge w:val="continue"/>
                  <w:tcBorders>
                    <w:tl2br w:val="nil"/>
                    <w:tr2bl w:val="nil"/>
                  </w:tcBorders>
                  <w:noWrap w:val="0"/>
                  <w:vAlign w:val="center"/>
                </w:tcPr>
                <w:p w14:paraId="379DC8BD">
                  <w:pPr>
                    <w:pStyle w:val="34"/>
                    <w:jc w:val="center"/>
                    <w:rPr>
                      <w:rFonts w:hint="default" w:ascii="Times New Roman" w:cs="Times New Roman"/>
                      <w:color w:val="auto"/>
                      <w:sz w:val="21"/>
                      <w:szCs w:val="21"/>
                    </w:rPr>
                  </w:pPr>
                </w:p>
              </w:tc>
              <w:tc>
                <w:tcPr>
                  <w:tcW w:w="900" w:type="pct"/>
                  <w:tcBorders>
                    <w:tl2br w:val="nil"/>
                    <w:tr2bl w:val="nil"/>
                  </w:tcBorders>
                  <w:noWrap w:val="0"/>
                  <w:vAlign w:val="center"/>
                </w:tcPr>
                <w:p w14:paraId="6C37A76B">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经度</w:t>
                  </w:r>
                </w:p>
              </w:tc>
              <w:tc>
                <w:tcPr>
                  <w:tcW w:w="837" w:type="pct"/>
                  <w:tcBorders>
                    <w:tl2br w:val="nil"/>
                    <w:tr2bl w:val="nil"/>
                  </w:tcBorders>
                  <w:noWrap w:val="0"/>
                  <w:vAlign w:val="center"/>
                </w:tcPr>
                <w:p w14:paraId="05C86BD6">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纬度</w:t>
                  </w:r>
                </w:p>
              </w:tc>
              <w:tc>
                <w:tcPr>
                  <w:tcW w:w="247" w:type="pct"/>
                  <w:vMerge w:val="continue"/>
                  <w:tcBorders>
                    <w:tl2br w:val="nil"/>
                    <w:tr2bl w:val="nil"/>
                  </w:tcBorders>
                  <w:noWrap w:val="0"/>
                  <w:vAlign w:val="center"/>
                </w:tcPr>
                <w:p w14:paraId="07976564">
                  <w:pPr>
                    <w:pStyle w:val="34"/>
                    <w:jc w:val="center"/>
                    <w:rPr>
                      <w:rFonts w:hint="default" w:ascii="Times New Roman" w:cs="Times New Roman"/>
                      <w:color w:val="auto"/>
                      <w:sz w:val="21"/>
                      <w:szCs w:val="21"/>
                    </w:rPr>
                  </w:pPr>
                </w:p>
              </w:tc>
              <w:tc>
                <w:tcPr>
                  <w:tcW w:w="308" w:type="pct"/>
                  <w:vMerge w:val="continue"/>
                  <w:tcBorders>
                    <w:tl2br w:val="nil"/>
                    <w:tr2bl w:val="nil"/>
                  </w:tcBorders>
                  <w:noWrap w:val="0"/>
                  <w:vAlign w:val="center"/>
                </w:tcPr>
                <w:p w14:paraId="79F7CFA1">
                  <w:pPr>
                    <w:pStyle w:val="34"/>
                    <w:jc w:val="center"/>
                    <w:rPr>
                      <w:rFonts w:hint="default" w:ascii="Times New Roman" w:cs="Times New Roman"/>
                      <w:color w:val="auto"/>
                      <w:sz w:val="21"/>
                      <w:szCs w:val="21"/>
                    </w:rPr>
                  </w:pPr>
                </w:p>
              </w:tc>
              <w:tc>
                <w:tcPr>
                  <w:tcW w:w="247" w:type="pct"/>
                  <w:vMerge w:val="continue"/>
                  <w:tcBorders>
                    <w:tl2br w:val="nil"/>
                    <w:tr2bl w:val="nil"/>
                  </w:tcBorders>
                  <w:noWrap w:val="0"/>
                  <w:vAlign w:val="center"/>
                </w:tcPr>
                <w:p w14:paraId="2E9089F5">
                  <w:pPr>
                    <w:pStyle w:val="34"/>
                    <w:jc w:val="center"/>
                    <w:rPr>
                      <w:rFonts w:hint="default" w:ascii="Times New Roman" w:cs="Times New Roman"/>
                      <w:color w:val="auto"/>
                      <w:sz w:val="21"/>
                      <w:szCs w:val="21"/>
                    </w:rPr>
                  </w:pPr>
                </w:p>
              </w:tc>
              <w:tc>
                <w:tcPr>
                  <w:tcW w:w="329" w:type="pct"/>
                  <w:vMerge w:val="continue"/>
                  <w:tcBorders>
                    <w:tl2br w:val="nil"/>
                    <w:tr2bl w:val="nil"/>
                  </w:tcBorders>
                  <w:noWrap w:val="0"/>
                  <w:vAlign w:val="center"/>
                </w:tcPr>
                <w:p w14:paraId="198CC5CC">
                  <w:pPr>
                    <w:pStyle w:val="34"/>
                    <w:jc w:val="center"/>
                    <w:rPr>
                      <w:rFonts w:hint="default" w:ascii="Times New Roman" w:cs="Times New Roman"/>
                      <w:color w:val="auto"/>
                      <w:sz w:val="21"/>
                      <w:szCs w:val="21"/>
                    </w:rPr>
                  </w:pPr>
                </w:p>
              </w:tc>
              <w:tc>
                <w:tcPr>
                  <w:tcW w:w="532" w:type="pct"/>
                  <w:vMerge w:val="continue"/>
                  <w:tcBorders>
                    <w:tl2br w:val="nil"/>
                    <w:tr2bl w:val="nil"/>
                  </w:tcBorders>
                  <w:noWrap w:val="0"/>
                  <w:vAlign w:val="center"/>
                </w:tcPr>
                <w:p w14:paraId="1FCA8E9E">
                  <w:pPr>
                    <w:pStyle w:val="34"/>
                    <w:jc w:val="center"/>
                    <w:rPr>
                      <w:rFonts w:hint="default" w:ascii="Times New Roman" w:cs="Times New Roman"/>
                      <w:color w:val="auto"/>
                      <w:sz w:val="21"/>
                      <w:szCs w:val="21"/>
                    </w:rPr>
                  </w:pPr>
                </w:p>
              </w:tc>
            </w:tr>
            <w:tr w14:paraId="2D4B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47" w:type="pct"/>
                  <w:vMerge w:val="restart"/>
                  <w:tcBorders>
                    <w:tl2br w:val="nil"/>
                    <w:tr2bl w:val="nil"/>
                  </w:tcBorders>
                  <w:noWrap w:val="0"/>
                  <w:vAlign w:val="center"/>
                </w:tcPr>
                <w:p w14:paraId="700361A7">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光伏场区区域</w:t>
                  </w:r>
                </w:p>
              </w:tc>
              <w:tc>
                <w:tcPr>
                  <w:tcW w:w="1099" w:type="pct"/>
                  <w:tcBorders>
                    <w:tl2br w:val="nil"/>
                    <w:tr2bl w:val="nil"/>
                  </w:tcBorders>
                  <w:noWrap w:val="0"/>
                  <w:vAlign w:val="center"/>
                </w:tcPr>
                <w:p w14:paraId="7BDC6369">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地块78</w:t>
                  </w:r>
                </w:p>
              </w:tc>
              <w:tc>
                <w:tcPr>
                  <w:tcW w:w="247" w:type="pct"/>
                  <w:tcBorders>
                    <w:tl2br w:val="nil"/>
                    <w:tr2bl w:val="nil"/>
                  </w:tcBorders>
                  <w:noWrap w:val="0"/>
                  <w:vAlign w:val="center"/>
                </w:tcPr>
                <w:p w14:paraId="02C59AC0">
                  <w:pPr>
                    <w:pStyle w:val="34"/>
                    <w:jc w:val="center"/>
                    <w:rPr>
                      <w:rFonts w:hint="default" w:ascii="Times New Roman" w:cs="Times New Roman"/>
                      <w:color w:val="auto"/>
                      <w:sz w:val="21"/>
                      <w:szCs w:val="21"/>
                    </w:rPr>
                  </w:pPr>
                  <w:r>
                    <w:rPr>
                      <w:rFonts w:hint="eastAsia" w:ascii="Times New Roman" w:cs="Times New Roman"/>
                      <w:color w:val="auto"/>
                      <w:sz w:val="21"/>
                      <w:szCs w:val="21"/>
                      <w:lang w:val="en-US" w:eastAsia="zh-CN"/>
                    </w:rPr>
                    <w:t>颜家河村</w:t>
                  </w:r>
                </w:p>
              </w:tc>
              <w:tc>
                <w:tcPr>
                  <w:tcW w:w="900" w:type="pct"/>
                  <w:tcBorders>
                    <w:tl2br w:val="nil"/>
                    <w:tr2bl w:val="nil"/>
                  </w:tcBorders>
                  <w:noWrap w:val="0"/>
                  <w:vAlign w:val="center"/>
                </w:tcPr>
                <w:p w14:paraId="2E2DC1EB">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cs="Times New Roman"/>
                      <w:color w:val="auto"/>
                      <w:sz w:val="21"/>
                      <w:szCs w:val="21"/>
                      <w:lang w:val="en-US" w:eastAsia="zh-CN"/>
                    </w:rPr>
                  </w:pPr>
                  <w:r>
                    <w:rPr>
                      <w:rFonts w:ascii="Times New Roman" w:cs="Times New Roman"/>
                      <w:color w:val="auto"/>
                      <w:sz w:val="21"/>
                      <w:szCs w:val="21"/>
                    </w:rPr>
                    <w:t>107.4502</w:t>
                  </w:r>
                </w:p>
              </w:tc>
              <w:tc>
                <w:tcPr>
                  <w:tcW w:w="837" w:type="pct"/>
                  <w:tcBorders>
                    <w:tl2br w:val="nil"/>
                    <w:tr2bl w:val="nil"/>
                  </w:tcBorders>
                  <w:noWrap w:val="0"/>
                  <w:vAlign w:val="center"/>
                </w:tcPr>
                <w:p w14:paraId="2863258D">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cs="Times New Roman"/>
                      <w:color w:val="auto"/>
                      <w:sz w:val="21"/>
                      <w:szCs w:val="21"/>
                      <w:lang w:val="en-US" w:eastAsia="zh-CN"/>
                    </w:rPr>
                  </w:pPr>
                  <w:r>
                    <w:rPr>
                      <w:rFonts w:ascii="Times New Roman" w:cs="Times New Roman"/>
                      <w:color w:val="auto"/>
                      <w:sz w:val="21"/>
                      <w:szCs w:val="21"/>
                    </w:rPr>
                    <w:t>33.1713</w:t>
                  </w:r>
                </w:p>
              </w:tc>
              <w:tc>
                <w:tcPr>
                  <w:tcW w:w="247" w:type="pct"/>
                  <w:vMerge w:val="restart"/>
                  <w:tcBorders>
                    <w:tl2br w:val="nil"/>
                    <w:tr2bl w:val="nil"/>
                  </w:tcBorders>
                  <w:noWrap w:val="0"/>
                  <w:vAlign w:val="center"/>
                </w:tcPr>
                <w:p w14:paraId="0CF2B358">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居民</w:t>
                  </w:r>
                </w:p>
              </w:tc>
              <w:tc>
                <w:tcPr>
                  <w:tcW w:w="308" w:type="pct"/>
                  <w:tcBorders>
                    <w:tl2br w:val="nil"/>
                    <w:tr2bl w:val="nil"/>
                  </w:tcBorders>
                  <w:noWrap w:val="0"/>
                  <w:vAlign w:val="center"/>
                </w:tcPr>
                <w:p w14:paraId="7E40A0D1">
                  <w:pPr>
                    <w:pStyle w:val="34"/>
                    <w:jc w:val="center"/>
                    <w:rPr>
                      <w:rFonts w:hint="default" w:ascii="Times New Roman" w:cs="Times New Roman"/>
                      <w:color w:val="auto"/>
                      <w:sz w:val="21"/>
                      <w:szCs w:val="21"/>
                    </w:rPr>
                  </w:pPr>
                  <w:r>
                    <w:rPr>
                      <w:rFonts w:hint="default" w:ascii="Times New Roman" w:cs="Times New Roman"/>
                      <w:color w:val="auto"/>
                      <w:sz w:val="21"/>
                      <w:szCs w:val="21"/>
                    </w:rPr>
                    <w:t>约</w:t>
                  </w:r>
                  <w:r>
                    <w:rPr>
                      <w:rFonts w:hint="eastAsia" w:ascii="Times New Roman" w:cs="Times New Roman"/>
                      <w:color w:val="auto"/>
                      <w:sz w:val="21"/>
                      <w:szCs w:val="21"/>
                      <w:lang w:val="en-US" w:eastAsia="zh-CN"/>
                    </w:rPr>
                    <w:t>100</w:t>
                  </w:r>
                  <w:r>
                    <w:rPr>
                      <w:rFonts w:hint="default" w:ascii="Times New Roman" w:cs="Times New Roman"/>
                      <w:color w:val="auto"/>
                      <w:sz w:val="21"/>
                      <w:szCs w:val="21"/>
                    </w:rPr>
                    <w:t>户</w:t>
                  </w:r>
                </w:p>
              </w:tc>
              <w:tc>
                <w:tcPr>
                  <w:tcW w:w="247" w:type="pct"/>
                  <w:vMerge w:val="continue"/>
                  <w:tcBorders>
                    <w:tl2br w:val="nil"/>
                    <w:tr2bl w:val="nil"/>
                  </w:tcBorders>
                  <w:noWrap w:val="0"/>
                  <w:vAlign w:val="center"/>
                </w:tcPr>
                <w:p w14:paraId="38D8CFFC">
                  <w:pPr>
                    <w:pStyle w:val="34"/>
                    <w:jc w:val="center"/>
                    <w:rPr>
                      <w:rFonts w:hint="default" w:ascii="Times New Roman" w:cs="Times New Roman"/>
                      <w:color w:val="auto"/>
                      <w:sz w:val="21"/>
                      <w:szCs w:val="21"/>
                      <w:lang w:val="en-US" w:eastAsia="zh-CN"/>
                    </w:rPr>
                  </w:pPr>
                </w:p>
              </w:tc>
              <w:tc>
                <w:tcPr>
                  <w:tcW w:w="329" w:type="pct"/>
                  <w:tcBorders>
                    <w:tl2br w:val="nil"/>
                    <w:tr2bl w:val="nil"/>
                  </w:tcBorders>
                  <w:noWrap w:val="0"/>
                  <w:vAlign w:val="center"/>
                </w:tcPr>
                <w:p w14:paraId="2138B2D0">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NW</w:t>
                  </w:r>
                </w:p>
              </w:tc>
              <w:tc>
                <w:tcPr>
                  <w:tcW w:w="532" w:type="pct"/>
                  <w:tcBorders>
                    <w:tl2br w:val="nil"/>
                    <w:tr2bl w:val="nil"/>
                  </w:tcBorders>
                  <w:noWrap w:val="0"/>
                  <w:vAlign w:val="center"/>
                </w:tcPr>
                <w:p w14:paraId="37D201B0">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130-200</w:t>
                  </w:r>
                </w:p>
              </w:tc>
            </w:tr>
            <w:tr w14:paraId="0252E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47" w:type="pct"/>
                  <w:vMerge w:val="continue"/>
                  <w:tcBorders>
                    <w:tl2br w:val="nil"/>
                    <w:tr2bl w:val="nil"/>
                  </w:tcBorders>
                  <w:noWrap w:val="0"/>
                  <w:vAlign w:val="center"/>
                </w:tcPr>
                <w:p w14:paraId="716A432B">
                  <w:pPr>
                    <w:pStyle w:val="34"/>
                    <w:jc w:val="center"/>
                    <w:rPr>
                      <w:rFonts w:hint="eastAsia" w:ascii="Times New Roman" w:cs="Times New Roman"/>
                      <w:color w:val="auto"/>
                      <w:sz w:val="21"/>
                      <w:szCs w:val="21"/>
                      <w:lang w:val="en-US" w:eastAsia="zh-CN"/>
                    </w:rPr>
                  </w:pPr>
                </w:p>
              </w:tc>
              <w:tc>
                <w:tcPr>
                  <w:tcW w:w="1099" w:type="pct"/>
                  <w:tcBorders>
                    <w:tl2br w:val="nil"/>
                    <w:tr2bl w:val="nil"/>
                  </w:tcBorders>
                  <w:noWrap w:val="0"/>
                  <w:vAlign w:val="center"/>
                </w:tcPr>
                <w:p w14:paraId="4652567F">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地块77、地块76</w:t>
                  </w:r>
                </w:p>
              </w:tc>
              <w:tc>
                <w:tcPr>
                  <w:tcW w:w="247" w:type="pct"/>
                  <w:tcBorders>
                    <w:tl2br w:val="nil"/>
                    <w:tr2bl w:val="nil"/>
                  </w:tcBorders>
                  <w:noWrap w:val="0"/>
                  <w:vAlign w:val="center"/>
                </w:tcPr>
                <w:p w14:paraId="253D0BD6">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沙河</w:t>
                  </w:r>
                </w:p>
              </w:tc>
              <w:tc>
                <w:tcPr>
                  <w:tcW w:w="900" w:type="pct"/>
                  <w:tcBorders>
                    <w:tl2br w:val="nil"/>
                    <w:tr2bl w:val="nil"/>
                  </w:tcBorders>
                  <w:noWrap w:val="0"/>
                  <w:vAlign w:val="center"/>
                </w:tcPr>
                <w:p w14:paraId="1F379178">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cs="Times New Roman"/>
                      <w:color w:val="auto"/>
                      <w:sz w:val="21"/>
                      <w:szCs w:val="21"/>
                    </w:rPr>
                  </w:pPr>
                  <w:r>
                    <w:rPr>
                      <w:rFonts w:ascii="Times New Roman" w:cs="Times New Roman"/>
                      <w:color w:val="auto"/>
                      <w:sz w:val="21"/>
                      <w:szCs w:val="21"/>
                    </w:rPr>
                    <w:t>107.49127775</w:t>
                  </w:r>
                </w:p>
              </w:tc>
              <w:tc>
                <w:tcPr>
                  <w:tcW w:w="837" w:type="pct"/>
                  <w:tcBorders>
                    <w:tl2br w:val="nil"/>
                    <w:tr2bl w:val="nil"/>
                  </w:tcBorders>
                  <w:noWrap w:val="0"/>
                  <w:vAlign w:val="center"/>
                </w:tcPr>
                <w:p w14:paraId="5BDE0D6D">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ascii="Times New Roman" w:cs="Times New Roman"/>
                      <w:color w:val="auto"/>
                      <w:sz w:val="21"/>
                      <w:szCs w:val="21"/>
                    </w:rPr>
                  </w:pPr>
                  <w:r>
                    <w:rPr>
                      <w:rFonts w:ascii="Times New Roman" w:cs="Times New Roman"/>
                      <w:color w:val="auto"/>
                      <w:sz w:val="21"/>
                      <w:szCs w:val="21"/>
                    </w:rPr>
                    <w:t xml:space="preserve"> 33.15745951</w:t>
                  </w:r>
                </w:p>
              </w:tc>
              <w:tc>
                <w:tcPr>
                  <w:tcW w:w="247" w:type="pct"/>
                  <w:vMerge w:val="continue"/>
                  <w:tcBorders>
                    <w:tl2br w:val="nil"/>
                    <w:tr2bl w:val="nil"/>
                  </w:tcBorders>
                  <w:noWrap w:val="0"/>
                  <w:vAlign w:val="center"/>
                </w:tcPr>
                <w:p w14:paraId="2DFF44A4">
                  <w:pPr>
                    <w:pStyle w:val="34"/>
                    <w:jc w:val="center"/>
                    <w:rPr>
                      <w:rFonts w:hint="eastAsia" w:ascii="Times New Roman" w:cs="Times New Roman"/>
                      <w:color w:val="auto"/>
                      <w:sz w:val="21"/>
                      <w:szCs w:val="21"/>
                      <w:lang w:val="en-US" w:eastAsia="zh-CN"/>
                    </w:rPr>
                  </w:pPr>
                </w:p>
              </w:tc>
              <w:tc>
                <w:tcPr>
                  <w:tcW w:w="308" w:type="pct"/>
                  <w:tcBorders>
                    <w:tl2br w:val="nil"/>
                    <w:tr2bl w:val="nil"/>
                  </w:tcBorders>
                  <w:noWrap w:val="0"/>
                  <w:vAlign w:val="center"/>
                </w:tcPr>
                <w:p w14:paraId="5693EB27">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10户</w:t>
                  </w:r>
                </w:p>
              </w:tc>
              <w:tc>
                <w:tcPr>
                  <w:tcW w:w="247" w:type="pct"/>
                  <w:vMerge w:val="continue"/>
                  <w:tcBorders>
                    <w:tl2br w:val="nil"/>
                    <w:tr2bl w:val="nil"/>
                  </w:tcBorders>
                  <w:noWrap w:val="0"/>
                  <w:vAlign w:val="center"/>
                </w:tcPr>
                <w:p w14:paraId="41EE4208">
                  <w:pPr>
                    <w:pStyle w:val="34"/>
                    <w:jc w:val="center"/>
                    <w:rPr>
                      <w:rFonts w:hint="default" w:ascii="Times New Roman" w:cs="Times New Roman"/>
                      <w:color w:val="auto"/>
                      <w:sz w:val="21"/>
                      <w:szCs w:val="21"/>
                      <w:lang w:val="en-US" w:eastAsia="zh-CN"/>
                    </w:rPr>
                  </w:pPr>
                </w:p>
              </w:tc>
              <w:tc>
                <w:tcPr>
                  <w:tcW w:w="329" w:type="pct"/>
                  <w:tcBorders>
                    <w:tl2br w:val="nil"/>
                    <w:tr2bl w:val="nil"/>
                  </w:tcBorders>
                  <w:noWrap w:val="0"/>
                  <w:vAlign w:val="center"/>
                </w:tcPr>
                <w:p w14:paraId="1CAB3C71">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NW</w:t>
                  </w:r>
                </w:p>
              </w:tc>
              <w:tc>
                <w:tcPr>
                  <w:tcW w:w="532" w:type="pct"/>
                  <w:tcBorders>
                    <w:tl2br w:val="nil"/>
                    <w:tr2bl w:val="nil"/>
                  </w:tcBorders>
                  <w:noWrap w:val="0"/>
                  <w:vAlign w:val="center"/>
                </w:tcPr>
                <w:p w14:paraId="393B06E7">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14-200</w:t>
                  </w:r>
                </w:p>
              </w:tc>
            </w:tr>
            <w:tr w14:paraId="5BF0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47" w:type="pct"/>
                  <w:vMerge w:val="continue"/>
                  <w:tcBorders>
                    <w:tl2br w:val="nil"/>
                    <w:tr2bl w:val="nil"/>
                  </w:tcBorders>
                  <w:noWrap w:val="0"/>
                  <w:vAlign w:val="center"/>
                </w:tcPr>
                <w:p w14:paraId="5DE1F9AA">
                  <w:pPr>
                    <w:pStyle w:val="34"/>
                    <w:jc w:val="center"/>
                    <w:rPr>
                      <w:rFonts w:hint="eastAsia" w:ascii="Times New Roman" w:cs="Times New Roman"/>
                      <w:color w:val="auto"/>
                      <w:sz w:val="21"/>
                      <w:szCs w:val="21"/>
                      <w:lang w:val="en-US" w:eastAsia="zh-CN"/>
                    </w:rPr>
                  </w:pPr>
                </w:p>
              </w:tc>
              <w:tc>
                <w:tcPr>
                  <w:tcW w:w="1099" w:type="pct"/>
                  <w:tcBorders>
                    <w:tl2br w:val="nil"/>
                    <w:tr2bl w:val="nil"/>
                  </w:tcBorders>
                  <w:noWrap w:val="0"/>
                  <w:vAlign w:val="center"/>
                </w:tcPr>
                <w:p w14:paraId="6B978F5A">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地块102、地块103</w:t>
                  </w:r>
                </w:p>
              </w:tc>
              <w:tc>
                <w:tcPr>
                  <w:tcW w:w="247" w:type="pct"/>
                  <w:tcBorders>
                    <w:tl2br w:val="nil"/>
                    <w:tr2bl w:val="nil"/>
                  </w:tcBorders>
                  <w:noWrap w:val="0"/>
                  <w:vAlign w:val="center"/>
                </w:tcPr>
                <w:p w14:paraId="00411969">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沙河湾</w:t>
                  </w:r>
                </w:p>
              </w:tc>
              <w:tc>
                <w:tcPr>
                  <w:tcW w:w="900" w:type="pct"/>
                  <w:tcBorders>
                    <w:tl2br w:val="nil"/>
                    <w:tr2bl w:val="nil"/>
                  </w:tcBorders>
                  <w:noWrap w:val="0"/>
                  <w:vAlign w:val="center"/>
                </w:tcPr>
                <w:p w14:paraId="73C4A06B">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cs="Times New Roman"/>
                      <w:color w:val="auto"/>
                      <w:sz w:val="21"/>
                      <w:szCs w:val="21"/>
                    </w:rPr>
                  </w:pPr>
                  <w:r>
                    <w:rPr>
                      <w:rFonts w:ascii="Times New Roman" w:cs="Times New Roman"/>
                      <w:color w:val="auto"/>
                      <w:sz w:val="21"/>
                      <w:szCs w:val="21"/>
                    </w:rPr>
                    <w:t>107.4878</w:t>
                  </w:r>
                </w:p>
              </w:tc>
              <w:tc>
                <w:tcPr>
                  <w:tcW w:w="837" w:type="pct"/>
                  <w:tcBorders>
                    <w:tl2br w:val="nil"/>
                    <w:tr2bl w:val="nil"/>
                  </w:tcBorders>
                  <w:noWrap w:val="0"/>
                  <w:vAlign w:val="center"/>
                </w:tcPr>
                <w:p w14:paraId="19584ACC">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cs="Times New Roman"/>
                      <w:color w:val="auto"/>
                      <w:sz w:val="21"/>
                      <w:szCs w:val="21"/>
                    </w:rPr>
                  </w:pPr>
                  <w:r>
                    <w:rPr>
                      <w:rFonts w:ascii="Times New Roman" w:cs="Times New Roman"/>
                      <w:color w:val="auto"/>
                      <w:sz w:val="21"/>
                      <w:szCs w:val="21"/>
                    </w:rPr>
                    <w:t>33.1735</w:t>
                  </w:r>
                </w:p>
              </w:tc>
              <w:tc>
                <w:tcPr>
                  <w:tcW w:w="247" w:type="pct"/>
                  <w:vMerge w:val="continue"/>
                  <w:tcBorders>
                    <w:tl2br w:val="nil"/>
                    <w:tr2bl w:val="nil"/>
                  </w:tcBorders>
                  <w:noWrap w:val="0"/>
                  <w:vAlign w:val="center"/>
                </w:tcPr>
                <w:p w14:paraId="5BCF945F">
                  <w:pPr>
                    <w:pStyle w:val="34"/>
                    <w:jc w:val="center"/>
                    <w:rPr>
                      <w:rFonts w:hint="eastAsia" w:ascii="Times New Roman" w:cs="Times New Roman"/>
                      <w:color w:val="auto"/>
                      <w:sz w:val="21"/>
                      <w:szCs w:val="21"/>
                      <w:lang w:val="en-US" w:eastAsia="zh-CN"/>
                    </w:rPr>
                  </w:pPr>
                </w:p>
              </w:tc>
              <w:tc>
                <w:tcPr>
                  <w:tcW w:w="308" w:type="pct"/>
                  <w:tcBorders>
                    <w:tl2br w:val="nil"/>
                    <w:tr2bl w:val="nil"/>
                  </w:tcBorders>
                  <w:noWrap w:val="0"/>
                  <w:vAlign w:val="center"/>
                </w:tcPr>
                <w:p w14:paraId="410C701F">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25户</w:t>
                  </w:r>
                </w:p>
              </w:tc>
              <w:tc>
                <w:tcPr>
                  <w:tcW w:w="247" w:type="pct"/>
                  <w:vMerge w:val="continue"/>
                  <w:tcBorders>
                    <w:tl2br w:val="nil"/>
                    <w:tr2bl w:val="nil"/>
                  </w:tcBorders>
                  <w:noWrap w:val="0"/>
                  <w:vAlign w:val="center"/>
                </w:tcPr>
                <w:p w14:paraId="06069EBF">
                  <w:pPr>
                    <w:pStyle w:val="34"/>
                    <w:jc w:val="center"/>
                    <w:rPr>
                      <w:rFonts w:hint="default" w:ascii="Times New Roman" w:cs="Times New Roman"/>
                      <w:color w:val="auto"/>
                      <w:sz w:val="21"/>
                      <w:szCs w:val="21"/>
                      <w:lang w:val="en-US" w:eastAsia="zh-CN"/>
                    </w:rPr>
                  </w:pPr>
                </w:p>
              </w:tc>
              <w:tc>
                <w:tcPr>
                  <w:tcW w:w="329" w:type="pct"/>
                  <w:tcBorders>
                    <w:tl2br w:val="nil"/>
                    <w:tr2bl w:val="nil"/>
                  </w:tcBorders>
                  <w:noWrap w:val="0"/>
                  <w:vAlign w:val="center"/>
                </w:tcPr>
                <w:p w14:paraId="286B9081">
                  <w:pPr>
                    <w:pStyle w:val="34"/>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NW</w:t>
                  </w:r>
                </w:p>
              </w:tc>
              <w:tc>
                <w:tcPr>
                  <w:tcW w:w="532" w:type="pct"/>
                  <w:tcBorders>
                    <w:tl2br w:val="nil"/>
                    <w:tr2bl w:val="nil"/>
                  </w:tcBorders>
                  <w:noWrap w:val="0"/>
                  <w:vAlign w:val="center"/>
                </w:tcPr>
                <w:p w14:paraId="706597B7">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39-200</w:t>
                  </w:r>
                </w:p>
              </w:tc>
            </w:tr>
            <w:tr w14:paraId="2E3EE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47" w:type="pct"/>
                  <w:vMerge w:val="continue"/>
                  <w:tcBorders>
                    <w:tl2br w:val="nil"/>
                    <w:tr2bl w:val="nil"/>
                  </w:tcBorders>
                  <w:noWrap w:val="0"/>
                  <w:vAlign w:val="center"/>
                </w:tcPr>
                <w:p w14:paraId="153E74F1">
                  <w:pPr>
                    <w:pStyle w:val="34"/>
                    <w:jc w:val="center"/>
                    <w:rPr>
                      <w:rFonts w:hint="eastAsia" w:ascii="Times New Roman" w:cs="Times New Roman"/>
                      <w:color w:val="auto"/>
                      <w:sz w:val="21"/>
                      <w:szCs w:val="21"/>
                      <w:lang w:val="en-US" w:eastAsia="zh-CN"/>
                    </w:rPr>
                  </w:pPr>
                </w:p>
              </w:tc>
              <w:tc>
                <w:tcPr>
                  <w:tcW w:w="1099" w:type="pct"/>
                  <w:tcBorders>
                    <w:tl2br w:val="nil"/>
                    <w:tr2bl w:val="nil"/>
                  </w:tcBorders>
                  <w:noWrap w:val="0"/>
                  <w:vAlign w:val="center"/>
                </w:tcPr>
                <w:p w14:paraId="259057F7">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地块60、地块61、地块64、地块59、地块62、地块58、地块57、地块56、地块52、地块55、地块53、地块51、地块54、地块50、地块48、地块47、地块49、地块36、地块37、地块38</w:t>
                  </w:r>
                </w:p>
              </w:tc>
              <w:tc>
                <w:tcPr>
                  <w:tcW w:w="247" w:type="pct"/>
                  <w:tcBorders>
                    <w:tl2br w:val="nil"/>
                    <w:tr2bl w:val="nil"/>
                  </w:tcBorders>
                  <w:noWrap w:val="0"/>
                  <w:vAlign w:val="center"/>
                </w:tcPr>
                <w:p w14:paraId="3369495B">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张山下村</w:t>
                  </w:r>
                </w:p>
              </w:tc>
              <w:tc>
                <w:tcPr>
                  <w:tcW w:w="900" w:type="pct"/>
                  <w:tcBorders>
                    <w:tl2br w:val="nil"/>
                    <w:tr2bl w:val="nil"/>
                  </w:tcBorders>
                  <w:noWrap w:val="0"/>
                  <w:vAlign w:val="center"/>
                </w:tcPr>
                <w:p w14:paraId="030BE36E">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cs="Times New Roman"/>
                      <w:color w:val="auto"/>
                      <w:sz w:val="21"/>
                      <w:szCs w:val="21"/>
                    </w:rPr>
                  </w:pPr>
                  <w:r>
                    <w:rPr>
                      <w:rFonts w:ascii="Times New Roman" w:cs="Times New Roman"/>
                      <w:color w:val="auto"/>
                      <w:sz w:val="21"/>
                      <w:szCs w:val="21"/>
                    </w:rPr>
                    <w:t>107.5029</w:t>
                  </w:r>
                </w:p>
              </w:tc>
              <w:tc>
                <w:tcPr>
                  <w:tcW w:w="837" w:type="pct"/>
                  <w:tcBorders>
                    <w:tl2br w:val="nil"/>
                    <w:tr2bl w:val="nil"/>
                  </w:tcBorders>
                  <w:noWrap w:val="0"/>
                  <w:vAlign w:val="center"/>
                </w:tcPr>
                <w:p w14:paraId="6A33C726">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cs="Times New Roman"/>
                      <w:color w:val="auto"/>
                      <w:sz w:val="21"/>
                      <w:szCs w:val="21"/>
                    </w:rPr>
                  </w:pPr>
                  <w:r>
                    <w:rPr>
                      <w:rFonts w:ascii="Times New Roman" w:cs="Times New Roman"/>
                      <w:color w:val="auto"/>
                      <w:sz w:val="21"/>
                      <w:szCs w:val="21"/>
                    </w:rPr>
                    <w:t>33.1739</w:t>
                  </w:r>
                </w:p>
              </w:tc>
              <w:tc>
                <w:tcPr>
                  <w:tcW w:w="247" w:type="pct"/>
                  <w:vMerge w:val="continue"/>
                  <w:tcBorders>
                    <w:tl2br w:val="nil"/>
                    <w:tr2bl w:val="nil"/>
                  </w:tcBorders>
                  <w:noWrap w:val="0"/>
                  <w:vAlign w:val="center"/>
                </w:tcPr>
                <w:p w14:paraId="018BB73E">
                  <w:pPr>
                    <w:pStyle w:val="34"/>
                    <w:jc w:val="center"/>
                    <w:rPr>
                      <w:rFonts w:hint="eastAsia" w:ascii="Times New Roman" w:cs="Times New Roman"/>
                      <w:color w:val="auto"/>
                      <w:sz w:val="21"/>
                      <w:szCs w:val="21"/>
                      <w:lang w:val="en-US" w:eastAsia="zh-CN"/>
                    </w:rPr>
                  </w:pPr>
                </w:p>
              </w:tc>
              <w:tc>
                <w:tcPr>
                  <w:tcW w:w="308" w:type="pct"/>
                  <w:tcBorders>
                    <w:tl2br w:val="nil"/>
                    <w:tr2bl w:val="nil"/>
                  </w:tcBorders>
                  <w:noWrap w:val="0"/>
                  <w:vAlign w:val="center"/>
                </w:tcPr>
                <w:p w14:paraId="7DCFCF56">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200户</w:t>
                  </w:r>
                </w:p>
              </w:tc>
              <w:tc>
                <w:tcPr>
                  <w:tcW w:w="247" w:type="pct"/>
                  <w:vMerge w:val="continue"/>
                  <w:tcBorders>
                    <w:tl2br w:val="nil"/>
                    <w:tr2bl w:val="nil"/>
                  </w:tcBorders>
                  <w:noWrap w:val="0"/>
                  <w:vAlign w:val="center"/>
                </w:tcPr>
                <w:p w14:paraId="3B4CCC2C">
                  <w:pPr>
                    <w:pStyle w:val="34"/>
                    <w:jc w:val="center"/>
                    <w:rPr>
                      <w:rFonts w:hint="default" w:ascii="Times New Roman" w:cs="Times New Roman"/>
                      <w:color w:val="auto"/>
                      <w:sz w:val="21"/>
                      <w:szCs w:val="21"/>
                      <w:lang w:val="en-US" w:eastAsia="zh-CN"/>
                    </w:rPr>
                  </w:pPr>
                </w:p>
              </w:tc>
              <w:tc>
                <w:tcPr>
                  <w:tcW w:w="329" w:type="pct"/>
                  <w:tcBorders>
                    <w:tl2br w:val="nil"/>
                    <w:tr2bl w:val="nil"/>
                  </w:tcBorders>
                  <w:noWrap w:val="0"/>
                  <w:vAlign w:val="center"/>
                </w:tcPr>
                <w:p w14:paraId="3DF33366">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E</w:t>
                  </w:r>
                </w:p>
              </w:tc>
              <w:tc>
                <w:tcPr>
                  <w:tcW w:w="532" w:type="pct"/>
                  <w:tcBorders>
                    <w:tl2br w:val="nil"/>
                    <w:tr2bl w:val="nil"/>
                  </w:tcBorders>
                  <w:noWrap w:val="0"/>
                  <w:vAlign w:val="center"/>
                </w:tcPr>
                <w:p w14:paraId="6F0A40F6">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8-200</w:t>
                  </w:r>
                </w:p>
              </w:tc>
            </w:tr>
            <w:tr w14:paraId="17207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47" w:type="pct"/>
                  <w:vMerge w:val="continue"/>
                  <w:tcBorders>
                    <w:tl2br w:val="nil"/>
                    <w:tr2bl w:val="nil"/>
                  </w:tcBorders>
                  <w:noWrap w:val="0"/>
                  <w:vAlign w:val="center"/>
                </w:tcPr>
                <w:p w14:paraId="4014EDE1">
                  <w:pPr>
                    <w:pStyle w:val="34"/>
                    <w:jc w:val="center"/>
                    <w:rPr>
                      <w:rFonts w:hint="eastAsia" w:ascii="Times New Roman" w:cs="Times New Roman"/>
                      <w:color w:val="auto"/>
                      <w:sz w:val="21"/>
                      <w:szCs w:val="21"/>
                      <w:lang w:val="en-US" w:eastAsia="zh-CN"/>
                    </w:rPr>
                  </w:pPr>
                </w:p>
              </w:tc>
              <w:tc>
                <w:tcPr>
                  <w:tcW w:w="1099" w:type="pct"/>
                  <w:tcBorders>
                    <w:tl2br w:val="nil"/>
                    <w:tr2bl w:val="nil"/>
                  </w:tcBorders>
                  <w:noWrap w:val="0"/>
                  <w:vAlign w:val="center"/>
                </w:tcPr>
                <w:p w14:paraId="0922F7B4">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地块63、地块53、地块54、地块48、地块47、地块49、地块35、地块34、地块、52、地块31、地块30、地块29、地块28、地块27、地块23、地块24、地块36、地块37、地块38</w:t>
                  </w:r>
                </w:p>
              </w:tc>
              <w:tc>
                <w:tcPr>
                  <w:tcW w:w="247" w:type="pct"/>
                  <w:tcBorders>
                    <w:tl2br w:val="nil"/>
                    <w:tr2bl w:val="nil"/>
                  </w:tcBorders>
                  <w:noWrap w:val="0"/>
                  <w:vAlign w:val="center"/>
                </w:tcPr>
                <w:p w14:paraId="12BD94D0">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雷张村</w:t>
                  </w:r>
                </w:p>
              </w:tc>
              <w:tc>
                <w:tcPr>
                  <w:tcW w:w="900" w:type="pct"/>
                  <w:tcBorders>
                    <w:tl2br w:val="nil"/>
                    <w:tr2bl w:val="nil"/>
                  </w:tcBorders>
                  <w:noWrap w:val="0"/>
                  <w:vAlign w:val="center"/>
                </w:tcPr>
                <w:p w14:paraId="53C53827">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cs="Times New Roman"/>
                      <w:color w:val="auto"/>
                      <w:sz w:val="21"/>
                      <w:szCs w:val="21"/>
                    </w:rPr>
                  </w:pPr>
                  <w:r>
                    <w:rPr>
                      <w:rFonts w:ascii="Times New Roman" w:cs="Times New Roman"/>
                      <w:color w:val="auto"/>
                      <w:sz w:val="21"/>
                      <w:szCs w:val="21"/>
                    </w:rPr>
                    <w:t>107.5064</w:t>
                  </w:r>
                </w:p>
              </w:tc>
              <w:tc>
                <w:tcPr>
                  <w:tcW w:w="837" w:type="pct"/>
                  <w:tcBorders>
                    <w:tl2br w:val="nil"/>
                    <w:tr2bl w:val="nil"/>
                  </w:tcBorders>
                  <w:noWrap w:val="0"/>
                  <w:vAlign w:val="center"/>
                </w:tcPr>
                <w:p w14:paraId="7615ADF6">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cs="Times New Roman"/>
                      <w:color w:val="auto"/>
                      <w:sz w:val="21"/>
                      <w:szCs w:val="21"/>
                    </w:rPr>
                  </w:pPr>
                  <w:r>
                    <w:rPr>
                      <w:rFonts w:ascii="Times New Roman" w:cs="Times New Roman"/>
                      <w:color w:val="auto"/>
                      <w:sz w:val="21"/>
                      <w:szCs w:val="21"/>
                    </w:rPr>
                    <w:t>33.1778</w:t>
                  </w:r>
                </w:p>
              </w:tc>
              <w:tc>
                <w:tcPr>
                  <w:tcW w:w="247" w:type="pct"/>
                  <w:vMerge w:val="continue"/>
                  <w:tcBorders>
                    <w:tl2br w:val="nil"/>
                    <w:tr2bl w:val="nil"/>
                  </w:tcBorders>
                  <w:noWrap w:val="0"/>
                  <w:vAlign w:val="center"/>
                </w:tcPr>
                <w:p w14:paraId="46BCCCDA">
                  <w:pPr>
                    <w:pStyle w:val="34"/>
                    <w:jc w:val="center"/>
                    <w:rPr>
                      <w:rFonts w:hint="eastAsia" w:ascii="Times New Roman" w:cs="Times New Roman"/>
                      <w:color w:val="auto"/>
                      <w:sz w:val="21"/>
                      <w:szCs w:val="21"/>
                      <w:lang w:val="en-US" w:eastAsia="zh-CN"/>
                    </w:rPr>
                  </w:pPr>
                </w:p>
              </w:tc>
              <w:tc>
                <w:tcPr>
                  <w:tcW w:w="308" w:type="pct"/>
                  <w:tcBorders>
                    <w:tl2br w:val="nil"/>
                    <w:tr2bl w:val="nil"/>
                  </w:tcBorders>
                  <w:noWrap w:val="0"/>
                  <w:vAlign w:val="center"/>
                </w:tcPr>
                <w:p w14:paraId="2C970FF9">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120户</w:t>
                  </w:r>
                </w:p>
              </w:tc>
              <w:tc>
                <w:tcPr>
                  <w:tcW w:w="247" w:type="pct"/>
                  <w:vMerge w:val="continue"/>
                  <w:tcBorders>
                    <w:tl2br w:val="nil"/>
                    <w:tr2bl w:val="nil"/>
                  </w:tcBorders>
                  <w:noWrap w:val="0"/>
                  <w:vAlign w:val="center"/>
                </w:tcPr>
                <w:p w14:paraId="71EE78FA">
                  <w:pPr>
                    <w:pStyle w:val="34"/>
                    <w:jc w:val="center"/>
                    <w:rPr>
                      <w:rFonts w:hint="default" w:ascii="Times New Roman" w:cs="Times New Roman"/>
                      <w:color w:val="auto"/>
                      <w:sz w:val="21"/>
                      <w:szCs w:val="21"/>
                      <w:lang w:val="en-US" w:eastAsia="zh-CN"/>
                    </w:rPr>
                  </w:pPr>
                </w:p>
              </w:tc>
              <w:tc>
                <w:tcPr>
                  <w:tcW w:w="329" w:type="pct"/>
                  <w:tcBorders>
                    <w:tl2br w:val="nil"/>
                    <w:tr2bl w:val="nil"/>
                  </w:tcBorders>
                  <w:noWrap w:val="0"/>
                  <w:vAlign w:val="center"/>
                </w:tcPr>
                <w:p w14:paraId="435CD9BC">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w:t>
                  </w:r>
                </w:p>
              </w:tc>
              <w:tc>
                <w:tcPr>
                  <w:tcW w:w="532" w:type="pct"/>
                  <w:tcBorders>
                    <w:tl2br w:val="nil"/>
                    <w:tr2bl w:val="nil"/>
                  </w:tcBorders>
                  <w:noWrap w:val="0"/>
                  <w:vAlign w:val="center"/>
                </w:tcPr>
                <w:p w14:paraId="7DDE64ED">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8-200</w:t>
                  </w:r>
                </w:p>
              </w:tc>
            </w:tr>
            <w:tr w14:paraId="4AF42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47" w:type="pct"/>
                  <w:vMerge w:val="continue"/>
                  <w:tcBorders>
                    <w:tl2br w:val="nil"/>
                    <w:tr2bl w:val="nil"/>
                  </w:tcBorders>
                  <w:noWrap w:val="0"/>
                  <w:vAlign w:val="center"/>
                </w:tcPr>
                <w:p w14:paraId="7590FEFF">
                  <w:pPr>
                    <w:pStyle w:val="34"/>
                    <w:jc w:val="center"/>
                    <w:rPr>
                      <w:rFonts w:hint="eastAsia" w:ascii="Times New Roman" w:cs="Times New Roman"/>
                      <w:color w:val="auto"/>
                      <w:sz w:val="21"/>
                      <w:szCs w:val="21"/>
                      <w:lang w:val="en-US" w:eastAsia="zh-CN"/>
                    </w:rPr>
                  </w:pPr>
                </w:p>
              </w:tc>
              <w:tc>
                <w:tcPr>
                  <w:tcW w:w="1099" w:type="pct"/>
                  <w:tcBorders>
                    <w:tl2br w:val="nil"/>
                    <w:tr2bl w:val="nil"/>
                  </w:tcBorders>
                  <w:noWrap w:val="0"/>
                  <w:vAlign w:val="center"/>
                </w:tcPr>
                <w:p w14:paraId="777BA8AF">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地块36、地块37、地块38、地块29、地块28、地块30、地块34、地块35、地块33、地块32、地块27、54、地块24、地块23、地块22、地块21、地块19、地块18、地块11、地块12、地块10、地块9</w:t>
                  </w:r>
                </w:p>
              </w:tc>
              <w:tc>
                <w:tcPr>
                  <w:tcW w:w="247" w:type="pct"/>
                  <w:tcBorders>
                    <w:tl2br w:val="nil"/>
                    <w:tr2bl w:val="nil"/>
                  </w:tcBorders>
                  <w:noWrap w:val="0"/>
                  <w:vAlign w:val="center"/>
                </w:tcPr>
                <w:p w14:paraId="7179674B">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白河村</w:t>
                  </w:r>
                </w:p>
              </w:tc>
              <w:tc>
                <w:tcPr>
                  <w:tcW w:w="900" w:type="pct"/>
                  <w:tcBorders>
                    <w:tl2br w:val="nil"/>
                    <w:tr2bl w:val="nil"/>
                  </w:tcBorders>
                  <w:noWrap w:val="0"/>
                  <w:vAlign w:val="center"/>
                </w:tcPr>
                <w:p w14:paraId="563489BA">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cs="Times New Roman"/>
                      <w:color w:val="auto"/>
                      <w:sz w:val="21"/>
                      <w:szCs w:val="21"/>
                    </w:rPr>
                  </w:pPr>
                  <w:r>
                    <w:rPr>
                      <w:rFonts w:ascii="Times New Roman" w:cs="Times New Roman"/>
                      <w:color w:val="auto"/>
                      <w:sz w:val="21"/>
                      <w:szCs w:val="21"/>
                    </w:rPr>
                    <w:t>107.5069</w:t>
                  </w:r>
                </w:p>
              </w:tc>
              <w:tc>
                <w:tcPr>
                  <w:tcW w:w="837" w:type="pct"/>
                  <w:tcBorders>
                    <w:tl2br w:val="nil"/>
                    <w:tr2bl w:val="nil"/>
                  </w:tcBorders>
                  <w:noWrap w:val="0"/>
                  <w:vAlign w:val="center"/>
                </w:tcPr>
                <w:p w14:paraId="7D2840B5">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cs="Times New Roman"/>
                      <w:color w:val="auto"/>
                      <w:sz w:val="21"/>
                      <w:szCs w:val="21"/>
                    </w:rPr>
                  </w:pPr>
                  <w:r>
                    <w:rPr>
                      <w:rFonts w:ascii="Times New Roman" w:cs="Times New Roman"/>
                      <w:color w:val="auto"/>
                      <w:sz w:val="21"/>
                      <w:szCs w:val="21"/>
                    </w:rPr>
                    <w:t>33.1800</w:t>
                  </w:r>
                </w:p>
              </w:tc>
              <w:tc>
                <w:tcPr>
                  <w:tcW w:w="247" w:type="pct"/>
                  <w:vMerge w:val="continue"/>
                  <w:tcBorders>
                    <w:tl2br w:val="nil"/>
                    <w:tr2bl w:val="nil"/>
                  </w:tcBorders>
                  <w:noWrap w:val="0"/>
                  <w:vAlign w:val="center"/>
                </w:tcPr>
                <w:p w14:paraId="69C9D897">
                  <w:pPr>
                    <w:pStyle w:val="34"/>
                    <w:jc w:val="center"/>
                    <w:rPr>
                      <w:rFonts w:hint="eastAsia" w:ascii="Times New Roman" w:cs="Times New Roman"/>
                      <w:color w:val="auto"/>
                      <w:sz w:val="21"/>
                      <w:szCs w:val="21"/>
                      <w:lang w:val="en-US" w:eastAsia="zh-CN"/>
                    </w:rPr>
                  </w:pPr>
                </w:p>
              </w:tc>
              <w:tc>
                <w:tcPr>
                  <w:tcW w:w="308" w:type="pct"/>
                  <w:tcBorders>
                    <w:tl2br w:val="nil"/>
                    <w:tr2bl w:val="nil"/>
                  </w:tcBorders>
                  <w:noWrap w:val="0"/>
                  <w:vAlign w:val="center"/>
                </w:tcPr>
                <w:p w14:paraId="4C68F822">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400户</w:t>
                  </w:r>
                </w:p>
              </w:tc>
              <w:tc>
                <w:tcPr>
                  <w:tcW w:w="247" w:type="pct"/>
                  <w:vMerge w:val="continue"/>
                  <w:tcBorders>
                    <w:tl2br w:val="nil"/>
                    <w:tr2bl w:val="nil"/>
                  </w:tcBorders>
                  <w:noWrap w:val="0"/>
                  <w:vAlign w:val="center"/>
                </w:tcPr>
                <w:p w14:paraId="379FB262">
                  <w:pPr>
                    <w:pStyle w:val="34"/>
                    <w:jc w:val="center"/>
                    <w:rPr>
                      <w:rFonts w:hint="default" w:ascii="Times New Roman" w:cs="Times New Roman"/>
                      <w:color w:val="auto"/>
                      <w:sz w:val="21"/>
                      <w:szCs w:val="21"/>
                      <w:lang w:val="en-US" w:eastAsia="zh-CN"/>
                    </w:rPr>
                  </w:pPr>
                </w:p>
              </w:tc>
              <w:tc>
                <w:tcPr>
                  <w:tcW w:w="329" w:type="pct"/>
                  <w:tcBorders>
                    <w:tl2br w:val="nil"/>
                    <w:tr2bl w:val="nil"/>
                  </w:tcBorders>
                  <w:noWrap w:val="0"/>
                  <w:vAlign w:val="center"/>
                </w:tcPr>
                <w:p w14:paraId="0C2DB256">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E</w:t>
                  </w:r>
                </w:p>
              </w:tc>
              <w:tc>
                <w:tcPr>
                  <w:tcW w:w="532" w:type="pct"/>
                  <w:tcBorders>
                    <w:tl2br w:val="nil"/>
                    <w:tr2bl w:val="nil"/>
                  </w:tcBorders>
                  <w:noWrap w:val="0"/>
                  <w:vAlign w:val="center"/>
                </w:tcPr>
                <w:p w14:paraId="649A04D3">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8-200</w:t>
                  </w:r>
                </w:p>
              </w:tc>
            </w:tr>
            <w:tr w14:paraId="71088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47" w:type="pct"/>
                  <w:vMerge w:val="continue"/>
                  <w:tcBorders>
                    <w:tl2br w:val="nil"/>
                    <w:tr2bl w:val="nil"/>
                  </w:tcBorders>
                  <w:noWrap w:val="0"/>
                  <w:vAlign w:val="center"/>
                </w:tcPr>
                <w:p w14:paraId="4F0C39C4">
                  <w:pPr>
                    <w:pStyle w:val="34"/>
                    <w:jc w:val="center"/>
                    <w:rPr>
                      <w:rFonts w:hint="eastAsia" w:ascii="Times New Roman" w:cs="Times New Roman"/>
                      <w:color w:val="auto"/>
                      <w:sz w:val="21"/>
                      <w:szCs w:val="21"/>
                      <w:lang w:val="en-US" w:eastAsia="zh-CN"/>
                    </w:rPr>
                  </w:pPr>
                </w:p>
              </w:tc>
              <w:tc>
                <w:tcPr>
                  <w:tcW w:w="1099" w:type="pct"/>
                  <w:tcBorders>
                    <w:tl2br w:val="nil"/>
                    <w:tr2bl w:val="nil"/>
                  </w:tcBorders>
                  <w:noWrap w:val="0"/>
                  <w:vAlign w:val="center"/>
                </w:tcPr>
                <w:p w14:paraId="6DF71CA1">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地块32、地块25、地块26、地块22、地块16、地块21、66、地块14、地块13</w:t>
                  </w:r>
                </w:p>
              </w:tc>
              <w:tc>
                <w:tcPr>
                  <w:tcW w:w="247" w:type="pct"/>
                  <w:tcBorders>
                    <w:tl2br w:val="nil"/>
                    <w:tr2bl w:val="nil"/>
                  </w:tcBorders>
                  <w:noWrap w:val="0"/>
                  <w:vAlign w:val="center"/>
                </w:tcPr>
                <w:p w14:paraId="50D39C27">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斗家村</w:t>
                  </w:r>
                </w:p>
              </w:tc>
              <w:tc>
                <w:tcPr>
                  <w:tcW w:w="900" w:type="pct"/>
                  <w:tcBorders>
                    <w:tl2br w:val="nil"/>
                    <w:tr2bl w:val="nil"/>
                  </w:tcBorders>
                  <w:noWrap w:val="0"/>
                  <w:vAlign w:val="center"/>
                </w:tcPr>
                <w:p w14:paraId="3DB90EFB">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cs="Times New Roman"/>
                      <w:color w:val="auto"/>
                      <w:sz w:val="21"/>
                      <w:szCs w:val="21"/>
                    </w:rPr>
                  </w:pPr>
                  <w:r>
                    <w:rPr>
                      <w:rFonts w:ascii="Times New Roman" w:cs="Times New Roman"/>
                      <w:color w:val="auto"/>
                      <w:sz w:val="21"/>
                      <w:szCs w:val="21"/>
                    </w:rPr>
                    <w:t>107.5047</w:t>
                  </w:r>
                </w:p>
              </w:tc>
              <w:tc>
                <w:tcPr>
                  <w:tcW w:w="837" w:type="pct"/>
                  <w:tcBorders>
                    <w:tl2br w:val="nil"/>
                    <w:tr2bl w:val="nil"/>
                  </w:tcBorders>
                  <w:noWrap w:val="0"/>
                  <w:vAlign w:val="center"/>
                </w:tcPr>
                <w:p w14:paraId="57A2D2C5">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cs="Times New Roman"/>
                      <w:color w:val="auto"/>
                      <w:sz w:val="21"/>
                      <w:szCs w:val="21"/>
                    </w:rPr>
                  </w:pPr>
                  <w:r>
                    <w:rPr>
                      <w:rFonts w:ascii="Times New Roman" w:cs="Times New Roman"/>
                      <w:color w:val="auto"/>
                      <w:sz w:val="21"/>
                      <w:szCs w:val="21"/>
                    </w:rPr>
                    <w:t>33.1895</w:t>
                  </w:r>
                </w:p>
              </w:tc>
              <w:tc>
                <w:tcPr>
                  <w:tcW w:w="247" w:type="pct"/>
                  <w:vMerge w:val="continue"/>
                  <w:tcBorders>
                    <w:tl2br w:val="nil"/>
                    <w:tr2bl w:val="nil"/>
                  </w:tcBorders>
                  <w:noWrap w:val="0"/>
                  <w:vAlign w:val="center"/>
                </w:tcPr>
                <w:p w14:paraId="66FDE08A">
                  <w:pPr>
                    <w:pStyle w:val="34"/>
                    <w:jc w:val="center"/>
                    <w:rPr>
                      <w:rFonts w:hint="eastAsia" w:ascii="Times New Roman" w:cs="Times New Roman"/>
                      <w:color w:val="auto"/>
                      <w:sz w:val="21"/>
                      <w:szCs w:val="21"/>
                      <w:lang w:val="en-US" w:eastAsia="zh-CN"/>
                    </w:rPr>
                  </w:pPr>
                </w:p>
              </w:tc>
              <w:tc>
                <w:tcPr>
                  <w:tcW w:w="308" w:type="pct"/>
                  <w:tcBorders>
                    <w:tl2br w:val="nil"/>
                    <w:tr2bl w:val="nil"/>
                  </w:tcBorders>
                  <w:noWrap w:val="0"/>
                  <w:vAlign w:val="center"/>
                </w:tcPr>
                <w:p w14:paraId="749B6529">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80户</w:t>
                  </w:r>
                </w:p>
              </w:tc>
              <w:tc>
                <w:tcPr>
                  <w:tcW w:w="247" w:type="pct"/>
                  <w:vMerge w:val="continue"/>
                  <w:tcBorders>
                    <w:tl2br w:val="nil"/>
                    <w:tr2bl w:val="nil"/>
                  </w:tcBorders>
                  <w:noWrap w:val="0"/>
                  <w:vAlign w:val="center"/>
                </w:tcPr>
                <w:p w14:paraId="30949D02">
                  <w:pPr>
                    <w:pStyle w:val="34"/>
                    <w:jc w:val="center"/>
                    <w:rPr>
                      <w:rFonts w:hint="default" w:ascii="Times New Roman" w:cs="Times New Roman"/>
                      <w:color w:val="auto"/>
                      <w:sz w:val="21"/>
                      <w:szCs w:val="21"/>
                      <w:lang w:val="en-US" w:eastAsia="zh-CN"/>
                    </w:rPr>
                  </w:pPr>
                </w:p>
              </w:tc>
              <w:tc>
                <w:tcPr>
                  <w:tcW w:w="329" w:type="pct"/>
                  <w:tcBorders>
                    <w:tl2br w:val="nil"/>
                    <w:tr2bl w:val="nil"/>
                  </w:tcBorders>
                  <w:noWrap w:val="0"/>
                  <w:vAlign w:val="center"/>
                </w:tcPr>
                <w:p w14:paraId="3444400F">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w:t>
                  </w:r>
                </w:p>
              </w:tc>
              <w:tc>
                <w:tcPr>
                  <w:tcW w:w="532" w:type="pct"/>
                  <w:tcBorders>
                    <w:tl2br w:val="nil"/>
                    <w:tr2bl w:val="nil"/>
                  </w:tcBorders>
                  <w:noWrap w:val="0"/>
                  <w:vAlign w:val="center"/>
                </w:tcPr>
                <w:p w14:paraId="2AC35F67">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69-200</w:t>
                  </w:r>
                </w:p>
              </w:tc>
            </w:tr>
            <w:tr w14:paraId="36803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47" w:type="pct"/>
                  <w:vMerge w:val="continue"/>
                  <w:tcBorders>
                    <w:tl2br w:val="nil"/>
                    <w:tr2bl w:val="nil"/>
                  </w:tcBorders>
                  <w:noWrap w:val="0"/>
                  <w:vAlign w:val="center"/>
                </w:tcPr>
                <w:p w14:paraId="4094F868">
                  <w:pPr>
                    <w:pStyle w:val="34"/>
                    <w:jc w:val="center"/>
                    <w:rPr>
                      <w:rFonts w:hint="eastAsia" w:ascii="Times New Roman" w:cs="Times New Roman"/>
                      <w:color w:val="auto"/>
                      <w:sz w:val="21"/>
                      <w:szCs w:val="21"/>
                      <w:lang w:val="en-US" w:eastAsia="zh-CN"/>
                    </w:rPr>
                  </w:pPr>
                </w:p>
              </w:tc>
              <w:tc>
                <w:tcPr>
                  <w:tcW w:w="1099" w:type="pct"/>
                  <w:tcBorders>
                    <w:tl2br w:val="nil"/>
                    <w:tr2bl w:val="nil"/>
                  </w:tcBorders>
                  <w:noWrap w:val="0"/>
                  <w:vAlign w:val="center"/>
                </w:tcPr>
                <w:p w14:paraId="4898A04E">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地块14、地块13、66、地块6</w:t>
                  </w:r>
                </w:p>
              </w:tc>
              <w:tc>
                <w:tcPr>
                  <w:tcW w:w="247" w:type="pct"/>
                  <w:tcBorders>
                    <w:tl2br w:val="nil"/>
                    <w:tr2bl w:val="nil"/>
                  </w:tcBorders>
                  <w:noWrap w:val="0"/>
                  <w:vAlign w:val="center"/>
                </w:tcPr>
                <w:p w14:paraId="47EF5933">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李家十字</w:t>
                  </w:r>
                </w:p>
              </w:tc>
              <w:tc>
                <w:tcPr>
                  <w:tcW w:w="900" w:type="pct"/>
                  <w:tcBorders>
                    <w:tl2br w:val="nil"/>
                    <w:tr2bl w:val="nil"/>
                  </w:tcBorders>
                  <w:noWrap w:val="0"/>
                  <w:vAlign w:val="center"/>
                </w:tcPr>
                <w:p w14:paraId="6A09A25F">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cs="Times New Roman"/>
                      <w:color w:val="auto"/>
                      <w:sz w:val="21"/>
                      <w:szCs w:val="21"/>
                    </w:rPr>
                  </w:pPr>
                  <w:r>
                    <w:rPr>
                      <w:rFonts w:ascii="Times New Roman" w:cs="Times New Roman"/>
                      <w:color w:val="auto"/>
                      <w:sz w:val="21"/>
                      <w:szCs w:val="21"/>
                    </w:rPr>
                    <w:t>107.5069</w:t>
                  </w:r>
                </w:p>
              </w:tc>
              <w:tc>
                <w:tcPr>
                  <w:tcW w:w="837" w:type="pct"/>
                  <w:tcBorders>
                    <w:tl2br w:val="nil"/>
                    <w:tr2bl w:val="nil"/>
                  </w:tcBorders>
                  <w:noWrap w:val="0"/>
                  <w:vAlign w:val="center"/>
                </w:tcPr>
                <w:p w14:paraId="327D2A67">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cs="Times New Roman"/>
                      <w:color w:val="auto"/>
                      <w:sz w:val="21"/>
                      <w:szCs w:val="21"/>
                    </w:rPr>
                  </w:pPr>
                  <w:r>
                    <w:rPr>
                      <w:rFonts w:ascii="Times New Roman" w:cs="Times New Roman"/>
                      <w:color w:val="auto"/>
                      <w:sz w:val="21"/>
                      <w:szCs w:val="21"/>
                    </w:rPr>
                    <w:t>33.1921</w:t>
                  </w:r>
                </w:p>
              </w:tc>
              <w:tc>
                <w:tcPr>
                  <w:tcW w:w="247" w:type="pct"/>
                  <w:vMerge w:val="continue"/>
                  <w:tcBorders>
                    <w:tl2br w:val="nil"/>
                    <w:tr2bl w:val="nil"/>
                  </w:tcBorders>
                  <w:noWrap w:val="0"/>
                  <w:vAlign w:val="center"/>
                </w:tcPr>
                <w:p w14:paraId="274C3301">
                  <w:pPr>
                    <w:pStyle w:val="34"/>
                    <w:jc w:val="center"/>
                    <w:rPr>
                      <w:rFonts w:hint="eastAsia" w:ascii="Times New Roman" w:cs="Times New Roman"/>
                      <w:color w:val="auto"/>
                      <w:sz w:val="21"/>
                      <w:szCs w:val="21"/>
                      <w:lang w:val="en-US" w:eastAsia="zh-CN"/>
                    </w:rPr>
                  </w:pPr>
                </w:p>
              </w:tc>
              <w:tc>
                <w:tcPr>
                  <w:tcW w:w="308" w:type="pct"/>
                  <w:tcBorders>
                    <w:tl2br w:val="nil"/>
                    <w:tr2bl w:val="nil"/>
                  </w:tcBorders>
                  <w:noWrap w:val="0"/>
                  <w:vAlign w:val="center"/>
                </w:tcPr>
                <w:p w14:paraId="2BF1C62F">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84户</w:t>
                  </w:r>
                </w:p>
              </w:tc>
              <w:tc>
                <w:tcPr>
                  <w:tcW w:w="247" w:type="pct"/>
                  <w:vMerge w:val="continue"/>
                  <w:tcBorders>
                    <w:tl2br w:val="nil"/>
                    <w:tr2bl w:val="nil"/>
                  </w:tcBorders>
                  <w:noWrap w:val="0"/>
                  <w:vAlign w:val="center"/>
                </w:tcPr>
                <w:p w14:paraId="578EBDDD">
                  <w:pPr>
                    <w:pStyle w:val="34"/>
                    <w:jc w:val="center"/>
                    <w:rPr>
                      <w:rFonts w:hint="default" w:ascii="Times New Roman" w:cs="Times New Roman"/>
                      <w:color w:val="auto"/>
                      <w:sz w:val="21"/>
                      <w:szCs w:val="21"/>
                      <w:lang w:val="en-US" w:eastAsia="zh-CN"/>
                    </w:rPr>
                  </w:pPr>
                </w:p>
              </w:tc>
              <w:tc>
                <w:tcPr>
                  <w:tcW w:w="329" w:type="pct"/>
                  <w:tcBorders>
                    <w:tl2br w:val="nil"/>
                    <w:tr2bl w:val="nil"/>
                  </w:tcBorders>
                  <w:noWrap w:val="0"/>
                  <w:vAlign w:val="center"/>
                </w:tcPr>
                <w:p w14:paraId="7A6A8A8A">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N</w:t>
                  </w:r>
                </w:p>
              </w:tc>
              <w:tc>
                <w:tcPr>
                  <w:tcW w:w="532" w:type="pct"/>
                  <w:tcBorders>
                    <w:tl2br w:val="nil"/>
                    <w:tr2bl w:val="nil"/>
                  </w:tcBorders>
                  <w:noWrap w:val="0"/>
                  <w:vAlign w:val="center"/>
                </w:tcPr>
                <w:p w14:paraId="7FFBA436">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126-200</w:t>
                  </w:r>
                </w:p>
              </w:tc>
            </w:tr>
            <w:tr w14:paraId="472F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47" w:type="pct"/>
                  <w:vMerge w:val="continue"/>
                  <w:tcBorders>
                    <w:tl2br w:val="nil"/>
                    <w:tr2bl w:val="nil"/>
                  </w:tcBorders>
                  <w:noWrap w:val="0"/>
                  <w:vAlign w:val="center"/>
                </w:tcPr>
                <w:p w14:paraId="29AE6B67">
                  <w:pPr>
                    <w:pStyle w:val="34"/>
                    <w:jc w:val="center"/>
                    <w:rPr>
                      <w:rFonts w:hint="eastAsia" w:ascii="Times New Roman" w:cs="Times New Roman"/>
                      <w:color w:val="auto"/>
                      <w:sz w:val="21"/>
                      <w:szCs w:val="21"/>
                      <w:lang w:val="en-US" w:eastAsia="zh-CN"/>
                    </w:rPr>
                  </w:pPr>
                </w:p>
              </w:tc>
              <w:tc>
                <w:tcPr>
                  <w:tcW w:w="1099" w:type="pct"/>
                  <w:tcBorders>
                    <w:tl2br w:val="nil"/>
                    <w:tr2bl w:val="nil"/>
                  </w:tcBorders>
                  <w:noWrap w:val="0"/>
                  <w:vAlign w:val="center"/>
                </w:tcPr>
                <w:p w14:paraId="2363E063">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地块6、地块7、地块8、地块9、地块10、地块11、地块17、地块18、地块19</w:t>
                  </w:r>
                </w:p>
              </w:tc>
              <w:tc>
                <w:tcPr>
                  <w:tcW w:w="247" w:type="pct"/>
                  <w:tcBorders>
                    <w:tl2br w:val="nil"/>
                    <w:tr2bl w:val="nil"/>
                  </w:tcBorders>
                  <w:noWrap w:val="0"/>
                  <w:vAlign w:val="center"/>
                </w:tcPr>
                <w:p w14:paraId="2CFDE169">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磨子桥镇</w:t>
                  </w:r>
                </w:p>
              </w:tc>
              <w:tc>
                <w:tcPr>
                  <w:tcW w:w="900" w:type="pct"/>
                  <w:tcBorders>
                    <w:tl2br w:val="nil"/>
                    <w:tr2bl w:val="nil"/>
                  </w:tcBorders>
                  <w:noWrap w:val="0"/>
                  <w:vAlign w:val="center"/>
                </w:tcPr>
                <w:p w14:paraId="7A554FFD">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cs="Times New Roman"/>
                      <w:color w:val="auto"/>
                      <w:sz w:val="21"/>
                      <w:szCs w:val="21"/>
                    </w:rPr>
                  </w:pPr>
                  <w:r>
                    <w:rPr>
                      <w:rFonts w:ascii="Times New Roman" w:cs="Times New Roman"/>
                      <w:color w:val="auto"/>
                      <w:sz w:val="21"/>
                      <w:szCs w:val="21"/>
                    </w:rPr>
                    <w:t>107.5141</w:t>
                  </w:r>
                </w:p>
              </w:tc>
              <w:tc>
                <w:tcPr>
                  <w:tcW w:w="837" w:type="pct"/>
                  <w:tcBorders>
                    <w:tl2br w:val="nil"/>
                    <w:tr2bl w:val="nil"/>
                  </w:tcBorders>
                  <w:noWrap w:val="0"/>
                  <w:vAlign w:val="center"/>
                </w:tcPr>
                <w:p w14:paraId="677DB239">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cs="Times New Roman"/>
                      <w:color w:val="auto"/>
                      <w:sz w:val="21"/>
                      <w:szCs w:val="21"/>
                    </w:rPr>
                  </w:pPr>
                  <w:r>
                    <w:rPr>
                      <w:rFonts w:ascii="Times New Roman" w:cs="Times New Roman"/>
                      <w:color w:val="auto"/>
                      <w:sz w:val="21"/>
                      <w:szCs w:val="21"/>
                    </w:rPr>
                    <w:t>33.1875</w:t>
                  </w:r>
                </w:p>
              </w:tc>
              <w:tc>
                <w:tcPr>
                  <w:tcW w:w="247" w:type="pct"/>
                  <w:vMerge w:val="continue"/>
                  <w:tcBorders>
                    <w:tl2br w:val="nil"/>
                    <w:tr2bl w:val="nil"/>
                  </w:tcBorders>
                  <w:noWrap w:val="0"/>
                  <w:vAlign w:val="center"/>
                </w:tcPr>
                <w:p w14:paraId="14E6B665">
                  <w:pPr>
                    <w:pStyle w:val="34"/>
                    <w:jc w:val="center"/>
                    <w:rPr>
                      <w:rFonts w:hint="eastAsia" w:ascii="Times New Roman" w:cs="Times New Roman"/>
                      <w:color w:val="auto"/>
                      <w:sz w:val="21"/>
                      <w:szCs w:val="21"/>
                      <w:lang w:val="en-US" w:eastAsia="zh-CN"/>
                    </w:rPr>
                  </w:pPr>
                </w:p>
              </w:tc>
              <w:tc>
                <w:tcPr>
                  <w:tcW w:w="308" w:type="pct"/>
                  <w:tcBorders>
                    <w:tl2br w:val="nil"/>
                    <w:tr2bl w:val="nil"/>
                  </w:tcBorders>
                  <w:noWrap w:val="0"/>
                  <w:vAlign w:val="center"/>
                </w:tcPr>
                <w:p w14:paraId="259A94C7">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500户</w:t>
                  </w:r>
                </w:p>
              </w:tc>
              <w:tc>
                <w:tcPr>
                  <w:tcW w:w="247" w:type="pct"/>
                  <w:vMerge w:val="continue"/>
                  <w:tcBorders>
                    <w:tl2br w:val="nil"/>
                    <w:tr2bl w:val="nil"/>
                  </w:tcBorders>
                  <w:noWrap w:val="0"/>
                  <w:vAlign w:val="center"/>
                </w:tcPr>
                <w:p w14:paraId="4229F90E">
                  <w:pPr>
                    <w:pStyle w:val="34"/>
                    <w:jc w:val="center"/>
                    <w:rPr>
                      <w:rFonts w:hint="default" w:ascii="Times New Roman" w:cs="Times New Roman"/>
                      <w:color w:val="auto"/>
                      <w:sz w:val="21"/>
                      <w:szCs w:val="21"/>
                      <w:lang w:val="en-US" w:eastAsia="zh-CN"/>
                    </w:rPr>
                  </w:pPr>
                </w:p>
              </w:tc>
              <w:tc>
                <w:tcPr>
                  <w:tcW w:w="329" w:type="pct"/>
                  <w:tcBorders>
                    <w:tl2br w:val="nil"/>
                    <w:tr2bl w:val="nil"/>
                  </w:tcBorders>
                  <w:noWrap w:val="0"/>
                  <w:vAlign w:val="center"/>
                </w:tcPr>
                <w:p w14:paraId="7B83EF06">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E</w:t>
                  </w:r>
                </w:p>
              </w:tc>
              <w:tc>
                <w:tcPr>
                  <w:tcW w:w="532" w:type="pct"/>
                  <w:tcBorders>
                    <w:tl2br w:val="nil"/>
                    <w:tr2bl w:val="nil"/>
                  </w:tcBorders>
                  <w:noWrap w:val="0"/>
                  <w:vAlign w:val="center"/>
                </w:tcPr>
                <w:p w14:paraId="0EA065C8">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30-200</w:t>
                  </w:r>
                </w:p>
              </w:tc>
            </w:tr>
            <w:tr w14:paraId="1E5E7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47" w:type="pct"/>
                  <w:vMerge w:val="continue"/>
                  <w:tcBorders>
                    <w:tl2br w:val="nil"/>
                    <w:tr2bl w:val="nil"/>
                  </w:tcBorders>
                  <w:noWrap w:val="0"/>
                  <w:vAlign w:val="center"/>
                </w:tcPr>
                <w:p w14:paraId="5FF1CF10">
                  <w:pPr>
                    <w:pStyle w:val="34"/>
                    <w:jc w:val="center"/>
                    <w:rPr>
                      <w:rFonts w:hint="eastAsia" w:ascii="Times New Roman" w:cs="Times New Roman"/>
                      <w:color w:val="auto"/>
                      <w:sz w:val="21"/>
                      <w:szCs w:val="21"/>
                      <w:lang w:val="en-US" w:eastAsia="zh-CN"/>
                    </w:rPr>
                  </w:pPr>
                </w:p>
              </w:tc>
              <w:tc>
                <w:tcPr>
                  <w:tcW w:w="1099" w:type="pct"/>
                  <w:tcBorders>
                    <w:tl2br w:val="nil"/>
                    <w:tr2bl w:val="nil"/>
                  </w:tcBorders>
                  <w:noWrap w:val="0"/>
                  <w:vAlign w:val="center"/>
                </w:tcPr>
                <w:p w14:paraId="721D2003">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地块5、地块4</w:t>
                  </w:r>
                </w:p>
              </w:tc>
              <w:tc>
                <w:tcPr>
                  <w:tcW w:w="247" w:type="pct"/>
                  <w:tcBorders>
                    <w:tl2br w:val="nil"/>
                    <w:tr2bl w:val="nil"/>
                  </w:tcBorders>
                  <w:noWrap w:val="0"/>
                  <w:vAlign w:val="center"/>
                </w:tcPr>
                <w:p w14:paraId="41743130">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王板坡</w:t>
                  </w:r>
                </w:p>
              </w:tc>
              <w:tc>
                <w:tcPr>
                  <w:tcW w:w="900" w:type="pct"/>
                  <w:tcBorders>
                    <w:tl2br w:val="nil"/>
                    <w:tr2bl w:val="nil"/>
                  </w:tcBorders>
                  <w:noWrap w:val="0"/>
                  <w:vAlign w:val="center"/>
                </w:tcPr>
                <w:p w14:paraId="437B1936">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cs="Times New Roman"/>
                      <w:color w:val="auto"/>
                      <w:sz w:val="21"/>
                      <w:szCs w:val="21"/>
                    </w:rPr>
                  </w:pPr>
                  <w:r>
                    <w:rPr>
                      <w:rFonts w:ascii="Times New Roman" w:cs="Times New Roman"/>
                      <w:color w:val="auto"/>
                      <w:sz w:val="21"/>
                      <w:szCs w:val="21"/>
                    </w:rPr>
                    <w:t>107.5202</w:t>
                  </w:r>
                </w:p>
              </w:tc>
              <w:tc>
                <w:tcPr>
                  <w:tcW w:w="837" w:type="pct"/>
                  <w:tcBorders>
                    <w:tl2br w:val="nil"/>
                    <w:tr2bl w:val="nil"/>
                  </w:tcBorders>
                  <w:noWrap w:val="0"/>
                  <w:vAlign w:val="center"/>
                </w:tcPr>
                <w:p w14:paraId="701FAA03">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cs="Times New Roman"/>
                      <w:color w:val="auto"/>
                      <w:sz w:val="21"/>
                      <w:szCs w:val="21"/>
                    </w:rPr>
                  </w:pPr>
                  <w:r>
                    <w:rPr>
                      <w:rFonts w:ascii="Times New Roman" w:cs="Times New Roman"/>
                      <w:color w:val="auto"/>
                      <w:sz w:val="21"/>
                      <w:szCs w:val="21"/>
                    </w:rPr>
                    <w:t>33.1753</w:t>
                  </w:r>
                </w:p>
              </w:tc>
              <w:tc>
                <w:tcPr>
                  <w:tcW w:w="247" w:type="pct"/>
                  <w:vMerge w:val="continue"/>
                  <w:tcBorders>
                    <w:tl2br w:val="nil"/>
                    <w:tr2bl w:val="nil"/>
                  </w:tcBorders>
                  <w:noWrap w:val="0"/>
                  <w:vAlign w:val="center"/>
                </w:tcPr>
                <w:p w14:paraId="07CA22B2">
                  <w:pPr>
                    <w:pStyle w:val="34"/>
                    <w:jc w:val="center"/>
                    <w:rPr>
                      <w:rFonts w:hint="eastAsia" w:ascii="Times New Roman" w:cs="Times New Roman"/>
                      <w:color w:val="auto"/>
                      <w:sz w:val="21"/>
                      <w:szCs w:val="21"/>
                      <w:lang w:val="en-US" w:eastAsia="zh-CN"/>
                    </w:rPr>
                  </w:pPr>
                </w:p>
              </w:tc>
              <w:tc>
                <w:tcPr>
                  <w:tcW w:w="308" w:type="pct"/>
                  <w:tcBorders>
                    <w:tl2br w:val="nil"/>
                    <w:tr2bl w:val="nil"/>
                  </w:tcBorders>
                  <w:noWrap w:val="0"/>
                  <w:vAlign w:val="center"/>
                </w:tcPr>
                <w:p w14:paraId="1C49F412">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80户</w:t>
                  </w:r>
                </w:p>
              </w:tc>
              <w:tc>
                <w:tcPr>
                  <w:tcW w:w="247" w:type="pct"/>
                  <w:vMerge w:val="continue"/>
                  <w:tcBorders>
                    <w:tl2br w:val="nil"/>
                    <w:tr2bl w:val="nil"/>
                  </w:tcBorders>
                  <w:noWrap w:val="0"/>
                  <w:vAlign w:val="center"/>
                </w:tcPr>
                <w:p w14:paraId="7EFF9917">
                  <w:pPr>
                    <w:pStyle w:val="34"/>
                    <w:jc w:val="center"/>
                    <w:rPr>
                      <w:rFonts w:hint="default" w:ascii="Times New Roman" w:cs="Times New Roman"/>
                      <w:color w:val="auto"/>
                      <w:sz w:val="21"/>
                      <w:szCs w:val="21"/>
                      <w:lang w:val="en-US" w:eastAsia="zh-CN"/>
                    </w:rPr>
                  </w:pPr>
                </w:p>
              </w:tc>
              <w:tc>
                <w:tcPr>
                  <w:tcW w:w="329" w:type="pct"/>
                  <w:tcBorders>
                    <w:tl2br w:val="nil"/>
                    <w:tr2bl w:val="nil"/>
                  </w:tcBorders>
                  <w:noWrap w:val="0"/>
                  <w:vAlign w:val="center"/>
                </w:tcPr>
                <w:p w14:paraId="65B91FD1">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SW</w:t>
                  </w:r>
                </w:p>
              </w:tc>
              <w:tc>
                <w:tcPr>
                  <w:tcW w:w="532" w:type="pct"/>
                  <w:tcBorders>
                    <w:tl2br w:val="nil"/>
                    <w:tr2bl w:val="nil"/>
                  </w:tcBorders>
                  <w:noWrap w:val="0"/>
                  <w:vAlign w:val="center"/>
                </w:tcPr>
                <w:p w14:paraId="13230502">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12-200</w:t>
                  </w:r>
                </w:p>
              </w:tc>
            </w:tr>
            <w:tr w14:paraId="28C6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47" w:type="pct"/>
                  <w:vMerge w:val="continue"/>
                  <w:tcBorders>
                    <w:tl2br w:val="nil"/>
                    <w:tr2bl w:val="nil"/>
                  </w:tcBorders>
                  <w:noWrap w:val="0"/>
                  <w:vAlign w:val="center"/>
                </w:tcPr>
                <w:p w14:paraId="02AB58D1">
                  <w:pPr>
                    <w:pStyle w:val="34"/>
                    <w:jc w:val="center"/>
                    <w:rPr>
                      <w:rFonts w:hint="eastAsia" w:ascii="Times New Roman" w:cs="Times New Roman"/>
                      <w:color w:val="auto"/>
                      <w:sz w:val="21"/>
                      <w:szCs w:val="21"/>
                      <w:lang w:val="en-US" w:eastAsia="zh-CN"/>
                    </w:rPr>
                  </w:pPr>
                </w:p>
              </w:tc>
              <w:tc>
                <w:tcPr>
                  <w:tcW w:w="1099" w:type="pct"/>
                  <w:tcBorders>
                    <w:tl2br w:val="nil"/>
                    <w:tr2bl w:val="nil"/>
                  </w:tcBorders>
                  <w:noWrap w:val="0"/>
                  <w:vAlign w:val="center"/>
                </w:tcPr>
                <w:p w14:paraId="40A6CAFC">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地块5、地块4、地块3</w:t>
                  </w:r>
                </w:p>
              </w:tc>
              <w:tc>
                <w:tcPr>
                  <w:tcW w:w="247" w:type="pct"/>
                  <w:tcBorders>
                    <w:tl2br w:val="nil"/>
                    <w:tr2bl w:val="nil"/>
                  </w:tcBorders>
                  <w:noWrap w:val="0"/>
                  <w:vAlign w:val="center"/>
                </w:tcPr>
                <w:p w14:paraId="74D543D1">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杨家沟</w:t>
                  </w:r>
                </w:p>
              </w:tc>
              <w:tc>
                <w:tcPr>
                  <w:tcW w:w="900" w:type="pct"/>
                  <w:tcBorders>
                    <w:tl2br w:val="nil"/>
                    <w:tr2bl w:val="nil"/>
                  </w:tcBorders>
                  <w:noWrap w:val="0"/>
                  <w:vAlign w:val="center"/>
                </w:tcPr>
                <w:p w14:paraId="4FB233E9">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cs="Times New Roman"/>
                      <w:color w:val="auto"/>
                      <w:sz w:val="21"/>
                      <w:szCs w:val="21"/>
                    </w:rPr>
                  </w:pPr>
                  <w:r>
                    <w:rPr>
                      <w:rFonts w:ascii="Times New Roman" w:cs="Times New Roman"/>
                      <w:color w:val="auto"/>
                      <w:sz w:val="21"/>
                      <w:szCs w:val="21"/>
                    </w:rPr>
                    <w:t>107.5215</w:t>
                  </w:r>
                </w:p>
              </w:tc>
              <w:tc>
                <w:tcPr>
                  <w:tcW w:w="837" w:type="pct"/>
                  <w:tcBorders>
                    <w:tl2br w:val="nil"/>
                    <w:tr2bl w:val="nil"/>
                  </w:tcBorders>
                  <w:noWrap w:val="0"/>
                  <w:vAlign w:val="center"/>
                </w:tcPr>
                <w:p w14:paraId="5528FDB5">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cs="Times New Roman"/>
                      <w:color w:val="auto"/>
                      <w:sz w:val="21"/>
                      <w:szCs w:val="21"/>
                    </w:rPr>
                  </w:pPr>
                  <w:r>
                    <w:rPr>
                      <w:rFonts w:ascii="Times New Roman" w:cs="Times New Roman"/>
                      <w:color w:val="auto"/>
                      <w:sz w:val="21"/>
                      <w:szCs w:val="21"/>
                    </w:rPr>
                    <w:t>33.1738</w:t>
                  </w:r>
                </w:p>
              </w:tc>
              <w:tc>
                <w:tcPr>
                  <w:tcW w:w="247" w:type="pct"/>
                  <w:vMerge w:val="continue"/>
                  <w:tcBorders>
                    <w:tl2br w:val="nil"/>
                    <w:tr2bl w:val="nil"/>
                  </w:tcBorders>
                  <w:noWrap w:val="0"/>
                  <w:vAlign w:val="center"/>
                </w:tcPr>
                <w:p w14:paraId="6516B0FB">
                  <w:pPr>
                    <w:pStyle w:val="34"/>
                    <w:jc w:val="center"/>
                    <w:rPr>
                      <w:rFonts w:hint="eastAsia" w:ascii="Times New Roman" w:cs="Times New Roman"/>
                      <w:color w:val="auto"/>
                      <w:sz w:val="21"/>
                      <w:szCs w:val="21"/>
                      <w:lang w:val="en-US" w:eastAsia="zh-CN"/>
                    </w:rPr>
                  </w:pPr>
                </w:p>
              </w:tc>
              <w:tc>
                <w:tcPr>
                  <w:tcW w:w="308" w:type="pct"/>
                  <w:tcBorders>
                    <w:tl2br w:val="nil"/>
                    <w:tr2bl w:val="nil"/>
                  </w:tcBorders>
                  <w:noWrap w:val="0"/>
                  <w:vAlign w:val="center"/>
                </w:tcPr>
                <w:p w14:paraId="1ECBA471">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30户</w:t>
                  </w:r>
                </w:p>
              </w:tc>
              <w:tc>
                <w:tcPr>
                  <w:tcW w:w="247" w:type="pct"/>
                  <w:vMerge w:val="continue"/>
                  <w:tcBorders>
                    <w:tl2br w:val="nil"/>
                    <w:tr2bl w:val="nil"/>
                  </w:tcBorders>
                  <w:noWrap w:val="0"/>
                  <w:vAlign w:val="center"/>
                </w:tcPr>
                <w:p w14:paraId="3DFDF423">
                  <w:pPr>
                    <w:pStyle w:val="34"/>
                    <w:jc w:val="center"/>
                    <w:rPr>
                      <w:rFonts w:hint="default" w:ascii="Times New Roman" w:cs="Times New Roman"/>
                      <w:color w:val="auto"/>
                      <w:sz w:val="21"/>
                      <w:szCs w:val="21"/>
                      <w:lang w:val="en-US" w:eastAsia="zh-CN"/>
                    </w:rPr>
                  </w:pPr>
                </w:p>
              </w:tc>
              <w:tc>
                <w:tcPr>
                  <w:tcW w:w="329" w:type="pct"/>
                  <w:tcBorders>
                    <w:tl2br w:val="nil"/>
                    <w:tr2bl w:val="nil"/>
                  </w:tcBorders>
                  <w:noWrap w:val="0"/>
                  <w:vAlign w:val="center"/>
                </w:tcPr>
                <w:p w14:paraId="150B1D73">
                  <w:pPr>
                    <w:pStyle w:val="34"/>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SW</w:t>
                  </w:r>
                </w:p>
              </w:tc>
              <w:tc>
                <w:tcPr>
                  <w:tcW w:w="532" w:type="pct"/>
                  <w:tcBorders>
                    <w:tl2br w:val="nil"/>
                    <w:tr2bl w:val="nil"/>
                  </w:tcBorders>
                  <w:noWrap w:val="0"/>
                  <w:vAlign w:val="center"/>
                </w:tcPr>
                <w:p w14:paraId="7E45052E">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180-200</w:t>
                  </w:r>
                </w:p>
              </w:tc>
            </w:tr>
            <w:tr w14:paraId="76FF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47" w:type="pct"/>
                  <w:vMerge w:val="continue"/>
                  <w:tcBorders>
                    <w:tl2br w:val="nil"/>
                    <w:tr2bl w:val="nil"/>
                  </w:tcBorders>
                  <w:noWrap w:val="0"/>
                  <w:vAlign w:val="center"/>
                </w:tcPr>
                <w:p w14:paraId="56F510B1">
                  <w:pPr>
                    <w:pStyle w:val="34"/>
                    <w:jc w:val="center"/>
                    <w:rPr>
                      <w:rFonts w:hint="eastAsia" w:ascii="Times New Roman" w:cs="Times New Roman"/>
                      <w:color w:val="auto"/>
                      <w:sz w:val="21"/>
                      <w:szCs w:val="21"/>
                      <w:lang w:val="en-US" w:eastAsia="zh-CN"/>
                    </w:rPr>
                  </w:pPr>
                </w:p>
              </w:tc>
              <w:tc>
                <w:tcPr>
                  <w:tcW w:w="1099" w:type="pct"/>
                  <w:tcBorders>
                    <w:tl2br w:val="nil"/>
                    <w:tr2bl w:val="nil"/>
                  </w:tcBorders>
                  <w:noWrap w:val="0"/>
                  <w:vAlign w:val="center"/>
                </w:tcPr>
                <w:p w14:paraId="22888AE7">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地块5、地块3、地块4</w:t>
                  </w:r>
                </w:p>
              </w:tc>
              <w:tc>
                <w:tcPr>
                  <w:tcW w:w="247" w:type="pct"/>
                  <w:tcBorders>
                    <w:tl2br w:val="nil"/>
                    <w:tr2bl w:val="nil"/>
                  </w:tcBorders>
                  <w:noWrap w:val="0"/>
                  <w:vAlign w:val="center"/>
                </w:tcPr>
                <w:p w14:paraId="282ACC63">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王家山</w:t>
                  </w:r>
                </w:p>
              </w:tc>
              <w:tc>
                <w:tcPr>
                  <w:tcW w:w="900" w:type="pct"/>
                  <w:tcBorders>
                    <w:tl2br w:val="nil"/>
                    <w:tr2bl w:val="nil"/>
                  </w:tcBorders>
                  <w:noWrap w:val="0"/>
                  <w:vAlign w:val="center"/>
                </w:tcPr>
                <w:p w14:paraId="700A1F70">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cs="Times New Roman"/>
                      <w:color w:val="auto"/>
                      <w:sz w:val="21"/>
                      <w:szCs w:val="21"/>
                    </w:rPr>
                  </w:pPr>
                  <w:r>
                    <w:rPr>
                      <w:rFonts w:ascii="Times New Roman" w:cs="Times New Roman"/>
                      <w:color w:val="auto"/>
                      <w:sz w:val="21"/>
                      <w:szCs w:val="21"/>
                    </w:rPr>
                    <w:t>107.5257</w:t>
                  </w:r>
                </w:p>
              </w:tc>
              <w:tc>
                <w:tcPr>
                  <w:tcW w:w="837" w:type="pct"/>
                  <w:tcBorders>
                    <w:tl2br w:val="nil"/>
                    <w:tr2bl w:val="nil"/>
                  </w:tcBorders>
                  <w:noWrap w:val="0"/>
                  <w:vAlign w:val="center"/>
                </w:tcPr>
                <w:p w14:paraId="513DD484">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cs="Times New Roman"/>
                      <w:color w:val="auto"/>
                      <w:sz w:val="21"/>
                      <w:szCs w:val="21"/>
                    </w:rPr>
                  </w:pPr>
                  <w:r>
                    <w:rPr>
                      <w:rFonts w:ascii="Times New Roman" w:cs="Times New Roman"/>
                      <w:color w:val="auto"/>
                      <w:sz w:val="21"/>
                      <w:szCs w:val="21"/>
                    </w:rPr>
                    <w:t>33.1769</w:t>
                  </w:r>
                </w:p>
              </w:tc>
              <w:tc>
                <w:tcPr>
                  <w:tcW w:w="247" w:type="pct"/>
                  <w:vMerge w:val="continue"/>
                  <w:tcBorders>
                    <w:tl2br w:val="nil"/>
                    <w:tr2bl w:val="nil"/>
                  </w:tcBorders>
                  <w:noWrap w:val="0"/>
                  <w:vAlign w:val="center"/>
                </w:tcPr>
                <w:p w14:paraId="77D954A2">
                  <w:pPr>
                    <w:pStyle w:val="34"/>
                    <w:jc w:val="center"/>
                    <w:rPr>
                      <w:rFonts w:hint="eastAsia" w:ascii="Times New Roman" w:cs="Times New Roman"/>
                      <w:color w:val="auto"/>
                      <w:sz w:val="21"/>
                      <w:szCs w:val="21"/>
                      <w:lang w:val="en-US" w:eastAsia="zh-CN"/>
                    </w:rPr>
                  </w:pPr>
                </w:p>
              </w:tc>
              <w:tc>
                <w:tcPr>
                  <w:tcW w:w="308" w:type="pct"/>
                  <w:tcBorders>
                    <w:tl2br w:val="nil"/>
                    <w:tr2bl w:val="nil"/>
                  </w:tcBorders>
                  <w:noWrap w:val="0"/>
                  <w:vAlign w:val="center"/>
                </w:tcPr>
                <w:p w14:paraId="2F5239DE">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200户</w:t>
                  </w:r>
                </w:p>
              </w:tc>
              <w:tc>
                <w:tcPr>
                  <w:tcW w:w="247" w:type="pct"/>
                  <w:vMerge w:val="continue"/>
                  <w:tcBorders>
                    <w:tl2br w:val="nil"/>
                    <w:tr2bl w:val="nil"/>
                  </w:tcBorders>
                  <w:noWrap w:val="0"/>
                  <w:vAlign w:val="center"/>
                </w:tcPr>
                <w:p w14:paraId="0228EA78">
                  <w:pPr>
                    <w:pStyle w:val="34"/>
                    <w:jc w:val="center"/>
                    <w:rPr>
                      <w:rFonts w:hint="default" w:ascii="Times New Roman" w:cs="Times New Roman"/>
                      <w:color w:val="auto"/>
                      <w:sz w:val="21"/>
                      <w:szCs w:val="21"/>
                      <w:lang w:val="en-US" w:eastAsia="zh-CN"/>
                    </w:rPr>
                  </w:pPr>
                </w:p>
              </w:tc>
              <w:tc>
                <w:tcPr>
                  <w:tcW w:w="329" w:type="pct"/>
                  <w:tcBorders>
                    <w:tl2br w:val="nil"/>
                    <w:tr2bl w:val="nil"/>
                  </w:tcBorders>
                  <w:noWrap w:val="0"/>
                  <w:vAlign w:val="center"/>
                </w:tcPr>
                <w:p w14:paraId="7C08B6D8">
                  <w:pPr>
                    <w:pStyle w:val="34"/>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SW</w:t>
                  </w:r>
                </w:p>
              </w:tc>
              <w:tc>
                <w:tcPr>
                  <w:tcW w:w="532" w:type="pct"/>
                  <w:tcBorders>
                    <w:tl2br w:val="nil"/>
                    <w:tr2bl w:val="nil"/>
                  </w:tcBorders>
                  <w:noWrap w:val="0"/>
                  <w:vAlign w:val="center"/>
                </w:tcPr>
                <w:p w14:paraId="7D424176">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6-200</w:t>
                  </w:r>
                </w:p>
              </w:tc>
            </w:tr>
            <w:tr w14:paraId="03B3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47" w:type="pct"/>
                  <w:tcBorders>
                    <w:tl2br w:val="nil"/>
                    <w:tr2bl w:val="nil"/>
                  </w:tcBorders>
                  <w:noWrap w:val="0"/>
                  <w:vAlign w:val="center"/>
                </w:tcPr>
                <w:p w14:paraId="1113D075">
                  <w:pPr>
                    <w:pStyle w:val="34"/>
                    <w:jc w:val="center"/>
                    <w:rPr>
                      <w:rFonts w:hint="eastAsia" w:ascii="Times New Roman" w:cs="Times New Roman"/>
                      <w:color w:val="auto"/>
                      <w:sz w:val="21"/>
                      <w:szCs w:val="21"/>
                      <w:lang w:val="en-US" w:eastAsia="zh-CN"/>
                    </w:rPr>
                  </w:pPr>
                </w:p>
              </w:tc>
              <w:tc>
                <w:tcPr>
                  <w:tcW w:w="1099" w:type="pct"/>
                  <w:tcBorders>
                    <w:tl2br w:val="nil"/>
                    <w:tr2bl w:val="nil"/>
                  </w:tcBorders>
                  <w:noWrap w:val="0"/>
                  <w:vAlign w:val="center"/>
                </w:tcPr>
                <w:p w14:paraId="118DFED8">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地块43、地块42、地块41、地块46</w:t>
                  </w:r>
                </w:p>
              </w:tc>
              <w:tc>
                <w:tcPr>
                  <w:tcW w:w="247" w:type="pct"/>
                  <w:tcBorders>
                    <w:tl2br w:val="nil"/>
                    <w:tr2bl w:val="nil"/>
                  </w:tcBorders>
                  <w:noWrap w:val="0"/>
                  <w:vAlign w:val="center"/>
                </w:tcPr>
                <w:p w14:paraId="287E5B9F">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油房</w:t>
                  </w:r>
                </w:p>
              </w:tc>
              <w:tc>
                <w:tcPr>
                  <w:tcW w:w="900" w:type="pct"/>
                  <w:tcBorders>
                    <w:tl2br w:val="nil"/>
                    <w:tr2bl w:val="nil"/>
                  </w:tcBorders>
                  <w:noWrap w:val="0"/>
                  <w:vAlign w:val="center"/>
                </w:tcPr>
                <w:p w14:paraId="1EBFA281">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cs="Times New Roman"/>
                      <w:color w:val="auto"/>
                      <w:sz w:val="21"/>
                      <w:szCs w:val="21"/>
                    </w:rPr>
                  </w:pPr>
                  <w:r>
                    <w:rPr>
                      <w:rFonts w:ascii="Times New Roman" w:cs="Times New Roman"/>
                      <w:color w:val="auto"/>
                      <w:sz w:val="21"/>
                      <w:szCs w:val="21"/>
                    </w:rPr>
                    <w:t>107.4919</w:t>
                  </w:r>
                </w:p>
              </w:tc>
              <w:tc>
                <w:tcPr>
                  <w:tcW w:w="837" w:type="pct"/>
                  <w:tcBorders>
                    <w:tl2br w:val="nil"/>
                    <w:tr2bl w:val="nil"/>
                  </w:tcBorders>
                  <w:noWrap w:val="0"/>
                  <w:vAlign w:val="center"/>
                </w:tcPr>
                <w:p w14:paraId="52175F4D">
                  <w:pPr>
                    <w:pStyle w:val="34"/>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cs="Times New Roman"/>
                      <w:color w:val="auto"/>
                      <w:sz w:val="21"/>
                      <w:szCs w:val="21"/>
                    </w:rPr>
                  </w:pPr>
                  <w:r>
                    <w:rPr>
                      <w:rFonts w:ascii="Times New Roman" w:cs="Times New Roman"/>
                      <w:color w:val="auto"/>
                      <w:sz w:val="21"/>
                      <w:szCs w:val="21"/>
                    </w:rPr>
                    <w:t>33.1837</w:t>
                  </w:r>
                </w:p>
              </w:tc>
              <w:tc>
                <w:tcPr>
                  <w:tcW w:w="247" w:type="pct"/>
                  <w:vMerge w:val="continue"/>
                  <w:tcBorders>
                    <w:tl2br w:val="nil"/>
                    <w:tr2bl w:val="nil"/>
                  </w:tcBorders>
                  <w:noWrap w:val="0"/>
                  <w:vAlign w:val="center"/>
                </w:tcPr>
                <w:p w14:paraId="7642BEB9">
                  <w:pPr>
                    <w:pStyle w:val="34"/>
                    <w:jc w:val="center"/>
                    <w:rPr>
                      <w:rFonts w:hint="eastAsia" w:ascii="Times New Roman" w:cs="Times New Roman"/>
                      <w:color w:val="auto"/>
                      <w:sz w:val="21"/>
                      <w:szCs w:val="21"/>
                      <w:lang w:val="en-US" w:eastAsia="zh-CN"/>
                    </w:rPr>
                  </w:pPr>
                </w:p>
              </w:tc>
              <w:tc>
                <w:tcPr>
                  <w:tcW w:w="308" w:type="pct"/>
                  <w:tcBorders>
                    <w:tl2br w:val="nil"/>
                    <w:tr2bl w:val="nil"/>
                  </w:tcBorders>
                  <w:noWrap w:val="0"/>
                  <w:vAlign w:val="center"/>
                </w:tcPr>
                <w:p w14:paraId="13BC2864">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35户</w:t>
                  </w:r>
                </w:p>
              </w:tc>
              <w:tc>
                <w:tcPr>
                  <w:tcW w:w="247" w:type="pct"/>
                  <w:vMerge w:val="continue"/>
                  <w:tcBorders>
                    <w:tl2br w:val="nil"/>
                    <w:tr2bl w:val="nil"/>
                  </w:tcBorders>
                  <w:noWrap w:val="0"/>
                  <w:vAlign w:val="center"/>
                </w:tcPr>
                <w:p w14:paraId="0B887289">
                  <w:pPr>
                    <w:pStyle w:val="34"/>
                    <w:jc w:val="center"/>
                    <w:rPr>
                      <w:rFonts w:hint="default" w:ascii="Times New Roman" w:cs="Times New Roman"/>
                      <w:color w:val="auto"/>
                      <w:sz w:val="21"/>
                      <w:szCs w:val="21"/>
                      <w:lang w:val="en-US" w:eastAsia="zh-CN"/>
                    </w:rPr>
                  </w:pPr>
                </w:p>
              </w:tc>
              <w:tc>
                <w:tcPr>
                  <w:tcW w:w="329" w:type="pct"/>
                  <w:tcBorders>
                    <w:tl2br w:val="nil"/>
                    <w:tr2bl w:val="nil"/>
                  </w:tcBorders>
                  <w:noWrap w:val="0"/>
                  <w:vAlign w:val="center"/>
                </w:tcPr>
                <w:p w14:paraId="102FFE4C">
                  <w:pPr>
                    <w:pStyle w:val="34"/>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SW</w:t>
                  </w:r>
                </w:p>
              </w:tc>
              <w:tc>
                <w:tcPr>
                  <w:tcW w:w="532" w:type="pct"/>
                  <w:tcBorders>
                    <w:tl2br w:val="nil"/>
                    <w:tr2bl w:val="nil"/>
                  </w:tcBorders>
                  <w:noWrap w:val="0"/>
                  <w:vAlign w:val="center"/>
                </w:tcPr>
                <w:p w14:paraId="5711691B">
                  <w:pPr>
                    <w:pStyle w:val="34"/>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124-200</w:t>
                  </w:r>
                </w:p>
              </w:tc>
            </w:tr>
          </w:tbl>
          <w:p w14:paraId="632780E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auto"/>
                <w:szCs w:val="21"/>
                <w:highlight w:val="none"/>
              </w:rPr>
            </w:pPr>
          </w:p>
          <w:p w14:paraId="01814EA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cs="Times New Roman"/>
                <w:b/>
                <w:color w:val="auto"/>
                <w:szCs w:val="21"/>
                <w:highlight w:val="none"/>
                <w:lang w:val="en-US" w:eastAsia="zh-CN"/>
              </w:rPr>
              <w:t>3-</w:t>
            </w:r>
            <w:r>
              <w:rPr>
                <w:rFonts w:hint="eastAsia" w:ascii="Times New Roman" w:hAnsi="Times New Roman" w:cs="Times New Roman"/>
                <w:b/>
                <w:color w:val="auto"/>
                <w:szCs w:val="21"/>
                <w:highlight w:val="none"/>
                <w:lang w:val="en-US" w:eastAsia="zh-CN"/>
              </w:rPr>
              <w:t>5</w:t>
            </w:r>
            <w:r>
              <w:rPr>
                <w:rFonts w:hint="default" w:ascii="Times New Roman" w:hAnsi="Times New Roman" w:eastAsia="宋体" w:cs="Times New Roman"/>
                <w:b/>
                <w:color w:val="auto"/>
                <w:szCs w:val="21"/>
                <w:highlight w:val="none"/>
              </w:rPr>
              <w:t>项目</w:t>
            </w:r>
            <w:r>
              <w:rPr>
                <w:rFonts w:hint="eastAsia" w:ascii="Times New Roman" w:hAnsi="Times New Roman" w:eastAsia="宋体" w:cs="Times New Roman"/>
                <w:b/>
                <w:color w:val="auto"/>
                <w:szCs w:val="21"/>
                <w:highlight w:val="none"/>
                <w:lang w:val="en-US" w:eastAsia="zh-CN"/>
              </w:rPr>
              <w:t>水</w:t>
            </w:r>
            <w:r>
              <w:rPr>
                <w:rFonts w:hint="default" w:ascii="Times New Roman" w:hAnsi="Times New Roman" w:eastAsia="宋体" w:cs="Times New Roman"/>
                <w:b/>
                <w:color w:val="auto"/>
                <w:szCs w:val="21"/>
                <w:highlight w:val="none"/>
              </w:rPr>
              <w:t>环境保护目标</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320"/>
              <w:gridCol w:w="3038"/>
              <w:gridCol w:w="1422"/>
              <w:gridCol w:w="2067"/>
            </w:tblGrid>
            <w:tr w14:paraId="366F9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Merge w:val="restart"/>
                  <w:tcBorders>
                    <w:tl2br w:val="nil"/>
                    <w:tr2bl w:val="nil"/>
                  </w:tcBorders>
                  <w:noWrap w:val="0"/>
                  <w:vAlign w:val="center"/>
                </w:tcPr>
                <w:p w14:paraId="5B2CE52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w:t>
                  </w:r>
                </w:p>
                <w:p w14:paraId="44CDF2AD">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要素</w:t>
                  </w:r>
                </w:p>
              </w:tc>
              <w:tc>
                <w:tcPr>
                  <w:tcW w:w="2532" w:type="pct"/>
                  <w:gridSpan w:val="2"/>
                  <w:vMerge w:val="restart"/>
                  <w:tcBorders>
                    <w:tl2br w:val="nil"/>
                    <w:tr2bl w:val="nil"/>
                  </w:tcBorders>
                  <w:noWrap w:val="0"/>
                  <w:vAlign w:val="center"/>
                </w:tcPr>
                <w:p w14:paraId="5349782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保护对象</w:t>
                  </w:r>
                </w:p>
              </w:tc>
              <w:tc>
                <w:tcPr>
                  <w:tcW w:w="2027" w:type="pct"/>
                  <w:gridSpan w:val="2"/>
                  <w:tcBorders>
                    <w:tl2br w:val="nil"/>
                    <w:tr2bl w:val="nil"/>
                  </w:tcBorders>
                  <w:noWrap w:val="0"/>
                  <w:vAlign w:val="center"/>
                </w:tcPr>
                <w:p w14:paraId="58E6E9C2">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相对位置</w:t>
                  </w:r>
                </w:p>
              </w:tc>
            </w:tr>
            <w:tr w14:paraId="40C6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Merge w:val="continue"/>
                  <w:tcBorders>
                    <w:tl2br w:val="nil"/>
                    <w:tr2bl w:val="nil"/>
                  </w:tcBorders>
                  <w:noWrap w:val="0"/>
                  <w:vAlign w:val="center"/>
                </w:tcPr>
                <w:p w14:paraId="1958D319">
                  <w:pPr>
                    <w:jc w:val="center"/>
                    <w:rPr>
                      <w:rFonts w:hint="default" w:ascii="Times New Roman" w:hAnsi="Times New Roman" w:eastAsia="宋体" w:cs="Times New Roman"/>
                      <w:color w:val="auto"/>
                      <w:szCs w:val="21"/>
                      <w:highlight w:val="none"/>
                    </w:rPr>
                  </w:pPr>
                </w:p>
              </w:tc>
              <w:tc>
                <w:tcPr>
                  <w:tcW w:w="2532" w:type="pct"/>
                  <w:gridSpan w:val="2"/>
                  <w:vMerge w:val="continue"/>
                  <w:tcBorders>
                    <w:tl2br w:val="nil"/>
                    <w:tr2bl w:val="nil"/>
                  </w:tcBorders>
                  <w:noWrap w:val="0"/>
                  <w:vAlign w:val="center"/>
                </w:tcPr>
                <w:p w14:paraId="116E70B8">
                  <w:pPr>
                    <w:jc w:val="center"/>
                    <w:rPr>
                      <w:rFonts w:hint="default" w:ascii="Times New Roman" w:hAnsi="Times New Roman" w:eastAsia="宋体" w:cs="Times New Roman"/>
                      <w:color w:val="auto"/>
                      <w:szCs w:val="21"/>
                      <w:highlight w:val="none"/>
                    </w:rPr>
                  </w:pPr>
                </w:p>
              </w:tc>
              <w:tc>
                <w:tcPr>
                  <w:tcW w:w="826" w:type="pct"/>
                  <w:tcBorders>
                    <w:tl2br w:val="nil"/>
                    <w:tr2bl w:val="nil"/>
                  </w:tcBorders>
                  <w:noWrap w:val="0"/>
                  <w:vAlign w:val="center"/>
                </w:tcPr>
                <w:p w14:paraId="2B6A9BD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方位</w:t>
                  </w:r>
                </w:p>
              </w:tc>
              <w:tc>
                <w:tcPr>
                  <w:tcW w:w="1201" w:type="pct"/>
                  <w:tcBorders>
                    <w:tl2br w:val="nil"/>
                    <w:tr2bl w:val="nil"/>
                  </w:tcBorders>
                  <w:noWrap w:val="0"/>
                  <w:vAlign w:val="center"/>
                </w:tcPr>
                <w:p w14:paraId="6453FC8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距离/m</w:t>
                  </w:r>
                </w:p>
              </w:tc>
            </w:tr>
            <w:tr w14:paraId="11F3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Merge w:val="restart"/>
                  <w:tcBorders>
                    <w:tl2br w:val="nil"/>
                    <w:tr2bl w:val="nil"/>
                  </w:tcBorders>
                  <w:noWrap w:val="0"/>
                  <w:vAlign w:val="center"/>
                </w:tcPr>
                <w:p w14:paraId="27A6752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地表水</w:t>
                  </w:r>
                </w:p>
              </w:tc>
              <w:tc>
                <w:tcPr>
                  <w:tcW w:w="2532" w:type="pct"/>
                  <w:gridSpan w:val="2"/>
                  <w:tcBorders>
                    <w:tl2br w:val="nil"/>
                    <w:tr2bl w:val="nil"/>
                  </w:tcBorders>
                  <w:noWrap w:val="0"/>
                  <w:vAlign w:val="center"/>
                </w:tcPr>
                <w:p w14:paraId="3C423519">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汉江</w:t>
                  </w:r>
                </w:p>
              </w:tc>
              <w:tc>
                <w:tcPr>
                  <w:tcW w:w="826" w:type="pct"/>
                  <w:tcBorders>
                    <w:tl2br w:val="nil"/>
                    <w:tr2bl w:val="nil"/>
                  </w:tcBorders>
                  <w:noWrap w:val="0"/>
                  <w:vAlign w:val="center"/>
                </w:tcPr>
                <w:p w14:paraId="6C6916A0">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N</w:t>
                  </w:r>
                </w:p>
              </w:tc>
              <w:tc>
                <w:tcPr>
                  <w:tcW w:w="1201" w:type="pct"/>
                  <w:tcBorders>
                    <w:tl2br w:val="nil"/>
                    <w:tr2bl w:val="nil"/>
                  </w:tcBorders>
                  <w:noWrap w:val="0"/>
                  <w:vAlign w:val="center"/>
                </w:tcPr>
                <w:p w14:paraId="42F19049">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580</w:t>
                  </w:r>
                </w:p>
              </w:tc>
            </w:tr>
            <w:tr w14:paraId="145E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Merge w:val="continue"/>
                  <w:tcBorders>
                    <w:tl2br w:val="nil"/>
                    <w:tr2bl w:val="nil"/>
                  </w:tcBorders>
                  <w:noWrap w:val="0"/>
                  <w:vAlign w:val="center"/>
                </w:tcPr>
                <w:p w14:paraId="190BCECD">
                  <w:pPr>
                    <w:jc w:val="center"/>
                    <w:rPr>
                      <w:rFonts w:hint="default" w:ascii="Times New Roman" w:hAnsi="Times New Roman" w:eastAsia="宋体" w:cs="Times New Roman"/>
                      <w:color w:val="auto"/>
                      <w:szCs w:val="21"/>
                      <w:highlight w:val="none"/>
                    </w:rPr>
                  </w:pPr>
                </w:p>
              </w:tc>
              <w:tc>
                <w:tcPr>
                  <w:tcW w:w="2532" w:type="pct"/>
                  <w:gridSpan w:val="2"/>
                  <w:tcBorders>
                    <w:tl2br w:val="nil"/>
                    <w:tr2bl w:val="nil"/>
                  </w:tcBorders>
                  <w:noWrap w:val="0"/>
                  <w:vAlign w:val="center"/>
                </w:tcPr>
                <w:p w14:paraId="7F075CB0">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沙河水库</w:t>
                  </w:r>
                </w:p>
              </w:tc>
              <w:tc>
                <w:tcPr>
                  <w:tcW w:w="826" w:type="pct"/>
                  <w:tcBorders>
                    <w:tl2br w:val="nil"/>
                    <w:tr2bl w:val="nil"/>
                  </w:tcBorders>
                  <w:noWrap w:val="0"/>
                  <w:vAlign w:val="center"/>
                </w:tcPr>
                <w:p w14:paraId="42494886">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S</w:t>
                  </w:r>
                </w:p>
              </w:tc>
              <w:tc>
                <w:tcPr>
                  <w:tcW w:w="1201" w:type="pct"/>
                  <w:tcBorders>
                    <w:tl2br w:val="nil"/>
                    <w:tr2bl w:val="nil"/>
                  </w:tcBorders>
                  <w:noWrap w:val="0"/>
                  <w:vAlign w:val="center"/>
                </w:tcPr>
                <w:p w14:paraId="1A64564F">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w:t>
                  </w:r>
                </w:p>
              </w:tc>
            </w:tr>
            <w:tr w14:paraId="1A6DB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Merge w:val="restart"/>
                  <w:tcBorders>
                    <w:tl2br w:val="nil"/>
                    <w:tr2bl w:val="nil"/>
                  </w:tcBorders>
                  <w:noWrap w:val="0"/>
                  <w:vAlign w:val="center"/>
                </w:tcPr>
                <w:p w14:paraId="5A6D0E99">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地下水</w:t>
                  </w:r>
                </w:p>
              </w:tc>
              <w:tc>
                <w:tcPr>
                  <w:tcW w:w="767" w:type="pct"/>
                  <w:vMerge w:val="restart"/>
                  <w:tcBorders>
                    <w:tl2br w:val="nil"/>
                    <w:tr2bl w:val="nil"/>
                  </w:tcBorders>
                  <w:noWrap w:val="0"/>
                  <w:vAlign w:val="center"/>
                </w:tcPr>
                <w:p w14:paraId="436E054E">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磨子桥镇水源保护区（陕环函〔</w:t>
                  </w:r>
                  <w:r>
                    <w:rPr>
                      <w:rFonts w:hint="default" w:ascii="Times New Roman" w:hAnsi="Times New Roman" w:eastAsia="宋体" w:cs="Times New Roman"/>
                      <w:color w:val="auto"/>
                      <w:szCs w:val="21"/>
                      <w:highlight w:val="none"/>
                      <w:lang w:val="en-US" w:eastAsia="zh-CN"/>
                    </w:rPr>
                    <w:t>202</w:t>
                  </w:r>
                  <w:r>
                    <w:rPr>
                      <w:rFonts w:hint="eastAsia" w:ascii="Times New Roman" w:hAnsi="Times New Roman" w:eastAsia="宋体" w:cs="Times New Roman"/>
                      <w:color w:val="auto"/>
                      <w:szCs w:val="21"/>
                      <w:highlight w:val="none"/>
                      <w:lang w:val="en-US" w:eastAsia="zh-CN"/>
                    </w:rPr>
                    <w:t>0</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120</w:t>
                  </w:r>
                  <w:r>
                    <w:rPr>
                      <w:rFonts w:hint="default" w:ascii="Times New Roman" w:hAnsi="Times New Roman" w:eastAsia="宋体" w:cs="Times New Roman"/>
                      <w:color w:val="auto"/>
                      <w:szCs w:val="21"/>
                      <w:highlight w:val="none"/>
                      <w:lang w:val="en-US" w:eastAsia="zh-CN"/>
                    </w:rPr>
                    <w:t>号</w:t>
                  </w:r>
                  <w:r>
                    <w:rPr>
                      <w:rFonts w:hint="eastAsia" w:ascii="Times New Roman" w:hAnsi="Times New Roman" w:eastAsia="宋体" w:cs="Times New Roman"/>
                      <w:color w:val="auto"/>
                      <w:szCs w:val="21"/>
                      <w:highlight w:val="none"/>
                      <w:lang w:val="en-US" w:eastAsia="zh-CN"/>
                    </w:rPr>
                    <w:t>）</w:t>
                  </w:r>
                </w:p>
              </w:tc>
              <w:tc>
                <w:tcPr>
                  <w:tcW w:w="1765" w:type="pct"/>
                  <w:tcBorders>
                    <w:tl2br w:val="nil"/>
                    <w:tr2bl w:val="nil"/>
                  </w:tcBorders>
                  <w:noWrap w:val="0"/>
                  <w:vAlign w:val="center"/>
                </w:tcPr>
                <w:p w14:paraId="24FADD3D">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一级保护区：以水源井为中心，</w:t>
                  </w:r>
                  <w:r>
                    <w:rPr>
                      <w:rFonts w:hint="default" w:ascii="Times New Roman" w:hAnsi="Times New Roman" w:eastAsia="宋体" w:cs="Times New Roman"/>
                      <w:color w:val="auto"/>
                      <w:szCs w:val="21"/>
                      <w:highlight w:val="none"/>
                      <w:lang w:val="en-US" w:eastAsia="zh-CN"/>
                    </w:rPr>
                    <w:t>46.72m</w:t>
                  </w:r>
                  <w:r>
                    <w:rPr>
                      <w:rFonts w:hint="eastAsia" w:ascii="Times New Roman" w:hAnsi="Times New Roman" w:eastAsia="宋体" w:cs="Times New Roman"/>
                      <w:color w:val="auto"/>
                      <w:szCs w:val="21"/>
                      <w:highlight w:val="none"/>
                      <w:lang w:val="en-US" w:eastAsia="zh-CN"/>
                    </w:rPr>
                    <w:t>为半径的圆形区域，以供水站围墙为界。一级保护区面积</w:t>
                  </w:r>
                  <w:r>
                    <w:rPr>
                      <w:rFonts w:hint="default" w:ascii="Times New Roman" w:hAnsi="Times New Roman" w:eastAsia="宋体" w:cs="Times New Roman"/>
                      <w:color w:val="auto"/>
                      <w:szCs w:val="21"/>
                      <w:highlight w:val="none"/>
                      <w:lang w:val="en-US" w:eastAsia="zh-CN"/>
                    </w:rPr>
                    <w:t>0.1546hm</w:t>
                  </w:r>
                  <w:r>
                    <w:rPr>
                      <w:rFonts w:hint="default" w:ascii="Times New Roman" w:hAnsi="Times New Roman" w:eastAsia="宋体" w:cs="Times New Roman"/>
                      <w:color w:val="auto"/>
                      <w:szCs w:val="21"/>
                      <w:highlight w:val="none"/>
                      <w:vertAlign w:val="superscript"/>
                      <w:lang w:val="en-US" w:eastAsia="zh-CN"/>
                    </w:rPr>
                    <w:t>2</w:t>
                  </w:r>
                  <w:r>
                    <w:rPr>
                      <w:rFonts w:hint="eastAsia" w:ascii="Times New Roman" w:hAnsi="Times New Roman" w:eastAsia="宋体" w:cs="Times New Roman"/>
                      <w:color w:val="auto"/>
                      <w:szCs w:val="21"/>
                      <w:highlight w:val="none"/>
                      <w:lang w:val="en-US" w:eastAsia="zh-CN"/>
                    </w:rPr>
                    <w:t>。</w:t>
                  </w:r>
                </w:p>
              </w:tc>
              <w:tc>
                <w:tcPr>
                  <w:tcW w:w="826" w:type="pct"/>
                  <w:tcBorders>
                    <w:tl2br w:val="nil"/>
                    <w:tr2bl w:val="nil"/>
                  </w:tcBorders>
                  <w:noWrap w:val="0"/>
                  <w:vAlign w:val="center"/>
                </w:tcPr>
                <w:p w14:paraId="61F7C0CC">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NE</w:t>
                  </w:r>
                </w:p>
              </w:tc>
              <w:tc>
                <w:tcPr>
                  <w:tcW w:w="1201" w:type="pct"/>
                  <w:tcBorders>
                    <w:tl2br w:val="nil"/>
                    <w:tr2bl w:val="nil"/>
                  </w:tcBorders>
                  <w:noWrap w:val="0"/>
                  <w:vAlign w:val="center"/>
                </w:tcPr>
                <w:p w14:paraId="0BCE7109">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1108</w:t>
                  </w:r>
                </w:p>
              </w:tc>
            </w:tr>
            <w:tr w14:paraId="3347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Merge w:val="continue"/>
                  <w:tcBorders>
                    <w:tl2br w:val="nil"/>
                    <w:tr2bl w:val="nil"/>
                  </w:tcBorders>
                  <w:noWrap w:val="0"/>
                  <w:vAlign w:val="center"/>
                </w:tcPr>
                <w:p w14:paraId="2593DDFE">
                  <w:pPr>
                    <w:jc w:val="center"/>
                    <w:rPr>
                      <w:color w:val="auto"/>
                    </w:rPr>
                  </w:pPr>
                </w:p>
              </w:tc>
              <w:tc>
                <w:tcPr>
                  <w:tcW w:w="767" w:type="pct"/>
                  <w:vMerge w:val="continue"/>
                  <w:tcBorders>
                    <w:tl2br w:val="nil"/>
                    <w:tr2bl w:val="nil"/>
                  </w:tcBorders>
                  <w:noWrap w:val="0"/>
                  <w:vAlign w:val="center"/>
                </w:tcPr>
                <w:p w14:paraId="4626A213">
                  <w:pPr>
                    <w:jc w:val="center"/>
                    <w:rPr>
                      <w:rFonts w:hint="eastAsia" w:ascii="Times New Roman" w:hAnsi="Times New Roman" w:eastAsia="宋体" w:cs="Times New Roman"/>
                      <w:color w:val="auto"/>
                      <w:szCs w:val="21"/>
                      <w:highlight w:val="none"/>
                      <w:lang w:val="en-US" w:eastAsia="zh-CN"/>
                    </w:rPr>
                  </w:pPr>
                </w:p>
              </w:tc>
              <w:tc>
                <w:tcPr>
                  <w:tcW w:w="1765" w:type="pct"/>
                  <w:tcBorders>
                    <w:tl2br w:val="nil"/>
                    <w:tr2bl w:val="nil"/>
                  </w:tcBorders>
                  <w:noWrap w:val="0"/>
                  <w:vAlign w:val="center"/>
                </w:tcPr>
                <w:p w14:paraId="31BE3FA3">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准保护区：西侧以一级保护区外延</w:t>
                  </w:r>
                  <w:r>
                    <w:rPr>
                      <w:rFonts w:hint="default" w:ascii="Times New Roman" w:hAnsi="Times New Roman" w:eastAsia="宋体" w:cs="Times New Roman"/>
                      <w:color w:val="auto"/>
                      <w:szCs w:val="21"/>
                      <w:highlight w:val="none"/>
                      <w:lang w:val="en-US" w:eastAsia="zh-CN"/>
                    </w:rPr>
                    <w:t>30m</w:t>
                  </w:r>
                  <w:r>
                    <w:rPr>
                      <w:rFonts w:hint="eastAsia" w:ascii="Times New Roman" w:hAnsi="Times New Roman" w:eastAsia="宋体" w:cs="Times New Roman"/>
                      <w:color w:val="auto"/>
                      <w:szCs w:val="21"/>
                      <w:highlight w:val="none"/>
                      <w:lang w:val="en-US" w:eastAsia="zh-CN"/>
                    </w:rPr>
                    <w:t>的范围作为准保护区，东侧、北侧、南侧以在建的工业园区边界作为准保护区（包括整个工业园区），准保护区总面积</w:t>
                  </w:r>
                  <w:r>
                    <w:rPr>
                      <w:rFonts w:hint="default" w:ascii="Times New Roman" w:hAnsi="Times New Roman" w:eastAsia="宋体" w:cs="Times New Roman"/>
                      <w:color w:val="auto"/>
                      <w:szCs w:val="21"/>
                      <w:highlight w:val="none"/>
                      <w:lang w:val="en-US" w:eastAsia="zh-CN"/>
                    </w:rPr>
                    <w:t>22.0314hm</w:t>
                  </w:r>
                  <w:r>
                    <w:rPr>
                      <w:rFonts w:hint="default" w:ascii="Times New Roman" w:hAnsi="Times New Roman" w:eastAsia="宋体" w:cs="Times New Roman"/>
                      <w:color w:val="auto"/>
                      <w:szCs w:val="21"/>
                      <w:highlight w:val="none"/>
                      <w:vertAlign w:val="superscript"/>
                      <w:lang w:val="en-US" w:eastAsia="zh-CN"/>
                    </w:rPr>
                    <w:t>2</w:t>
                  </w:r>
                  <w:r>
                    <w:rPr>
                      <w:rFonts w:hint="eastAsia" w:ascii="Times New Roman" w:hAnsi="Times New Roman" w:eastAsia="宋体" w:cs="Times New Roman"/>
                      <w:color w:val="auto"/>
                      <w:szCs w:val="21"/>
                      <w:highlight w:val="none"/>
                      <w:lang w:val="en-US" w:eastAsia="zh-CN"/>
                    </w:rPr>
                    <w:t>。</w:t>
                  </w:r>
                </w:p>
              </w:tc>
              <w:tc>
                <w:tcPr>
                  <w:tcW w:w="826" w:type="pct"/>
                  <w:tcBorders>
                    <w:tl2br w:val="nil"/>
                    <w:tr2bl w:val="nil"/>
                  </w:tcBorders>
                  <w:noWrap w:val="0"/>
                  <w:vAlign w:val="center"/>
                </w:tcPr>
                <w:p w14:paraId="3AF7A177">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1201" w:type="pct"/>
                  <w:tcBorders>
                    <w:tl2br w:val="nil"/>
                    <w:tr2bl w:val="nil"/>
                  </w:tcBorders>
                  <w:noWrap w:val="0"/>
                  <w:vAlign w:val="center"/>
                </w:tcPr>
                <w:p w14:paraId="4F1758D5">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958</w:t>
                  </w:r>
                </w:p>
              </w:tc>
            </w:tr>
          </w:tbl>
          <w:p w14:paraId="13CF07C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eastAsia="宋体" w:cs="Times New Roman"/>
                <w:b w:val="0"/>
                <w:bCs/>
                <w:color w:val="auto"/>
                <w:kern w:val="0"/>
                <w:sz w:val="24"/>
                <w:szCs w:val="24"/>
                <w:highlight w:val="none"/>
                <w:lang w:val="en-US" w:eastAsia="zh-CN"/>
              </w:rPr>
              <w:t>项目与磨子桥镇水源保护地位置关系详见附图8</w:t>
            </w:r>
          </w:p>
          <w:p w14:paraId="27C4EC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18"/>
                <w:highlight w:val="none"/>
              </w:rPr>
            </w:pPr>
            <w:r>
              <w:rPr>
                <w:rFonts w:hint="default" w:ascii="Times New Roman" w:hAnsi="Times New Roman" w:cs="Times New Roman"/>
                <w:b/>
                <w:bCs/>
                <w:color w:val="auto"/>
                <w:sz w:val="21"/>
                <w:szCs w:val="18"/>
                <w:highlight w:val="none"/>
              </w:rPr>
              <w:t>表</w:t>
            </w:r>
            <w:r>
              <w:rPr>
                <w:rFonts w:hint="default" w:ascii="Times New Roman" w:hAnsi="Times New Roman" w:cs="Times New Roman"/>
                <w:b/>
                <w:bCs/>
                <w:color w:val="auto"/>
                <w:sz w:val="21"/>
                <w:szCs w:val="18"/>
                <w:highlight w:val="none"/>
                <w:lang w:val="en-US" w:eastAsia="zh-CN"/>
              </w:rPr>
              <w:t>3</w:t>
            </w:r>
            <w:r>
              <w:rPr>
                <w:rFonts w:hint="default" w:ascii="Times New Roman" w:hAnsi="Times New Roman" w:cs="Times New Roman"/>
                <w:b/>
                <w:bCs/>
                <w:color w:val="auto"/>
                <w:sz w:val="21"/>
                <w:szCs w:val="18"/>
                <w:highlight w:val="none"/>
              </w:rPr>
              <w:t>-</w:t>
            </w:r>
            <w:r>
              <w:rPr>
                <w:rFonts w:hint="eastAsia" w:ascii="Times New Roman" w:hAnsi="Times New Roman" w:cs="Times New Roman"/>
                <w:b/>
                <w:bCs/>
                <w:color w:val="auto"/>
                <w:sz w:val="21"/>
                <w:szCs w:val="18"/>
                <w:highlight w:val="none"/>
                <w:lang w:val="en-US" w:eastAsia="zh-CN"/>
              </w:rPr>
              <w:t>6</w:t>
            </w:r>
            <w:r>
              <w:rPr>
                <w:rFonts w:hint="default" w:ascii="Times New Roman" w:hAnsi="Times New Roman" w:cs="Times New Roman"/>
                <w:b/>
                <w:bCs/>
                <w:color w:val="auto"/>
                <w:sz w:val="21"/>
                <w:szCs w:val="18"/>
                <w:highlight w:val="none"/>
              </w:rPr>
              <w:t>生态环境敏感目标一览表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1936"/>
              <w:gridCol w:w="2482"/>
              <w:gridCol w:w="4185"/>
            </w:tblGrid>
            <w:tr w14:paraId="7CDA1A8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5" w:type="pct"/>
                  <w:tcBorders>
                    <w:tl2br w:val="nil"/>
                    <w:tr2bl w:val="nil"/>
                  </w:tcBorders>
                  <w:noWrap w:val="0"/>
                  <w:vAlign w:val="center"/>
                </w:tcPr>
                <w:p w14:paraId="1EC1B87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szCs w:val="21"/>
                      <w:highlight w:val="none"/>
                    </w:rPr>
                    <w:t>环境要素</w:t>
                  </w:r>
                </w:p>
              </w:tc>
              <w:tc>
                <w:tcPr>
                  <w:tcW w:w="1442" w:type="pct"/>
                  <w:tcBorders>
                    <w:tl2br w:val="nil"/>
                    <w:tr2bl w:val="nil"/>
                  </w:tcBorders>
                  <w:noWrap w:val="0"/>
                  <w:vAlign w:val="center"/>
                </w:tcPr>
                <w:p w14:paraId="0893B56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rPr>
                    <w:t>保护对象</w:t>
                  </w:r>
                </w:p>
              </w:tc>
              <w:tc>
                <w:tcPr>
                  <w:tcW w:w="2431" w:type="pct"/>
                  <w:tcBorders>
                    <w:tl2br w:val="nil"/>
                    <w:tr2bl w:val="nil"/>
                  </w:tcBorders>
                  <w:noWrap w:val="0"/>
                  <w:vAlign w:val="center"/>
                </w:tcPr>
                <w:p w14:paraId="2500670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rPr>
                    <w:t>保护目标要求</w:t>
                  </w:r>
                </w:p>
              </w:tc>
            </w:tr>
            <w:tr w14:paraId="7A99EB9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5" w:type="pct"/>
                  <w:tcBorders>
                    <w:tl2br w:val="nil"/>
                    <w:tr2bl w:val="nil"/>
                  </w:tcBorders>
                  <w:noWrap w:val="0"/>
                  <w:vAlign w:val="center"/>
                </w:tcPr>
                <w:p w14:paraId="0F65D1B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Theme="minorEastAsia"/>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生态</w:t>
                  </w:r>
                </w:p>
              </w:tc>
              <w:tc>
                <w:tcPr>
                  <w:tcW w:w="1442" w:type="pct"/>
                  <w:tcBorders>
                    <w:tl2br w:val="nil"/>
                    <w:tr2bl w:val="nil"/>
                  </w:tcBorders>
                  <w:noWrap w:val="0"/>
                  <w:vAlign w:val="center"/>
                </w:tcPr>
                <w:p w14:paraId="17F8DBF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r>
                    <w:rPr>
                      <w:rFonts w:hint="eastAsia" w:ascii="Times New Roman" w:hAnsi="Times New Roman" w:eastAsia="宋体" w:cs="Times New Roman"/>
                      <w:color w:val="auto"/>
                      <w:sz w:val="21"/>
                      <w:szCs w:val="21"/>
                      <w:highlight w:val="none"/>
                      <w:lang w:eastAsia="zh-CN"/>
                    </w:rPr>
                    <w:t>占地</w:t>
                  </w:r>
                  <w:r>
                    <w:rPr>
                      <w:rFonts w:hint="default" w:ascii="Times New Roman" w:hAnsi="Times New Roman" w:eastAsia="宋体" w:cs="Times New Roman"/>
                      <w:color w:val="auto"/>
                      <w:sz w:val="21"/>
                      <w:szCs w:val="21"/>
                      <w:highlight w:val="none"/>
                    </w:rPr>
                    <w:t>及周边的</w:t>
                  </w:r>
                </w:p>
                <w:p w14:paraId="3AD3A5E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1"/>
                      <w:szCs w:val="21"/>
                      <w:highlight w:val="none"/>
                      <w:lang w:eastAsia="zh-CN"/>
                    </w:rPr>
                  </w:pPr>
                  <w:r>
                    <w:rPr>
                      <w:rFonts w:hint="default" w:ascii="Times New Roman" w:hAnsi="Times New Roman" w:eastAsia="宋体" w:cs="Times New Roman"/>
                      <w:color w:val="auto"/>
                      <w:sz w:val="21"/>
                      <w:szCs w:val="21"/>
                      <w:highlight w:val="none"/>
                    </w:rPr>
                    <w:t>野生</w:t>
                  </w:r>
                  <w:r>
                    <w:rPr>
                      <w:rFonts w:hint="eastAsia" w:ascii="Times New Roman" w:hAnsi="Times New Roman" w:eastAsia="宋体" w:cs="Times New Roman"/>
                      <w:color w:val="auto"/>
                      <w:sz w:val="21"/>
                      <w:szCs w:val="21"/>
                      <w:highlight w:val="none"/>
                      <w:lang w:eastAsia="zh-CN"/>
                    </w:rPr>
                    <w:t>动植物</w:t>
                  </w:r>
                </w:p>
              </w:tc>
              <w:tc>
                <w:tcPr>
                  <w:tcW w:w="2431" w:type="pct"/>
                  <w:tcBorders>
                    <w:tl2br w:val="nil"/>
                    <w:tr2bl w:val="nil"/>
                  </w:tcBorders>
                  <w:noWrap w:val="0"/>
                  <w:vAlign w:val="center"/>
                </w:tcPr>
                <w:p w14:paraId="30D17A0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rPr>
                    <w:t>从保护生态功能角度对工程建设方案提出建议、措施，不破坏生物的多样性和生态系统的完整性</w:t>
                  </w:r>
                </w:p>
              </w:tc>
            </w:tr>
            <w:tr w14:paraId="47785EB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5" w:type="pct"/>
                  <w:tcBorders>
                    <w:tl2br w:val="nil"/>
                    <w:tr2bl w:val="nil"/>
                  </w:tcBorders>
                  <w:noWrap w:val="0"/>
                  <w:vAlign w:val="center"/>
                </w:tcPr>
                <w:p w14:paraId="3E9F2D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rPr>
                    <w:t>水土流失</w:t>
                  </w:r>
                </w:p>
              </w:tc>
              <w:tc>
                <w:tcPr>
                  <w:tcW w:w="1442" w:type="pct"/>
                  <w:tcBorders>
                    <w:tl2br w:val="nil"/>
                    <w:tr2bl w:val="nil"/>
                  </w:tcBorders>
                  <w:noWrap w:val="0"/>
                  <w:vAlign w:val="center"/>
                </w:tcPr>
                <w:p w14:paraId="1A04D29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1"/>
                      <w:szCs w:val="21"/>
                      <w:highlight w:val="none"/>
                      <w:lang w:eastAsia="zh-CN"/>
                    </w:rPr>
                  </w:pPr>
                  <w:r>
                    <w:rPr>
                      <w:rFonts w:hint="default" w:ascii="Times New Roman" w:hAnsi="Times New Roman" w:eastAsia="宋体" w:cs="Times New Roman"/>
                      <w:color w:val="auto"/>
                      <w:sz w:val="21"/>
                      <w:szCs w:val="21"/>
                      <w:highlight w:val="none"/>
                    </w:rPr>
                    <w:t>工程施工区</w:t>
                  </w:r>
                  <w:r>
                    <w:rPr>
                      <w:rFonts w:hint="eastAsia" w:ascii="Times New Roman" w:hAnsi="Times New Roman" w:eastAsia="宋体" w:cs="Times New Roman"/>
                      <w:color w:val="auto"/>
                      <w:sz w:val="21"/>
                      <w:szCs w:val="21"/>
                      <w:highlight w:val="none"/>
                      <w:lang w:eastAsia="zh-CN"/>
                    </w:rPr>
                    <w:t>植被、土壤等</w:t>
                  </w:r>
                </w:p>
              </w:tc>
              <w:tc>
                <w:tcPr>
                  <w:tcW w:w="2431" w:type="pct"/>
                  <w:tcBorders>
                    <w:tl2br w:val="nil"/>
                    <w:tr2bl w:val="nil"/>
                  </w:tcBorders>
                  <w:noWrap w:val="0"/>
                  <w:vAlign w:val="center"/>
                </w:tcPr>
                <w:p w14:paraId="2DF55DE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rPr>
                    <w:t>落实工程施工区水土保持措施，减少工程新增水土流失量，防止区域水土流失加剧，保持或改善区域水土保持功能</w:t>
                  </w:r>
                </w:p>
              </w:tc>
            </w:tr>
            <w:tr w14:paraId="4413599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5" w:type="pct"/>
                  <w:tcBorders>
                    <w:tl2br w:val="nil"/>
                    <w:tr2bl w:val="nil"/>
                  </w:tcBorders>
                  <w:noWrap w:val="0"/>
                  <w:vAlign w:val="center"/>
                </w:tcPr>
                <w:p w14:paraId="23A80A2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生态</w:t>
                  </w:r>
                </w:p>
              </w:tc>
              <w:tc>
                <w:tcPr>
                  <w:tcW w:w="1442" w:type="pct"/>
                  <w:tcBorders>
                    <w:tl2br w:val="nil"/>
                    <w:tr2bl w:val="nil"/>
                  </w:tcBorders>
                  <w:noWrap w:val="0"/>
                  <w:vAlign w:val="center"/>
                </w:tcPr>
                <w:p w14:paraId="774E53CB">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陕西汉中朱鹮国家级自然保护区</w:t>
                  </w:r>
                </w:p>
              </w:tc>
              <w:tc>
                <w:tcPr>
                  <w:tcW w:w="2431" w:type="pct"/>
                  <w:tcBorders>
                    <w:tl2br w:val="nil"/>
                    <w:tr2bl w:val="nil"/>
                  </w:tcBorders>
                  <w:noWrap w:val="0"/>
                  <w:vAlign w:val="center"/>
                </w:tcPr>
                <w:p w14:paraId="4A1F32A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朱鹮和朱鹮生境</w:t>
                  </w:r>
                </w:p>
              </w:tc>
            </w:tr>
          </w:tbl>
          <w:p w14:paraId="643746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p>
        </w:tc>
      </w:tr>
      <w:tr w14:paraId="08C384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456" w:type="dxa"/>
            <w:noWrap w:val="0"/>
            <w:vAlign w:val="center"/>
          </w:tcPr>
          <w:p w14:paraId="55499971">
            <w:pPr>
              <w:adjustRightInd w:val="0"/>
              <w:snapToGrid w:val="0"/>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评价</w:t>
            </w:r>
          </w:p>
          <w:p w14:paraId="1154E7C7">
            <w:pPr>
              <w:adjustRightInd w:val="0"/>
              <w:snapToGrid w:val="0"/>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标准</w:t>
            </w:r>
          </w:p>
        </w:tc>
        <w:tc>
          <w:tcPr>
            <w:tcW w:w="8832" w:type="dxa"/>
            <w:noWrap w:val="0"/>
            <w:vAlign w:val="center"/>
          </w:tcPr>
          <w:p w14:paraId="1440B4A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color w:val="auto"/>
                <w:kern w:val="0"/>
                <w:sz w:val="24"/>
                <w:szCs w:val="24"/>
                <w:highlight w:val="none"/>
              </w:rPr>
            </w:pPr>
            <w:r>
              <w:rPr>
                <w:rFonts w:ascii="Times New Roman" w:hAnsi="Times New Roman" w:eastAsia="宋体" w:cs="Times New Roman"/>
                <w:b/>
                <w:color w:val="auto"/>
                <w:kern w:val="0"/>
                <w:sz w:val="24"/>
                <w:szCs w:val="24"/>
                <w:highlight w:val="none"/>
              </w:rPr>
              <w:t>1、环境质量标准</w:t>
            </w:r>
          </w:p>
          <w:p w14:paraId="156746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kern w:val="0"/>
                <w:sz w:val="24"/>
                <w:szCs w:val="24"/>
                <w:highlight w:val="none"/>
              </w:rPr>
            </w:pPr>
            <w:r>
              <w:rPr>
                <w:rFonts w:hint="eastAsia" w:ascii="Times New Roman" w:hAnsi="Times New Roman" w:eastAsia="宋体" w:cs="Times New Roman"/>
                <w:b w:val="0"/>
                <w:bCs/>
                <w:color w:val="auto"/>
                <w:kern w:val="0"/>
                <w:sz w:val="24"/>
                <w:szCs w:val="24"/>
                <w:highlight w:val="none"/>
                <w:lang w:eastAsia="zh-CN"/>
              </w:rPr>
              <w:t>（</w:t>
            </w:r>
            <w:r>
              <w:rPr>
                <w:rFonts w:hint="eastAsia" w:ascii="Times New Roman" w:hAnsi="Times New Roman" w:eastAsia="宋体" w:cs="Times New Roman"/>
                <w:b w:val="0"/>
                <w:bCs/>
                <w:color w:val="auto"/>
                <w:kern w:val="0"/>
                <w:sz w:val="24"/>
                <w:szCs w:val="24"/>
                <w:highlight w:val="none"/>
                <w:lang w:val="en-US" w:eastAsia="zh-CN"/>
              </w:rPr>
              <w:t>1</w:t>
            </w:r>
            <w:r>
              <w:rPr>
                <w:rFonts w:hint="eastAsia"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大气环境执行《空气环境质量标准》(GB3095-2012)二级标准；</w:t>
            </w:r>
          </w:p>
          <w:p w14:paraId="60FADA48">
            <w:pPr>
              <w:spacing w:line="360" w:lineRule="auto"/>
              <w:ind w:firstLine="422" w:firstLineChars="200"/>
              <w:jc w:val="center"/>
              <w:rPr>
                <w:rFonts w:hint="default" w:ascii="Times New Roman" w:hAnsi="Times New Roman" w:eastAsia="宋体" w:cs="Times New Roman"/>
                <w:b/>
                <w:bCs/>
                <w:color w:val="auto"/>
                <w:sz w:val="21"/>
                <w:szCs w:val="24"/>
                <w:highlight w:val="none"/>
                <w:lang w:val="en-US" w:eastAsia="zh-CN"/>
              </w:rPr>
            </w:pPr>
            <w:r>
              <w:rPr>
                <w:rFonts w:hint="default" w:ascii="Times New Roman" w:hAnsi="Times New Roman" w:eastAsia="宋体" w:cs="Times New Roman"/>
                <w:b/>
                <w:bCs/>
                <w:color w:val="auto"/>
                <w:sz w:val="21"/>
                <w:szCs w:val="24"/>
                <w:highlight w:val="none"/>
                <w:lang w:val="en-US" w:eastAsia="zh-CN"/>
              </w:rPr>
              <w:t>表</w:t>
            </w:r>
            <w:r>
              <w:rPr>
                <w:rFonts w:hint="eastAsia" w:ascii="Times New Roman" w:hAnsi="Times New Roman" w:eastAsia="宋体" w:cs="Times New Roman"/>
                <w:b/>
                <w:bCs/>
                <w:color w:val="auto"/>
                <w:sz w:val="21"/>
                <w:szCs w:val="24"/>
                <w:highlight w:val="none"/>
                <w:lang w:val="en-US" w:eastAsia="zh-CN"/>
              </w:rPr>
              <w:t>3-7</w:t>
            </w:r>
            <w:r>
              <w:rPr>
                <w:rFonts w:hint="default" w:ascii="Times New Roman" w:hAnsi="Times New Roman" w:eastAsia="宋体" w:cs="Times New Roman"/>
                <w:b/>
                <w:bCs/>
                <w:color w:val="auto"/>
                <w:sz w:val="21"/>
                <w:szCs w:val="24"/>
                <w:highlight w:val="none"/>
                <w:lang w:val="en-US" w:eastAsia="zh-CN"/>
              </w:rPr>
              <w:t>环境空气质量标准（摘录）单位：μg/m</w:t>
            </w:r>
            <w:r>
              <w:rPr>
                <w:rFonts w:hint="default" w:ascii="Times New Roman" w:hAnsi="Times New Roman" w:eastAsia="宋体" w:cs="Times New Roman"/>
                <w:b/>
                <w:bCs/>
                <w:color w:val="auto"/>
                <w:sz w:val="21"/>
                <w:szCs w:val="24"/>
                <w:highlight w:val="none"/>
                <w:vertAlign w:val="superscript"/>
                <w:lang w:val="en-US" w:eastAsia="zh-CN"/>
              </w:rPr>
              <w:t>3</w:t>
            </w:r>
            <w:r>
              <w:rPr>
                <w:rFonts w:hint="default" w:ascii="Times New Roman" w:hAnsi="Times New Roman" w:eastAsia="宋体" w:cs="Times New Roman"/>
                <w:b/>
                <w:bCs/>
                <w:color w:val="auto"/>
                <w:sz w:val="21"/>
                <w:szCs w:val="24"/>
                <w:highlight w:val="none"/>
                <w:lang w:val="en-US" w:eastAsia="zh-CN"/>
              </w:rPr>
              <w:t>（CO：mg/m</w:t>
            </w:r>
            <w:r>
              <w:rPr>
                <w:rFonts w:hint="default" w:ascii="Times New Roman" w:hAnsi="Times New Roman" w:eastAsia="宋体" w:cs="Times New Roman"/>
                <w:b/>
                <w:bCs/>
                <w:color w:val="auto"/>
                <w:sz w:val="21"/>
                <w:szCs w:val="24"/>
                <w:highlight w:val="none"/>
                <w:vertAlign w:val="superscript"/>
                <w:lang w:val="en-US" w:eastAsia="zh-CN"/>
              </w:rPr>
              <w:t>3</w:t>
            </w:r>
            <w:r>
              <w:rPr>
                <w:rFonts w:hint="default" w:ascii="Times New Roman" w:hAnsi="Times New Roman" w:eastAsia="宋体" w:cs="Times New Roman"/>
                <w:b/>
                <w:bCs/>
                <w:color w:val="auto"/>
                <w:sz w:val="21"/>
                <w:szCs w:val="24"/>
                <w:highlight w:val="none"/>
                <w:lang w:val="en-US" w:eastAsia="zh-CN"/>
              </w:rPr>
              <w:t>）</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1880"/>
              <w:gridCol w:w="1346"/>
              <w:gridCol w:w="2692"/>
              <w:gridCol w:w="1356"/>
            </w:tblGrid>
            <w:tr w14:paraId="681B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vMerge w:val="restart"/>
                  <w:noWrap w:val="0"/>
                  <w:vAlign w:val="center"/>
                </w:tcPr>
                <w:p w14:paraId="2E9A49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序号</w:t>
                  </w:r>
                </w:p>
              </w:tc>
              <w:tc>
                <w:tcPr>
                  <w:tcW w:w="1092" w:type="pct"/>
                  <w:vMerge w:val="restart"/>
                  <w:noWrap w:val="0"/>
                  <w:vAlign w:val="center"/>
                </w:tcPr>
                <w:p w14:paraId="67CFFE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w:t>
                  </w:r>
                </w:p>
              </w:tc>
              <w:tc>
                <w:tcPr>
                  <w:tcW w:w="782" w:type="pct"/>
                  <w:noWrap w:val="0"/>
                  <w:vAlign w:val="center"/>
                </w:tcPr>
                <w:p w14:paraId="4731D1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1h平均值</w:t>
                  </w:r>
                </w:p>
              </w:tc>
              <w:tc>
                <w:tcPr>
                  <w:tcW w:w="1564" w:type="pct"/>
                  <w:noWrap w:val="0"/>
                  <w:vAlign w:val="center"/>
                </w:tcPr>
                <w:p w14:paraId="119F7A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24h平均值</w:t>
                  </w:r>
                </w:p>
              </w:tc>
              <w:tc>
                <w:tcPr>
                  <w:tcW w:w="788" w:type="pct"/>
                  <w:noWrap w:val="0"/>
                  <w:vAlign w:val="center"/>
                </w:tcPr>
                <w:p w14:paraId="28BA79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年平均值</w:t>
                  </w:r>
                </w:p>
              </w:tc>
            </w:tr>
            <w:tr w14:paraId="3860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vMerge w:val="continue"/>
                  <w:noWrap w:val="0"/>
                  <w:vAlign w:val="center"/>
                </w:tcPr>
                <w:p w14:paraId="6563CA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p>
              </w:tc>
              <w:tc>
                <w:tcPr>
                  <w:tcW w:w="1092" w:type="pct"/>
                  <w:vMerge w:val="continue"/>
                  <w:noWrap w:val="0"/>
                  <w:vAlign w:val="center"/>
                </w:tcPr>
                <w:p w14:paraId="088D13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p>
              </w:tc>
              <w:tc>
                <w:tcPr>
                  <w:tcW w:w="782" w:type="pct"/>
                  <w:noWrap w:val="0"/>
                  <w:vAlign w:val="center"/>
                </w:tcPr>
                <w:p w14:paraId="71AE85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二级</w:t>
                  </w:r>
                </w:p>
              </w:tc>
              <w:tc>
                <w:tcPr>
                  <w:tcW w:w="1564" w:type="pct"/>
                  <w:noWrap w:val="0"/>
                  <w:vAlign w:val="center"/>
                </w:tcPr>
                <w:p w14:paraId="4ECC3C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二级</w:t>
                  </w:r>
                </w:p>
              </w:tc>
              <w:tc>
                <w:tcPr>
                  <w:tcW w:w="788" w:type="pct"/>
                  <w:noWrap w:val="0"/>
                  <w:vAlign w:val="center"/>
                </w:tcPr>
                <w:p w14:paraId="4C0D95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二级</w:t>
                  </w:r>
                </w:p>
              </w:tc>
            </w:tr>
            <w:tr w14:paraId="5463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noWrap w:val="0"/>
                  <w:vAlign w:val="center"/>
                </w:tcPr>
                <w:p w14:paraId="533CF9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1092" w:type="pct"/>
                  <w:noWrap w:val="0"/>
                  <w:vAlign w:val="center"/>
                </w:tcPr>
                <w:p w14:paraId="3B46A1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SO</w:t>
                  </w:r>
                  <w:r>
                    <w:rPr>
                      <w:rFonts w:hint="default" w:ascii="Times New Roman" w:hAnsi="Times New Roman" w:cs="Times New Roman"/>
                      <w:color w:val="auto"/>
                      <w:vertAlign w:val="subscript"/>
                      <w:lang w:val="en-US" w:eastAsia="zh-CN"/>
                    </w:rPr>
                    <w:t>2</w:t>
                  </w:r>
                </w:p>
              </w:tc>
              <w:tc>
                <w:tcPr>
                  <w:tcW w:w="782" w:type="pct"/>
                  <w:noWrap w:val="0"/>
                  <w:vAlign w:val="center"/>
                </w:tcPr>
                <w:p w14:paraId="139D5C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500</w:t>
                  </w:r>
                </w:p>
              </w:tc>
              <w:tc>
                <w:tcPr>
                  <w:tcW w:w="1564" w:type="pct"/>
                  <w:noWrap w:val="0"/>
                  <w:vAlign w:val="center"/>
                </w:tcPr>
                <w:p w14:paraId="60B01A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150</w:t>
                  </w:r>
                </w:p>
              </w:tc>
              <w:tc>
                <w:tcPr>
                  <w:tcW w:w="788" w:type="pct"/>
                  <w:noWrap w:val="0"/>
                  <w:vAlign w:val="center"/>
                </w:tcPr>
                <w:p w14:paraId="130B15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60</w:t>
                  </w:r>
                </w:p>
              </w:tc>
            </w:tr>
            <w:tr w14:paraId="32B4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noWrap w:val="0"/>
                  <w:vAlign w:val="center"/>
                </w:tcPr>
                <w:p w14:paraId="324C80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p>
              </w:tc>
              <w:tc>
                <w:tcPr>
                  <w:tcW w:w="1092" w:type="pct"/>
                  <w:noWrap w:val="0"/>
                  <w:vAlign w:val="center"/>
                </w:tcPr>
                <w:p w14:paraId="403581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NO</w:t>
                  </w:r>
                  <w:r>
                    <w:rPr>
                      <w:rFonts w:hint="default" w:ascii="Times New Roman" w:hAnsi="Times New Roman" w:cs="Times New Roman"/>
                      <w:color w:val="auto"/>
                      <w:vertAlign w:val="subscript"/>
                      <w:lang w:val="en-US" w:eastAsia="zh-CN"/>
                    </w:rPr>
                    <w:t>2</w:t>
                  </w:r>
                </w:p>
              </w:tc>
              <w:tc>
                <w:tcPr>
                  <w:tcW w:w="782" w:type="pct"/>
                  <w:noWrap w:val="0"/>
                  <w:vAlign w:val="center"/>
                </w:tcPr>
                <w:p w14:paraId="31A7D7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200</w:t>
                  </w:r>
                </w:p>
              </w:tc>
              <w:tc>
                <w:tcPr>
                  <w:tcW w:w="1564" w:type="pct"/>
                  <w:noWrap w:val="0"/>
                  <w:vAlign w:val="center"/>
                </w:tcPr>
                <w:p w14:paraId="5666DB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80</w:t>
                  </w:r>
                </w:p>
              </w:tc>
              <w:tc>
                <w:tcPr>
                  <w:tcW w:w="788" w:type="pct"/>
                  <w:noWrap w:val="0"/>
                  <w:vAlign w:val="center"/>
                </w:tcPr>
                <w:p w14:paraId="722656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w:t>
                  </w:r>
                </w:p>
              </w:tc>
            </w:tr>
            <w:tr w14:paraId="507B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noWrap w:val="0"/>
                  <w:vAlign w:val="center"/>
                </w:tcPr>
                <w:p w14:paraId="0E1688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p>
              </w:tc>
              <w:tc>
                <w:tcPr>
                  <w:tcW w:w="1092" w:type="pct"/>
                  <w:noWrap w:val="0"/>
                  <w:vAlign w:val="center"/>
                </w:tcPr>
                <w:p w14:paraId="501010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PM</w:t>
                  </w:r>
                  <w:r>
                    <w:rPr>
                      <w:rFonts w:hint="default" w:ascii="Times New Roman" w:hAnsi="Times New Roman" w:cs="Times New Roman"/>
                      <w:color w:val="auto"/>
                      <w:vertAlign w:val="subscript"/>
                      <w:lang w:val="en-US" w:eastAsia="zh-CN"/>
                    </w:rPr>
                    <w:t>10</w:t>
                  </w:r>
                </w:p>
              </w:tc>
              <w:tc>
                <w:tcPr>
                  <w:tcW w:w="782" w:type="pct"/>
                  <w:noWrap w:val="0"/>
                  <w:vAlign w:val="center"/>
                </w:tcPr>
                <w:p w14:paraId="407FF6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564" w:type="pct"/>
                  <w:noWrap w:val="0"/>
                  <w:vAlign w:val="center"/>
                </w:tcPr>
                <w:p w14:paraId="46FB85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150</w:t>
                  </w:r>
                </w:p>
              </w:tc>
              <w:tc>
                <w:tcPr>
                  <w:tcW w:w="788" w:type="pct"/>
                  <w:noWrap w:val="0"/>
                  <w:vAlign w:val="center"/>
                </w:tcPr>
                <w:p w14:paraId="6BAEF4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70</w:t>
                  </w:r>
                </w:p>
              </w:tc>
            </w:tr>
            <w:tr w14:paraId="34353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noWrap w:val="0"/>
                  <w:vAlign w:val="center"/>
                </w:tcPr>
                <w:p w14:paraId="1FA541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p>
              </w:tc>
              <w:tc>
                <w:tcPr>
                  <w:tcW w:w="1092" w:type="pct"/>
                  <w:noWrap w:val="0"/>
                  <w:vAlign w:val="center"/>
                </w:tcPr>
                <w:p w14:paraId="236E4F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PM</w:t>
                  </w:r>
                  <w:r>
                    <w:rPr>
                      <w:rFonts w:hint="default" w:ascii="Times New Roman" w:hAnsi="Times New Roman" w:cs="Times New Roman"/>
                      <w:color w:val="auto"/>
                      <w:vertAlign w:val="subscript"/>
                      <w:lang w:val="en-US" w:eastAsia="zh-CN"/>
                    </w:rPr>
                    <w:t>2.5</w:t>
                  </w:r>
                </w:p>
              </w:tc>
              <w:tc>
                <w:tcPr>
                  <w:tcW w:w="782" w:type="pct"/>
                  <w:noWrap w:val="0"/>
                  <w:vAlign w:val="center"/>
                </w:tcPr>
                <w:p w14:paraId="3D7C22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564" w:type="pct"/>
                  <w:noWrap w:val="0"/>
                  <w:vAlign w:val="center"/>
                </w:tcPr>
                <w:p w14:paraId="41DFD8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75</w:t>
                  </w:r>
                </w:p>
              </w:tc>
              <w:tc>
                <w:tcPr>
                  <w:tcW w:w="788" w:type="pct"/>
                  <w:noWrap w:val="0"/>
                  <w:vAlign w:val="center"/>
                </w:tcPr>
                <w:p w14:paraId="09BF87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35</w:t>
                  </w:r>
                </w:p>
              </w:tc>
            </w:tr>
            <w:tr w14:paraId="2B27E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noWrap w:val="0"/>
                  <w:vAlign w:val="center"/>
                </w:tcPr>
                <w:p w14:paraId="12E62E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1092" w:type="pct"/>
                  <w:noWrap w:val="0"/>
                  <w:vAlign w:val="center"/>
                </w:tcPr>
                <w:p w14:paraId="50C45A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CO</w:t>
                  </w:r>
                </w:p>
              </w:tc>
              <w:tc>
                <w:tcPr>
                  <w:tcW w:w="782" w:type="pct"/>
                  <w:noWrap w:val="0"/>
                  <w:vAlign w:val="center"/>
                </w:tcPr>
                <w:p w14:paraId="526237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1564" w:type="pct"/>
                  <w:noWrap w:val="0"/>
                  <w:vAlign w:val="center"/>
                </w:tcPr>
                <w:p w14:paraId="2B07FD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p>
              </w:tc>
              <w:tc>
                <w:tcPr>
                  <w:tcW w:w="788" w:type="pct"/>
                  <w:noWrap w:val="0"/>
                  <w:vAlign w:val="center"/>
                </w:tcPr>
                <w:p w14:paraId="68CB5F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14:paraId="3F57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noWrap w:val="0"/>
                  <w:vAlign w:val="center"/>
                </w:tcPr>
                <w:p w14:paraId="1403DE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w:t>
                  </w:r>
                </w:p>
              </w:tc>
              <w:tc>
                <w:tcPr>
                  <w:tcW w:w="1092" w:type="pct"/>
                  <w:noWrap w:val="0"/>
                  <w:vAlign w:val="center"/>
                </w:tcPr>
                <w:p w14:paraId="7C1D57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O</w:t>
                  </w:r>
                  <w:r>
                    <w:rPr>
                      <w:rFonts w:hint="default" w:ascii="Times New Roman" w:hAnsi="Times New Roman" w:cs="Times New Roman"/>
                      <w:color w:val="auto"/>
                      <w:vertAlign w:val="subscript"/>
                      <w:lang w:val="en-US" w:eastAsia="zh-CN"/>
                    </w:rPr>
                    <w:t>3</w:t>
                  </w:r>
                </w:p>
              </w:tc>
              <w:tc>
                <w:tcPr>
                  <w:tcW w:w="782" w:type="pct"/>
                  <w:noWrap w:val="0"/>
                  <w:vAlign w:val="center"/>
                </w:tcPr>
                <w:p w14:paraId="29DDA5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200</w:t>
                  </w:r>
                </w:p>
              </w:tc>
              <w:tc>
                <w:tcPr>
                  <w:tcW w:w="1564" w:type="pct"/>
                  <w:noWrap w:val="0"/>
                  <w:vAlign w:val="center"/>
                </w:tcPr>
                <w:p w14:paraId="5E48EA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160（8h平均值）</w:t>
                  </w:r>
                </w:p>
              </w:tc>
              <w:tc>
                <w:tcPr>
                  <w:tcW w:w="788" w:type="pct"/>
                  <w:noWrap w:val="0"/>
                  <w:vAlign w:val="center"/>
                </w:tcPr>
                <w:p w14:paraId="57F3C4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14:paraId="3AF41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noWrap w:val="0"/>
                  <w:vAlign w:val="center"/>
                </w:tcPr>
                <w:p w14:paraId="77C490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w:t>
                  </w:r>
                </w:p>
              </w:tc>
              <w:tc>
                <w:tcPr>
                  <w:tcW w:w="1092" w:type="pct"/>
                  <w:noWrap w:val="0"/>
                  <w:vAlign w:val="center"/>
                </w:tcPr>
                <w:p w14:paraId="3152E8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TSP</w:t>
                  </w:r>
                </w:p>
              </w:tc>
              <w:tc>
                <w:tcPr>
                  <w:tcW w:w="782" w:type="pct"/>
                  <w:noWrap w:val="0"/>
                  <w:vAlign w:val="center"/>
                </w:tcPr>
                <w:p w14:paraId="4D9280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564" w:type="pct"/>
                  <w:noWrap w:val="0"/>
                  <w:vAlign w:val="center"/>
                </w:tcPr>
                <w:p w14:paraId="18DF61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300</w:t>
                  </w:r>
                </w:p>
              </w:tc>
              <w:tc>
                <w:tcPr>
                  <w:tcW w:w="788" w:type="pct"/>
                  <w:noWrap w:val="0"/>
                  <w:vAlign w:val="center"/>
                </w:tcPr>
                <w:p w14:paraId="600C02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200</w:t>
                  </w:r>
                </w:p>
              </w:tc>
            </w:tr>
          </w:tbl>
          <w:p w14:paraId="3F3018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kern w:val="0"/>
                <w:sz w:val="24"/>
                <w:szCs w:val="24"/>
                <w:highlight w:val="none"/>
                <w:lang w:eastAsia="zh-CN"/>
              </w:rPr>
            </w:pPr>
            <w:r>
              <w:rPr>
                <w:rFonts w:hint="eastAsia" w:ascii="Times New Roman" w:hAnsi="Times New Roman" w:eastAsia="宋体" w:cs="Times New Roman"/>
                <w:b w:val="0"/>
                <w:bCs/>
                <w:color w:val="auto"/>
                <w:kern w:val="0"/>
                <w:sz w:val="24"/>
                <w:szCs w:val="24"/>
                <w:highlight w:val="none"/>
                <w:lang w:eastAsia="zh-CN"/>
              </w:rPr>
              <w:t>（</w:t>
            </w:r>
            <w:r>
              <w:rPr>
                <w:rFonts w:hint="eastAsia" w:ascii="Times New Roman" w:hAnsi="Times New Roman" w:eastAsia="宋体" w:cs="Times New Roman"/>
                <w:b w:val="0"/>
                <w:bCs/>
                <w:color w:val="auto"/>
                <w:kern w:val="0"/>
                <w:sz w:val="24"/>
                <w:szCs w:val="24"/>
                <w:highlight w:val="none"/>
                <w:lang w:val="en-US" w:eastAsia="zh-CN"/>
              </w:rPr>
              <w:t>2</w:t>
            </w:r>
            <w:r>
              <w:rPr>
                <w:rFonts w:hint="eastAsia"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地表水执行《地表水环境质量标准》(GB3838—2002)中Ⅱ类功能区标准；</w:t>
            </w:r>
          </w:p>
          <w:p w14:paraId="5C486495">
            <w:pPr>
              <w:spacing w:line="360" w:lineRule="auto"/>
              <w:ind w:firstLine="422" w:firstLineChars="200"/>
              <w:jc w:val="center"/>
              <w:rPr>
                <w:rFonts w:hint="default" w:ascii="Times New Roman" w:hAnsi="Times New Roman" w:eastAsia="宋体" w:cs="Times New Roman"/>
                <w:b/>
                <w:bCs/>
                <w:color w:val="auto"/>
                <w:sz w:val="21"/>
                <w:szCs w:val="24"/>
                <w:highlight w:val="none"/>
                <w:lang w:val="en-US" w:eastAsia="zh-CN"/>
              </w:rPr>
            </w:pPr>
            <w:r>
              <w:rPr>
                <w:rFonts w:hint="default" w:ascii="Times New Roman" w:hAnsi="Times New Roman" w:eastAsia="宋体" w:cs="Times New Roman"/>
                <w:b/>
                <w:bCs/>
                <w:color w:val="auto"/>
                <w:sz w:val="21"/>
                <w:szCs w:val="24"/>
                <w:highlight w:val="none"/>
                <w:lang w:val="en-US" w:eastAsia="zh-CN"/>
              </w:rPr>
              <w:t>表</w:t>
            </w:r>
            <w:r>
              <w:rPr>
                <w:rFonts w:hint="eastAsia" w:ascii="Times New Roman" w:hAnsi="Times New Roman" w:eastAsia="宋体" w:cs="Times New Roman"/>
                <w:b/>
                <w:bCs/>
                <w:color w:val="auto"/>
                <w:sz w:val="21"/>
                <w:szCs w:val="24"/>
                <w:highlight w:val="none"/>
                <w:lang w:val="en-US" w:eastAsia="zh-CN"/>
              </w:rPr>
              <w:t>3-8</w:t>
            </w:r>
            <w:r>
              <w:rPr>
                <w:rFonts w:hint="default" w:ascii="Times New Roman" w:hAnsi="Times New Roman" w:eastAsia="宋体" w:cs="Times New Roman"/>
                <w:b/>
                <w:bCs/>
                <w:color w:val="auto"/>
                <w:sz w:val="21"/>
                <w:szCs w:val="24"/>
                <w:highlight w:val="none"/>
                <w:lang w:val="en-US" w:eastAsia="zh-CN"/>
              </w:rPr>
              <w:t xml:space="preserve">  地表水环境质量标准        单位：mg/L</w:t>
            </w:r>
          </w:p>
          <w:tbl>
            <w:tblPr>
              <w:tblStyle w:val="24"/>
              <w:tblW w:w="81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1920"/>
              <w:gridCol w:w="1395"/>
              <w:gridCol w:w="613"/>
              <w:gridCol w:w="2237"/>
              <w:gridCol w:w="1364"/>
            </w:tblGrid>
            <w:tr w14:paraId="35FD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22" w:type="dxa"/>
                  <w:shd w:val="clear" w:color="auto" w:fill="auto"/>
                  <w:vAlign w:val="center"/>
                </w:tcPr>
                <w:p w14:paraId="5494C139">
                  <w:pPr>
                    <w:jc w:val="center"/>
                    <w:rPr>
                      <w:color w:val="auto"/>
                      <w:sz w:val="22"/>
                      <w:szCs w:val="22"/>
                    </w:rPr>
                  </w:pPr>
                  <w:r>
                    <w:rPr>
                      <w:color w:val="auto"/>
                      <w:sz w:val="22"/>
                      <w:szCs w:val="22"/>
                    </w:rPr>
                    <w:t>序号</w:t>
                  </w:r>
                </w:p>
              </w:tc>
              <w:tc>
                <w:tcPr>
                  <w:tcW w:w="1920" w:type="dxa"/>
                  <w:shd w:val="clear" w:color="auto" w:fill="auto"/>
                  <w:vAlign w:val="center"/>
                </w:tcPr>
                <w:p w14:paraId="393F1037">
                  <w:pPr>
                    <w:jc w:val="center"/>
                    <w:rPr>
                      <w:color w:val="auto"/>
                      <w:sz w:val="22"/>
                      <w:szCs w:val="22"/>
                    </w:rPr>
                  </w:pPr>
                  <w:r>
                    <w:rPr>
                      <w:color w:val="auto"/>
                      <w:sz w:val="22"/>
                      <w:szCs w:val="22"/>
                    </w:rPr>
                    <w:t>项目</w:t>
                  </w:r>
                </w:p>
              </w:tc>
              <w:tc>
                <w:tcPr>
                  <w:tcW w:w="1395" w:type="dxa"/>
                  <w:shd w:val="clear" w:color="auto" w:fill="auto"/>
                  <w:vAlign w:val="center"/>
                </w:tcPr>
                <w:p w14:paraId="13925DF0">
                  <w:pPr>
                    <w:jc w:val="center"/>
                    <w:rPr>
                      <w:color w:val="auto"/>
                      <w:sz w:val="22"/>
                      <w:szCs w:val="22"/>
                    </w:rPr>
                  </w:pPr>
                  <w:r>
                    <w:rPr>
                      <w:rFonts w:hint="default"/>
                      <w:color w:val="auto"/>
                      <w:sz w:val="22"/>
                      <w:szCs w:val="22"/>
                    </w:rPr>
                    <w:t>Ⅱ</w:t>
                  </w:r>
                  <w:r>
                    <w:rPr>
                      <w:color w:val="auto"/>
                      <w:sz w:val="22"/>
                      <w:szCs w:val="22"/>
                    </w:rPr>
                    <w:t>类标准</w:t>
                  </w:r>
                </w:p>
                <w:p w14:paraId="29BBE31E">
                  <w:pPr>
                    <w:jc w:val="center"/>
                    <w:rPr>
                      <w:color w:val="auto"/>
                      <w:sz w:val="22"/>
                      <w:szCs w:val="22"/>
                    </w:rPr>
                  </w:pPr>
                  <w:r>
                    <w:rPr>
                      <w:color w:val="auto"/>
                      <w:sz w:val="22"/>
                      <w:szCs w:val="22"/>
                    </w:rPr>
                    <w:t>限值</w:t>
                  </w:r>
                </w:p>
              </w:tc>
              <w:tc>
                <w:tcPr>
                  <w:tcW w:w="613" w:type="dxa"/>
                  <w:shd w:val="clear" w:color="auto" w:fill="auto"/>
                  <w:vAlign w:val="center"/>
                </w:tcPr>
                <w:p w14:paraId="1CB72334">
                  <w:pPr>
                    <w:jc w:val="center"/>
                    <w:rPr>
                      <w:color w:val="auto"/>
                      <w:sz w:val="22"/>
                      <w:szCs w:val="22"/>
                    </w:rPr>
                  </w:pPr>
                  <w:r>
                    <w:rPr>
                      <w:color w:val="auto"/>
                      <w:sz w:val="22"/>
                      <w:szCs w:val="22"/>
                    </w:rPr>
                    <w:t>序号</w:t>
                  </w:r>
                </w:p>
              </w:tc>
              <w:tc>
                <w:tcPr>
                  <w:tcW w:w="2237" w:type="dxa"/>
                  <w:shd w:val="clear" w:color="auto" w:fill="auto"/>
                  <w:vAlign w:val="center"/>
                </w:tcPr>
                <w:p w14:paraId="0BEC1E54">
                  <w:pPr>
                    <w:jc w:val="center"/>
                    <w:rPr>
                      <w:color w:val="auto"/>
                      <w:sz w:val="22"/>
                      <w:szCs w:val="22"/>
                    </w:rPr>
                  </w:pPr>
                  <w:r>
                    <w:rPr>
                      <w:color w:val="auto"/>
                      <w:sz w:val="22"/>
                      <w:szCs w:val="22"/>
                    </w:rPr>
                    <w:t>项目</w:t>
                  </w:r>
                </w:p>
              </w:tc>
              <w:tc>
                <w:tcPr>
                  <w:tcW w:w="1364" w:type="dxa"/>
                  <w:shd w:val="clear" w:color="auto" w:fill="auto"/>
                  <w:vAlign w:val="center"/>
                </w:tcPr>
                <w:p w14:paraId="450962CB">
                  <w:pPr>
                    <w:jc w:val="center"/>
                    <w:rPr>
                      <w:color w:val="auto"/>
                      <w:sz w:val="22"/>
                      <w:szCs w:val="22"/>
                    </w:rPr>
                  </w:pPr>
                  <w:r>
                    <w:rPr>
                      <w:rFonts w:hint="default"/>
                      <w:color w:val="auto"/>
                      <w:sz w:val="22"/>
                      <w:szCs w:val="22"/>
                    </w:rPr>
                    <w:t>Ⅱ</w:t>
                  </w:r>
                  <w:r>
                    <w:rPr>
                      <w:color w:val="auto"/>
                      <w:sz w:val="22"/>
                      <w:szCs w:val="22"/>
                    </w:rPr>
                    <w:t>类标准限值</w:t>
                  </w:r>
                </w:p>
              </w:tc>
            </w:tr>
            <w:tr w14:paraId="4C1F8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shd w:val="clear" w:color="auto" w:fill="auto"/>
                  <w:vAlign w:val="center"/>
                </w:tcPr>
                <w:p w14:paraId="363B11F0">
                  <w:pPr>
                    <w:jc w:val="center"/>
                    <w:rPr>
                      <w:color w:val="auto"/>
                      <w:sz w:val="22"/>
                      <w:szCs w:val="22"/>
                    </w:rPr>
                  </w:pPr>
                  <w:r>
                    <w:rPr>
                      <w:color w:val="auto"/>
                      <w:sz w:val="22"/>
                      <w:szCs w:val="22"/>
                    </w:rPr>
                    <w:t>1</w:t>
                  </w:r>
                </w:p>
              </w:tc>
              <w:tc>
                <w:tcPr>
                  <w:tcW w:w="1920" w:type="dxa"/>
                  <w:shd w:val="clear" w:color="auto" w:fill="auto"/>
                  <w:vAlign w:val="center"/>
                </w:tcPr>
                <w:p w14:paraId="07BEADF7">
                  <w:pPr>
                    <w:jc w:val="center"/>
                    <w:rPr>
                      <w:rFonts w:hint="eastAsia" w:eastAsia="宋体"/>
                      <w:color w:val="auto"/>
                      <w:sz w:val="22"/>
                      <w:szCs w:val="22"/>
                      <w:lang w:eastAsia="zh-CN"/>
                    </w:rPr>
                  </w:pPr>
                  <w:r>
                    <w:rPr>
                      <w:color w:val="auto"/>
                      <w:sz w:val="22"/>
                      <w:szCs w:val="22"/>
                    </w:rPr>
                    <w:t>pH</w:t>
                  </w:r>
                  <w:r>
                    <w:rPr>
                      <w:rFonts w:hint="eastAsia"/>
                      <w:color w:val="auto"/>
                      <w:sz w:val="22"/>
                      <w:szCs w:val="22"/>
                      <w:lang w:eastAsia="zh-CN"/>
                    </w:rPr>
                    <w:t>值（无量纲）</w:t>
                  </w:r>
                </w:p>
              </w:tc>
              <w:tc>
                <w:tcPr>
                  <w:tcW w:w="1395" w:type="dxa"/>
                  <w:shd w:val="clear" w:color="auto" w:fill="auto"/>
                  <w:vAlign w:val="center"/>
                </w:tcPr>
                <w:p w14:paraId="76F09F2B">
                  <w:pPr>
                    <w:jc w:val="center"/>
                    <w:rPr>
                      <w:color w:val="auto"/>
                      <w:sz w:val="22"/>
                      <w:szCs w:val="22"/>
                    </w:rPr>
                  </w:pPr>
                  <w:r>
                    <w:rPr>
                      <w:color w:val="auto"/>
                      <w:sz w:val="22"/>
                      <w:szCs w:val="22"/>
                    </w:rPr>
                    <w:t>6~9</w:t>
                  </w:r>
                </w:p>
              </w:tc>
              <w:tc>
                <w:tcPr>
                  <w:tcW w:w="613" w:type="dxa"/>
                  <w:shd w:val="clear" w:color="auto" w:fill="auto"/>
                  <w:vAlign w:val="center"/>
                </w:tcPr>
                <w:p w14:paraId="3A608B4B">
                  <w:pPr>
                    <w:jc w:val="center"/>
                    <w:rPr>
                      <w:color w:val="auto"/>
                      <w:sz w:val="22"/>
                      <w:szCs w:val="22"/>
                    </w:rPr>
                  </w:pPr>
                  <w:r>
                    <w:rPr>
                      <w:color w:val="auto"/>
                      <w:sz w:val="22"/>
                      <w:szCs w:val="22"/>
                    </w:rPr>
                    <w:t>13</w:t>
                  </w:r>
                </w:p>
              </w:tc>
              <w:tc>
                <w:tcPr>
                  <w:tcW w:w="2237" w:type="dxa"/>
                  <w:shd w:val="clear" w:color="auto" w:fill="auto"/>
                  <w:vAlign w:val="center"/>
                </w:tcPr>
                <w:p w14:paraId="5E83267D">
                  <w:pPr>
                    <w:jc w:val="center"/>
                    <w:rPr>
                      <w:color w:val="auto"/>
                      <w:sz w:val="22"/>
                      <w:szCs w:val="22"/>
                    </w:rPr>
                  </w:pPr>
                  <w:r>
                    <w:rPr>
                      <w:color w:val="auto"/>
                    </w:rPr>
                    <w:t>汞</w:t>
                  </w:r>
                </w:p>
              </w:tc>
              <w:tc>
                <w:tcPr>
                  <w:tcW w:w="1364" w:type="dxa"/>
                  <w:shd w:val="clear" w:color="auto" w:fill="auto"/>
                  <w:vAlign w:val="center"/>
                </w:tcPr>
                <w:p w14:paraId="3D9D1631">
                  <w:pPr>
                    <w:jc w:val="center"/>
                    <w:rPr>
                      <w:rFonts w:hint="default" w:eastAsiaTheme="minorEastAsia"/>
                      <w:color w:val="auto"/>
                      <w:sz w:val="22"/>
                      <w:szCs w:val="22"/>
                      <w:lang w:val="en-US" w:eastAsia="zh-CN"/>
                    </w:rPr>
                  </w:pPr>
                  <w:r>
                    <w:rPr>
                      <w:color w:val="auto"/>
                      <w:sz w:val="22"/>
                      <w:szCs w:val="22"/>
                    </w:rPr>
                    <w:t>≤</w:t>
                  </w:r>
                  <w:r>
                    <w:rPr>
                      <w:rFonts w:hint="eastAsia"/>
                      <w:color w:val="auto"/>
                      <w:sz w:val="22"/>
                      <w:szCs w:val="22"/>
                    </w:rPr>
                    <w:t>0.000</w:t>
                  </w:r>
                  <w:r>
                    <w:rPr>
                      <w:rFonts w:hint="eastAsia"/>
                      <w:color w:val="auto"/>
                      <w:sz w:val="22"/>
                      <w:szCs w:val="22"/>
                      <w:lang w:val="en-US" w:eastAsia="zh-CN"/>
                    </w:rPr>
                    <w:t>05</w:t>
                  </w:r>
                </w:p>
              </w:tc>
            </w:tr>
            <w:tr w14:paraId="679E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shd w:val="clear" w:color="auto" w:fill="auto"/>
                  <w:vAlign w:val="center"/>
                </w:tcPr>
                <w:p w14:paraId="656C2E93">
                  <w:pPr>
                    <w:jc w:val="center"/>
                    <w:rPr>
                      <w:color w:val="auto"/>
                      <w:sz w:val="22"/>
                      <w:szCs w:val="22"/>
                    </w:rPr>
                  </w:pPr>
                  <w:r>
                    <w:rPr>
                      <w:color w:val="auto"/>
                      <w:sz w:val="22"/>
                      <w:szCs w:val="22"/>
                    </w:rPr>
                    <w:t>2</w:t>
                  </w:r>
                </w:p>
              </w:tc>
              <w:tc>
                <w:tcPr>
                  <w:tcW w:w="1920" w:type="dxa"/>
                  <w:shd w:val="clear" w:color="auto" w:fill="auto"/>
                  <w:vAlign w:val="center"/>
                </w:tcPr>
                <w:p w14:paraId="5A1E7991">
                  <w:pPr>
                    <w:jc w:val="center"/>
                    <w:rPr>
                      <w:color w:val="auto"/>
                      <w:sz w:val="22"/>
                      <w:szCs w:val="22"/>
                    </w:rPr>
                  </w:pPr>
                  <w:r>
                    <w:rPr>
                      <w:color w:val="auto"/>
                      <w:sz w:val="22"/>
                      <w:szCs w:val="22"/>
                    </w:rPr>
                    <w:t>溶解氧</w:t>
                  </w:r>
                </w:p>
              </w:tc>
              <w:tc>
                <w:tcPr>
                  <w:tcW w:w="1395" w:type="dxa"/>
                  <w:shd w:val="clear" w:color="auto" w:fill="auto"/>
                  <w:vAlign w:val="center"/>
                </w:tcPr>
                <w:p w14:paraId="02E7FE1C">
                  <w:pPr>
                    <w:jc w:val="center"/>
                    <w:rPr>
                      <w:rFonts w:hint="eastAsia" w:eastAsiaTheme="minorEastAsia"/>
                      <w:color w:val="auto"/>
                      <w:sz w:val="22"/>
                      <w:szCs w:val="22"/>
                      <w:lang w:eastAsia="zh-CN"/>
                    </w:rPr>
                  </w:pPr>
                  <w:r>
                    <w:rPr>
                      <w:color w:val="auto"/>
                      <w:sz w:val="22"/>
                      <w:szCs w:val="22"/>
                    </w:rPr>
                    <w:t>≥</w:t>
                  </w:r>
                  <w:r>
                    <w:rPr>
                      <w:rFonts w:hint="eastAsia"/>
                      <w:color w:val="auto"/>
                      <w:sz w:val="22"/>
                      <w:szCs w:val="22"/>
                      <w:lang w:val="en-US" w:eastAsia="zh-CN"/>
                    </w:rPr>
                    <w:t>6</w:t>
                  </w:r>
                </w:p>
              </w:tc>
              <w:tc>
                <w:tcPr>
                  <w:tcW w:w="613" w:type="dxa"/>
                  <w:shd w:val="clear" w:color="auto" w:fill="auto"/>
                  <w:vAlign w:val="center"/>
                </w:tcPr>
                <w:p w14:paraId="7644A03B">
                  <w:pPr>
                    <w:jc w:val="center"/>
                    <w:rPr>
                      <w:color w:val="auto"/>
                      <w:sz w:val="22"/>
                      <w:szCs w:val="22"/>
                    </w:rPr>
                  </w:pPr>
                  <w:r>
                    <w:rPr>
                      <w:color w:val="auto"/>
                      <w:sz w:val="22"/>
                      <w:szCs w:val="22"/>
                    </w:rPr>
                    <w:t>14</w:t>
                  </w:r>
                </w:p>
              </w:tc>
              <w:tc>
                <w:tcPr>
                  <w:tcW w:w="2237" w:type="dxa"/>
                  <w:shd w:val="clear" w:color="auto" w:fill="auto"/>
                  <w:vAlign w:val="center"/>
                </w:tcPr>
                <w:p w14:paraId="1494A0B0">
                  <w:pPr>
                    <w:jc w:val="center"/>
                    <w:rPr>
                      <w:color w:val="auto"/>
                      <w:sz w:val="22"/>
                      <w:szCs w:val="22"/>
                    </w:rPr>
                  </w:pPr>
                  <w:r>
                    <w:rPr>
                      <w:color w:val="auto"/>
                    </w:rPr>
                    <w:t>镉</w:t>
                  </w:r>
                </w:p>
              </w:tc>
              <w:tc>
                <w:tcPr>
                  <w:tcW w:w="1364" w:type="dxa"/>
                  <w:shd w:val="clear" w:color="auto" w:fill="auto"/>
                  <w:vAlign w:val="center"/>
                </w:tcPr>
                <w:p w14:paraId="3CF19208">
                  <w:pPr>
                    <w:jc w:val="center"/>
                    <w:rPr>
                      <w:color w:val="auto"/>
                      <w:sz w:val="22"/>
                      <w:szCs w:val="22"/>
                    </w:rPr>
                  </w:pPr>
                  <w:r>
                    <w:rPr>
                      <w:color w:val="auto"/>
                      <w:sz w:val="22"/>
                      <w:szCs w:val="22"/>
                    </w:rPr>
                    <w:t>≤</w:t>
                  </w:r>
                  <w:r>
                    <w:rPr>
                      <w:rFonts w:hint="eastAsia"/>
                      <w:color w:val="auto"/>
                      <w:sz w:val="22"/>
                      <w:szCs w:val="22"/>
                    </w:rPr>
                    <w:t>0.005</w:t>
                  </w:r>
                </w:p>
              </w:tc>
            </w:tr>
            <w:tr w14:paraId="15F8B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shd w:val="clear" w:color="auto" w:fill="auto"/>
                  <w:vAlign w:val="center"/>
                </w:tcPr>
                <w:p w14:paraId="5FA227EE">
                  <w:pPr>
                    <w:jc w:val="center"/>
                    <w:rPr>
                      <w:color w:val="auto"/>
                      <w:sz w:val="22"/>
                      <w:szCs w:val="22"/>
                    </w:rPr>
                  </w:pPr>
                  <w:r>
                    <w:rPr>
                      <w:color w:val="auto"/>
                      <w:sz w:val="22"/>
                      <w:szCs w:val="22"/>
                    </w:rPr>
                    <w:t>3</w:t>
                  </w:r>
                </w:p>
              </w:tc>
              <w:tc>
                <w:tcPr>
                  <w:tcW w:w="1920" w:type="dxa"/>
                  <w:shd w:val="clear" w:color="auto" w:fill="auto"/>
                  <w:vAlign w:val="center"/>
                </w:tcPr>
                <w:p w14:paraId="67592868">
                  <w:pPr>
                    <w:jc w:val="center"/>
                    <w:rPr>
                      <w:color w:val="auto"/>
                      <w:sz w:val="22"/>
                      <w:szCs w:val="22"/>
                    </w:rPr>
                  </w:pPr>
                  <w:r>
                    <w:rPr>
                      <w:rFonts w:hint="eastAsia"/>
                      <w:color w:val="auto"/>
                      <w:sz w:val="22"/>
                      <w:szCs w:val="22"/>
                    </w:rPr>
                    <w:t>高锰酸盐</w:t>
                  </w:r>
                  <w:r>
                    <w:rPr>
                      <w:color w:val="auto"/>
                      <w:sz w:val="22"/>
                      <w:szCs w:val="22"/>
                    </w:rPr>
                    <w:t>指数</w:t>
                  </w:r>
                </w:p>
              </w:tc>
              <w:tc>
                <w:tcPr>
                  <w:tcW w:w="1395" w:type="dxa"/>
                  <w:shd w:val="clear" w:color="auto" w:fill="auto"/>
                  <w:vAlign w:val="center"/>
                </w:tcPr>
                <w:p w14:paraId="0F8435C7">
                  <w:pPr>
                    <w:jc w:val="center"/>
                    <w:rPr>
                      <w:rFonts w:hint="eastAsia" w:eastAsiaTheme="minorEastAsia"/>
                      <w:color w:val="auto"/>
                      <w:sz w:val="22"/>
                      <w:szCs w:val="22"/>
                      <w:lang w:eastAsia="zh-CN"/>
                    </w:rPr>
                  </w:pPr>
                  <w:r>
                    <w:rPr>
                      <w:color w:val="auto"/>
                      <w:sz w:val="22"/>
                      <w:szCs w:val="22"/>
                    </w:rPr>
                    <w:t>≤</w:t>
                  </w:r>
                  <w:r>
                    <w:rPr>
                      <w:rFonts w:hint="eastAsia"/>
                      <w:color w:val="auto"/>
                      <w:sz w:val="22"/>
                      <w:szCs w:val="22"/>
                      <w:lang w:val="en-US" w:eastAsia="zh-CN"/>
                    </w:rPr>
                    <w:t>4</w:t>
                  </w:r>
                </w:p>
              </w:tc>
              <w:tc>
                <w:tcPr>
                  <w:tcW w:w="613" w:type="dxa"/>
                  <w:shd w:val="clear" w:color="auto" w:fill="auto"/>
                  <w:vAlign w:val="center"/>
                </w:tcPr>
                <w:p w14:paraId="44910A8A">
                  <w:pPr>
                    <w:jc w:val="center"/>
                    <w:rPr>
                      <w:color w:val="auto"/>
                      <w:sz w:val="22"/>
                      <w:szCs w:val="22"/>
                    </w:rPr>
                  </w:pPr>
                  <w:r>
                    <w:rPr>
                      <w:color w:val="auto"/>
                      <w:sz w:val="22"/>
                      <w:szCs w:val="22"/>
                    </w:rPr>
                    <w:t>15</w:t>
                  </w:r>
                </w:p>
              </w:tc>
              <w:tc>
                <w:tcPr>
                  <w:tcW w:w="2237" w:type="dxa"/>
                  <w:shd w:val="clear" w:color="auto" w:fill="auto"/>
                  <w:vAlign w:val="center"/>
                </w:tcPr>
                <w:p w14:paraId="3DA27B0D">
                  <w:pPr>
                    <w:jc w:val="center"/>
                    <w:rPr>
                      <w:color w:val="auto"/>
                      <w:sz w:val="22"/>
                      <w:szCs w:val="22"/>
                    </w:rPr>
                  </w:pPr>
                  <w:r>
                    <w:rPr>
                      <w:color w:val="auto"/>
                    </w:rPr>
                    <w:t>铅</w:t>
                  </w:r>
                </w:p>
              </w:tc>
              <w:tc>
                <w:tcPr>
                  <w:tcW w:w="1364" w:type="dxa"/>
                  <w:shd w:val="clear" w:color="auto" w:fill="auto"/>
                  <w:vAlign w:val="center"/>
                </w:tcPr>
                <w:p w14:paraId="47ABFEE5">
                  <w:pPr>
                    <w:jc w:val="center"/>
                    <w:rPr>
                      <w:rFonts w:hint="eastAsia" w:eastAsiaTheme="minorEastAsia"/>
                      <w:color w:val="auto"/>
                      <w:sz w:val="22"/>
                      <w:szCs w:val="22"/>
                      <w:lang w:eastAsia="zh-CN"/>
                    </w:rPr>
                  </w:pPr>
                  <w:r>
                    <w:rPr>
                      <w:color w:val="auto"/>
                      <w:sz w:val="22"/>
                      <w:szCs w:val="22"/>
                    </w:rPr>
                    <w:t>≤</w:t>
                  </w:r>
                  <w:r>
                    <w:rPr>
                      <w:rFonts w:hint="eastAsia"/>
                      <w:color w:val="auto"/>
                      <w:sz w:val="22"/>
                      <w:szCs w:val="22"/>
                    </w:rPr>
                    <w:t>0.0</w:t>
                  </w:r>
                  <w:r>
                    <w:rPr>
                      <w:rFonts w:hint="eastAsia"/>
                      <w:color w:val="auto"/>
                      <w:sz w:val="22"/>
                      <w:szCs w:val="22"/>
                      <w:lang w:val="en-US" w:eastAsia="zh-CN"/>
                    </w:rPr>
                    <w:t>1</w:t>
                  </w:r>
                </w:p>
              </w:tc>
            </w:tr>
            <w:tr w14:paraId="480C0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shd w:val="clear" w:color="auto" w:fill="auto"/>
                  <w:vAlign w:val="center"/>
                </w:tcPr>
                <w:p w14:paraId="012AACFE">
                  <w:pPr>
                    <w:jc w:val="center"/>
                    <w:rPr>
                      <w:color w:val="auto"/>
                      <w:sz w:val="22"/>
                      <w:szCs w:val="22"/>
                    </w:rPr>
                  </w:pPr>
                  <w:r>
                    <w:rPr>
                      <w:color w:val="auto"/>
                      <w:sz w:val="22"/>
                      <w:szCs w:val="22"/>
                    </w:rPr>
                    <w:t>4</w:t>
                  </w:r>
                </w:p>
              </w:tc>
              <w:tc>
                <w:tcPr>
                  <w:tcW w:w="1920" w:type="dxa"/>
                  <w:shd w:val="clear" w:color="auto" w:fill="auto"/>
                  <w:vAlign w:val="center"/>
                </w:tcPr>
                <w:p w14:paraId="3D0C5D9C">
                  <w:pPr>
                    <w:jc w:val="center"/>
                    <w:rPr>
                      <w:color w:val="auto"/>
                      <w:sz w:val="22"/>
                      <w:szCs w:val="22"/>
                    </w:rPr>
                  </w:pPr>
                  <w:r>
                    <w:rPr>
                      <w:color w:val="auto"/>
                      <w:sz w:val="22"/>
                      <w:szCs w:val="22"/>
                    </w:rPr>
                    <w:t>COD</w:t>
                  </w:r>
                </w:p>
              </w:tc>
              <w:tc>
                <w:tcPr>
                  <w:tcW w:w="1395" w:type="dxa"/>
                  <w:shd w:val="clear" w:color="auto" w:fill="auto"/>
                  <w:vAlign w:val="center"/>
                </w:tcPr>
                <w:p w14:paraId="58F5315E">
                  <w:pPr>
                    <w:jc w:val="center"/>
                    <w:rPr>
                      <w:rFonts w:hint="default" w:eastAsiaTheme="minorEastAsia"/>
                      <w:color w:val="auto"/>
                      <w:sz w:val="22"/>
                      <w:szCs w:val="22"/>
                      <w:lang w:val="en-US" w:eastAsia="zh-CN"/>
                    </w:rPr>
                  </w:pPr>
                  <w:r>
                    <w:rPr>
                      <w:color w:val="auto"/>
                      <w:sz w:val="22"/>
                      <w:szCs w:val="22"/>
                    </w:rPr>
                    <w:t>≤</w:t>
                  </w:r>
                  <w:r>
                    <w:rPr>
                      <w:rFonts w:hint="eastAsia"/>
                      <w:color w:val="auto"/>
                      <w:sz w:val="22"/>
                      <w:szCs w:val="22"/>
                      <w:lang w:val="en-US" w:eastAsia="zh-CN"/>
                    </w:rPr>
                    <w:t>15</w:t>
                  </w:r>
                </w:p>
              </w:tc>
              <w:tc>
                <w:tcPr>
                  <w:tcW w:w="613" w:type="dxa"/>
                  <w:shd w:val="clear" w:color="auto" w:fill="auto"/>
                  <w:vAlign w:val="center"/>
                </w:tcPr>
                <w:p w14:paraId="7143D3A3">
                  <w:pPr>
                    <w:jc w:val="center"/>
                    <w:rPr>
                      <w:color w:val="auto"/>
                      <w:sz w:val="22"/>
                      <w:szCs w:val="22"/>
                    </w:rPr>
                  </w:pPr>
                  <w:r>
                    <w:rPr>
                      <w:color w:val="auto"/>
                      <w:sz w:val="22"/>
                      <w:szCs w:val="22"/>
                    </w:rPr>
                    <w:t>16</w:t>
                  </w:r>
                </w:p>
              </w:tc>
              <w:tc>
                <w:tcPr>
                  <w:tcW w:w="2237" w:type="dxa"/>
                  <w:shd w:val="clear" w:color="auto" w:fill="auto"/>
                  <w:vAlign w:val="center"/>
                </w:tcPr>
                <w:p w14:paraId="2A1A1034">
                  <w:pPr>
                    <w:jc w:val="center"/>
                    <w:rPr>
                      <w:color w:val="auto"/>
                      <w:sz w:val="22"/>
                      <w:szCs w:val="22"/>
                    </w:rPr>
                  </w:pPr>
                  <w:r>
                    <w:rPr>
                      <w:color w:val="auto"/>
                    </w:rPr>
                    <w:t>六价铬</w:t>
                  </w:r>
                </w:p>
              </w:tc>
              <w:tc>
                <w:tcPr>
                  <w:tcW w:w="1364" w:type="dxa"/>
                  <w:shd w:val="clear" w:color="auto" w:fill="auto"/>
                  <w:vAlign w:val="center"/>
                </w:tcPr>
                <w:p w14:paraId="499A5817">
                  <w:pPr>
                    <w:jc w:val="center"/>
                    <w:rPr>
                      <w:color w:val="auto"/>
                      <w:sz w:val="22"/>
                      <w:szCs w:val="22"/>
                    </w:rPr>
                  </w:pPr>
                  <w:r>
                    <w:rPr>
                      <w:color w:val="auto"/>
                      <w:sz w:val="22"/>
                      <w:szCs w:val="22"/>
                    </w:rPr>
                    <w:t>≤</w:t>
                  </w:r>
                  <w:r>
                    <w:rPr>
                      <w:rFonts w:hint="eastAsia"/>
                      <w:color w:val="auto"/>
                      <w:sz w:val="22"/>
                      <w:szCs w:val="22"/>
                    </w:rPr>
                    <w:t>0.05</w:t>
                  </w:r>
                </w:p>
              </w:tc>
            </w:tr>
            <w:tr w14:paraId="72264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shd w:val="clear" w:color="auto" w:fill="auto"/>
                  <w:vAlign w:val="center"/>
                </w:tcPr>
                <w:p w14:paraId="52629309">
                  <w:pPr>
                    <w:jc w:val="center"/>
                    <w:rPr>
                      <w:color w:val="auto"/>
                      <w:sz w:val="22"/>
                      <w:szCs w:val="22"/>
                    </w:rPr>
                  </w:pPr>
                  <w:r>
                    <w:rPr>
                      <w:color w:val="auto"/>
                      <w:sz w:val="22"/>
                      <w:szCs w:val="22"/>
                    </w:rPr>
                    <w:t>5</w:t>
                  </w:r>
                </w:p>
              </w:tc>
              <w:tc>
                <w:tcPr>
                  <w:tcW w:w="1920" w:type="dxa"/>
                  <w:shd w:val="clear" w:color="auto" w:fill="auto"/>
                  <w:vAlign w:val="center"/>
                </w:tcPr>
                <w:p w14:paraId="7915E4E0">
                  <w:pPr>
                    <w:jc w:val="center"/>
                    <w:rPr>
                      <w:color w:val="auto"/>
                      <w:sz w:val="22"/>
                      <w:szCs w:val="22"/>
                    </w:rPr>
                  </w:pPr>
                  <w:r>
                    <w:rPr>
                      <w:color w:val="auto"/>
                      <w:sz w:val="22"/>
                      <w:szCs w:val="22"/>
                    </w:rPr>
                    <w:t>BOD</w:t>
                  </w:r>
                  <w:r>
                    <w:rPr>
                      <w:color w:val="auto"/>
                      <w:sz w:val="22"/>
                      <w:szCs w:val="22"/>
                      <w:vertAlign w:val="subscript"/>
                    </w:rPr>
                    <w:t>5</w:t>
                  </w:r>
                </w:p>
              </w:tc>
              <w:tc>
                <w:tcPr>
                  <w:tcW w:w="1395" w:type="dxa"/>
                  <w:shd w:val="clear" w:color="auto" w:fill="auto"/>
                  <w:vAlign w:val="center"/>
                </w:tcPr>
                <w:p w14:paraId="2A5DF838">
                  <w:pPr>
                    <w:jc w:val="center"/>
                    <w:rPr>
                      <w:rFonts w:hint="eastAsia" w:eastAsiaTheme="minorEastAsia"/>
                      <w:color w:val="auto"/>
                      <w:sz w:val="22"/>
                      <w:szCs w:val="22"/>
                      <w:lang w:eastAsia="zh-CN"/>
                    </w:rPr>
                  </w:pPr>
                  <w:r>
                    <w:rPr>
                      <w:color w:val="auto"/>
                      <w:sz w:val="22"/>
                      <w:szCs w:val="22"/>
                    </w:rPr>
                    <w:t>≤</w:t>
                  </w:r>
                  <w:r>
                    <w:rPr>
                      <w:rFonts w:hint="eastAsia"/>
                      <w:color w:val="auto"/>
                      <w:sz w:val="22"/>
                      <w:szCs w:val="22"/>
                      <w:lang w:val="en-US" w:eastAsia="zh-CN"/>
                    </w:rPr>
                    <w:t>3</w:t>
                  </w:r>
                </w:p>
              </w:tc>
              <w:tc>
                <w:tcPr>
                  <w:tcW w:w="613" w:type="dxa"/>
                  <w:shd w:val="clear" w:color="auto" w:fill="auto"/>
                  <w:vAlign w:val="center"/>
                </w:tcPr>
                <w:p w14:paraId="48324EE2">
                  <w:pPr>
                    <w:jc w:val="center"/>
                    <w:rPr>
                      <w:color w:val="auto"/>
                      <w:sz w:val="22"/>
                      <w:szCs w:val="22"/>
                    </w:rPr>
                  </w:pPr>
                  <w:r>
                    <w:rPr>
                      <w:color w:val="auto"/>
                      <w:sz w:val="22"/>
                      <w:szCs w:val="22"/>
                    </w:rPr>
                    <w:t>17</w:t>
                  </w:r>
                </w:p>
              </w:tc>
              <w:tc>
                <w:tcPr>
                  <w:tcW w:w="2237" w:type="dxa"/>
                  <w:shd w:val="clear" w:color="auto" w:fill="auto"/>
                  <w:vAlign w:val="center"/>
                </w:tcPr>
                <w:p w14:paraId="064D70D4">
                  <w:pPr>
                    <w:jc w:val="center"/>
                    <w:rPr>
                      <w:color w:val="auto"/>
                      <w:sz w:val="22"/>
                      <w:szCs w:val="22"/>
                    </w:rPr>
                  </w:pPr>
                  <w:r>
                    <w:rPr>
                      <w:color w:val="auto"/>
                    </w:rPr>
                    <w:t>氟化物</w:t>
                  </w:r>
                </w:p>
              </w:tc>
              <w:tc>
                <w:tcPr>
                  <w:tcW w:w="1364" w:type="dxa"/>
                  <w:shd w:val="clear" w:color="auto" w:fill="auto"/>
                  <w:vAlign w:val="center"/>
                </w:tcPr>
                <w:p w14:paraId="3A585EBB">
                  <w:pPr>
                    <w:jc w:val="center"/>
                    <w:rPr>
                      <w:color w:val="auto"/>
                      <w:sz w:val="22"/>
                      <w:szCs w:val="22"/>
                    </w:rPr>
                  </w:pPr>
                  <w:r>
                    <w:rPr>
                      <w:color w:val="auto"/>
                      <w:sz w:val="22"/>
                      <w:szCs w:val="22"/>
                    </w:rPr>
                    <w:t>≤</w:t>
                  </w:r>
                  <w:r>
                    <w:rPr>
                      <w:rFonts w:hint="eastAsia"/>
                      <w:color w:val="auto"/>
                      <w:sz w:val="22"/>
                      <w:szCs w:val="22"/>
                    </w:rPr>
                    <w:t>1.0</w:t>
                  </w:r>
                </w:p>
              </w:tc>
            </w:tr>
            <w:tr w14:paraId="4E8B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shd w:val="clear" w:color="auto" w:fill="auto"/>
                  <w:vAlign w:val="center"/>
                </w:tcPr>
                <w:p w14:paraId="5DD22264">
                  <w:pPr>
                    <w:jc w:val="center"/>
                    <w:rPr>
                      <w:color w:val="auto"/>
                      <w:sz w:val="22"/>
                      <w:szCs w:val="22"/>
                    </w:rPr>
                  </w:pPr>
                  <w:r>
                    <w:rPr>
                      <w:color w:val="auto"/>
                      <w:sz w:val="22"/>
                      <w:szCs w:val="22"/>
                    </w:rPr>
                    <w:t>6</w:t>
                  </w:r>
                </w:p>
              </w:tc>
              <w:tc>
                <w:tcPr>
                  <w:tcW w:w="1920" w:type="dxa"/>
                  <w:shd w:val="clear" w:color="auto" w:fill="auto"/>
                  <w:vAlign w:val="center"/>
                </w:tcPr>
                <w:p w14:paraId="0609C14F">
                  <w:pPr>
                    <w:jc w:val="center"/>
                    <w:rPr>
                      <w:color w:val="auto"/>
                      <w:sz w:val="22"/>
                      <w:szCs w:val="22"/>
                    </w:rPr>
                  </w:pPr>
                  <w:r>
                    <w:rPr>
                      <w:color w:val="auto"/>
                    </w:rPr>
                    <w:t>氨氮</w:t>
                  </w:r>
                </w:p>
              </w:tc>
              <w:tc>
                <w:tcPr>
                  <w:tcW w:w="1395" w:type="dxa"/>
                  <w:shd w:val="clear" w:color="auto" w:fill="auto"/>
                  <w:vAlign w:val="center"/>
                </w:tcPr>
                <w:p w14:paraId="1BD8726E">
                  <w:pPr>
                    <w:jc w:val="center"/>
                    <w:rPr>
                      <w:rFonts w:hint="default" w:eastAsiaTheme="minorEastAsia"/>
                      <w:color w:val="auto"/>
                      <w:sz w:val="22"/>
                      <w:szCs w:val="22"/>
                      <w:lang w:val="en-US" w:eastAsia="zh-CN"/>
                    </w:rPr>
                  </w:pPr>
                  <w:r>
                    <w:rPr>
                      <w:color w:val="auto"/>
                      <w:sz w:val="22"/>
                      <w:szCs w:val="22"/>
                    </w:rPr>
                    <w:t>≤</w:t>
                  </w:r>
                  <w:r>
                    <w:rPr>
                      <w:rFonts w:hint="eastAsia"/>
                      <w:color w:val="auto"/>
                      <w:sz w:val="22"/>
                      <w:szCs w:val="22"/>
                      <w:lang w:val="en-US" w:eastAsia="zh-CN"/>
                    </w:rPr>
                    <w:t>0.5</w:t>
                  </w:r>
                </w:p>
              </w:tc>
              <w:tc>
                <w:tcPr>
                  <w:tcW w:w="613" w:type="dxa"/>
                  <w:shd w:val="clear" w:color="auto" w:fill="auto"/>
                  <w:vAlign w:val="center"/>
                </w:tcPr>
                <w:p w14:paraId="67831B23">
                  <w:pPr>
                    <w:jc w:val="center"/>
                    <w:rPr>
                      <w:color w:val="auto"/>
                      <w:sz w:val="22"/>
                      <w:szCs w:val="22"/>
                    </w:rPr>
                  </w:pPr>
                  <w:r>
                    <w:rPr>
                      <w:color w:val="auto"/>
                      <w:sz w:val="22"/>
                      <w:szCs w:val="22"/>
                    </w:rPr>
                    <w:t>18</w:t>
                  </w:r>
                </w:p>
              </w:tc>
              <w:tc>
                <w:tcPr>
                  <w:tcW w:w="2237" w:type="dxa"/>
                  <w:shd w:val="clear" w:color="auto" w:fill="auto"/>
                  <w:vAlign w:val="center"/>
                </w:tcPr>
                <w:p w14:paraId="57B224D0">
                  <w:pPr>
                    <w:jc w:val="center"/>
                    <w:rPr>
                      <w:color w:val="auto"/>
                      <w:sz w:val="22"/>
                      <w:szCs w:val="22"/>
                    </w:rPr>
                  </w:pPr>
                  <w:r>
                    <w:rPr>
                      <w:color w:val="auto"/>
                    </w:rPr>
                    <w:t>氰化物</w:t>
                  </w:r>
                </w:p>
              </w:tc>
              <w:tc>
                <w:tcPr>
                  <w:tcW w:w="1364" w:type="dxa"/>
                  <w:shd w:val="clear" w:color="auto" w:fill="auto"/>
                  <w:vAlign w:val="center"/>
                </w:tcPr>
                <w:p w14:paraId="2E85F659">
                  <w:pPr>
                    <w:jc w:val="center"/>
                    <w:rPr>
                      <w:rFonts w:hint="default" w:eastAsiaTheme="minorEastAsia"/>
                      <w:color w:val="auto"/>
                      <w:sz w:val="22"/>
                      <w:szCs w:val="22"/>
                      <w:lang w:val="en-US" w:eastAsia="zh-CN"/>
                    </w:rPr>
                  </w:pPr>
                  <w:r>
                    <w:rPr>
                      <w:color w:val="auto"/>
                      <w:sz w:val="22"/>
                      <w:szCs w:val="22"/>
                    </w:rPr>
                    <w:t>≤</w:t>
                  </w:r>
                  <w:r>
                    <w:rPr>
                      <w:rFonts w:hint="eastAsia"/>
                      <w:color w:val="auto"/>
                      <w:sz w:val="22"/>
                      <w:szCs w:val="22"/>
                    </w:rPr>
                    <w:t>0.</w:t>
                  </w:r>
                  <w:r>
                    <w:rPr>
                      <w:rFonts w:hint="eastAsia"/>
                      <w:color w:val="auto"/>
                      <w:sz w:val="22"/>
                      <w:szCs w:val="22"/>
                      <w:lang w:val="en-US" w:eastAsia="zh-CN"/>
                    </w:rPr>
                    <w:t>05</w:t>
                  </w:r>
                </w:p>
              </w:tc>
            </w:tr>
            <w:tr w14:paraId="18605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shd w:val="clear" w:color="auto" w:fill="auto"/>
                  <w:vAlign w:val="center"/>
                </w:tcPr>
                <w:p w14:paraId="0B99F5E0">
                  <w:pPr>
                    <w:jc w:val="center"/>
                    <w:rPr>
                      <w:color w:val="auto"/>
                      <w:sz w:val="22"/>
                      <w:szCs w:val="22"/>
                    </w:rPr>
                  </w:pPr>
                  <w:r>
                    <w:rPr>
                      <w:color w:val="auto"/>
                      <w:sz w:val="22"/>
                      <w:szCs w:val="22"/>
                    </w:rPr>
                    <w:t>7</w:t>
                  </w:r>
                </w:p>
              </w:tc>
              <w:tc>
                <w:tcPr>
                  <w:tcW w:w="1920" w:type="dxa"/>
                  <w:shd w:val="clear" w:color="auto" w:fill="auto"/>
                  <w:vAlign w:val="center"/>
                </w:tcPr>
                <w:p w14:paraId="0DBF3304">
                  <w:pPr>
                    <w:jc w:val="center"/>
                    <w:rPr>
                      <w:color w:val="auto"/>
                      <w:sz w:val="22"/>
                      <w:szCs w:val="22"/>
                    </w:rPr>
                  </w:pPr>
                  <w:r>
                    <w:rPr>
                      <w:color w:val="auto"/>
                    </w:rPr>
                    <w:t>总磷</w:t>
                  </w:r>
                </w:p>
              </w:tc>
              <w:tc>
                <w:tcPr>
                  <w:tcW w:w="1395" w:type="dxa"/>
                  <w:shd w:val="clear" w:color="auto" w:fill="auto"/>
                  <w:vAlign w:val="center"/>
                </w:tcPr>
                <w:p w14:paraId="548F507B">
                  <w:pPr>
                    <w:jc w:val="center"/>
                    <w:rPr>
                      <w:rFonts w:hint="default" w:eastAsiaTheme="minorEastAsia"/>
                      <w:color w:val="auto"/>
                      <w:sz w:val="22"/>
                      <w:szCs w:val="22"/>
                      <w:lang w:val="en-US" w:eastAsia="zh-CN"/>
                    </w:rPr>
                  </w:pPr>
                  <w:r>
                    <w:rPr>
                      <w:color w:val="auto"/>
                      <w:sz w:val="22"/>
                      <w:szCs w:val="22"/>
                    </w:rPr>
                    <w:t>≤</w:t>
                  </w:r>
                  <w:r>
                    <w:rPr>
                      <w:rFonts w:hint="eastAsia"/>
                      <w:color w:val="auto"/>
                      <w:sz w:val="22"/>
                      <w:szCs w:val="22"/>
                      <w:lang w:val="en-US" w:eastAsia="zh-CN"/>
                    </w:rPr>
                    <w:t>0.1</w:t>
                  </w:r>
                </w:p>
              </w:tc>
              <w:tc>
                <w:tcPr>
                  <w:tcW w:w="613" w:type="dxa"/>
                  <w:shd w:val="clear" w:color="auto" w:fill="auto"/>
                  <w:vAlign w:val="center"/>
                </w:tcPr>
                <w:p w14:paraId="21006049">
                  <w:pPr>
                    <w:jc w:val="center"/>
                    <w:rPr>
                      <w:color w:val="auto"/>
                      <w:sz w:val="22"/>
                      <w:szCs w:val="22"/>
                    </w:rPr>
                  </w:pPr>
                  <w:r>
                    <w:rPr>
                      <w:color w:val="auto"/>
                      <w:sz w:val="22"/>
                      <w:szCs w:val="22"/>
                    </w:rPr>
                    <w:t>19</w:t>
                  </w:r>
                </w:p>
              </w:tc>
              <w:tc>
                <w:tcPr>
                  <w:tcW w:w="2237" w:type="dxa"/>
                  <w:shd w:val="clear" w:color="auto" w:fill="auto"/>
                  <w:vAlign w:val="center"/>
                </w:tcPr>
                <w:p w14:paraId="08CBA4FE">
                  <w:pPr>
                    <w:jc w:val="center"/>
                    <w:rPr>
                      <w:color w:val="auto"/>
                      <w:sz w:val="22"/>
                      <w:szCs w:val="22"/>
                    </w:rPr>
                  </w:pPr>
                  <w:r>
                    <w:rPr>
                      <w:color w:val="auto"/>
                    </w:rPr>
                    <w:t>硫化物</w:t>
                  </w:r>
                </w:p>
              </w:tc>
              <w:tc>
                <w:tcPr>
                  <w:tcW w:w="1364" w:type="dxa"/>
                  <w:shd w:val="clear" w:color="auto" w:fill="auto"/>
                  <w:vAlign w:val="center"/>
                </w:tcPr>
                <w:p w14:paraId="6E8C2631">
                  <w:pPr>
                    <w:jc w:val="center"/>
                    <w:rPr>
                      <w:rFonts w:hint="eastAsia" w:eastAsiaTheme="minorEastAsia"/>
                      <w:color w:val="auto"/>
                      <w:sz w:val="22"/>
                      <w:szCs w:val="22"/>
                      <w:lang w:eastAsia="zh-CN"/>
                    </w:rPr>
                  </w:pPr>
                  <w:r>
                    <w:rPr>
                      <w:color w:val="auto"/>
                      <w:sz w:val="22"/>
                      <w:szCs w:val="22"/>
                    </w:rPr>
                    <w:t>≤</w:t>
                  </w:r>
                  <w:r>
                    <w:rPr>
                      <w:rFonts w:hint="eastAsia"/>
                      <w:color w:val="auto"/>
                      <w:sz w:val="22"/>
                      <w:szCs w:val="22"/>
                    </w:rPr>
                    <w:t>0.</w:t>
                  </w:r>
                  <w:r>
                    <w:rPr>
                      <w:rFonts w:hint="eastAsia"/>
                      <w:color w:val="auto"/>
                      <w:sz w:val="22"/>
                      <w:szCs w:val="22"/>
                      <w:lang w:val="en-US" w:eastAsia="zh-CN"/>
                    </w:rPr>
                    <w:t>1</w:t>
                  </w:r>
                </w:p>
              </w:tc>
            </w:tr>
            <w:tr w14:paraId="3820C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shd w:val="clear" w:color="auto" w:fill="auto"/>
                  <w:vAlign w:val="center"/>
                </w:tcPr>
                <w:p w14:paraId="41FBA18A">
                  <w:pPr>
                    <w:jc w:val="center"/>
                    <w:rPr>
                      <w:color w:val="auto"/>
                      <w:sz w:val="22"/>
                      <w:szCs w:val="22"/>
                    </w:rPr>
                  </w:pPr>
                  <w:r>
                    <w:rPr>
                      <w:color w:val="auto"/>
                      <w:sz w:val="22"/>
                      <w:szCs w:val="22"/>
                    </w:rPr>
                    <w:t>8</w:t>
                  </w:r>
                </w:p>
              </w:tc>
              <w:tc>
                <w:tcPr>
                  <w:tcW w:w="1920" w:type="dxa"/>
                  <w:shd w:val="clear" w:color="auto" w:fill="auto"/>
                  <w:vAlign w:val="center"/>
                </w:tcPr>
                <w:p w14:paraId="2725CB98">
                  <w:pPr>
                    <w:jc w:val="center"/>
                    <w:rPr>
                      <w:color w:val="auto"/>
                      <w:sz w:val="22"/>
                      <w:szCs w:val="22"/>
                    </w:rPr>
                  </w:pPr>
                  <w:r>
                    <w:rPr>
                      <w:color w:val="auto"/>
                    </w:rPr>
                    <w:t>总氮</w:t>
                  </w:r>
                </w:p>
              </w:tc>
              <w:tc>
                <w:tcPr>
                  <w:tcW w:w="1395" w:type="dxa"/>
                  <w:shd w:val="clear" w:color="auto" w:fill="auto"/>
                  <w:vAlign w:val="center"/>
                </w:tcPr>
                <w:p w14:paraId="173D75FD">
                  <w:pPr>
                    <w:jc w:val="center"/>
                    <w:rPr>
                      <w:rFonts w:hint="default" w:eastAsiaTheme="minorEastAsia"/>
                      <w:color w:val="auto"/>
                      <w:sz w:val="22"/>
                      <w:szCs w:val="22"/>
                      <w:lang w:val="en-US" w:eastAsia="zh-CN"/>
                    </w:rPr>
                  </w:pPr>
                  <w:r>
                    <w:rPr>
                      <w:color w:val="auto"/>
                      <w:sz w:val="22"/>
                      <w:szCs w:val="22"/>
                    </w:rPr>
                    <w:t>≤</w:t>
                  </w:r>
                  <w:r>
                    <w:rPr>
                      <w:rFonts w:hint="eastAsia"/>
                      <w:color w:val="auto"/>
                      <w:sz w:val="22"/>
                      <w:szCs w:val="22"/>
                      <w:lang w:val="en-US" w:eastAsia="zh-CN"/>
                    </w:rPr>
                    <w:t>0.5</w:t>
                  </w:r>
                </w:p>
              </w:tc>
              <w:tc>
                <w:tcPr>
                  <w:tcW w:w="613" w:type="dxa"/>
                  <w:shd w:val="clear" w:color="auto" w:fill="auto"/>
                  <w:vAlign w:val="center"/>
                </w:tcPr>
                <w:p w14:paraId="6465FB27">
                  <w:pPr>
                    <w:jc w:val="center"/>
                    <w:rPr>
                      <w:color w:val="auto"/>
                      <w:sz w:val="22"/>
                      <w:szCs w:val="22"/>
                    </w:rPr>
                  </w:pPr>
                  <w:r>
                    <w:rPr>
                      <w:color w:val="auto"/>
                      <w:sz w:val="22"/>
                      <w:szCs w:val="22"/>
                    </w:rPr>
                    <w:t>20</w:t>
                  </w:r>
                </w:p>
              </w:tc>
              <w:tc>
                <w:tcPr>
                  <w:tcW w:w="2237" w:type="dxa"/>
                  <w:shd w:val="clear" w:color="auto" w:fill="auto"/>
                  <w:vAlign w:val="center"/>
                </w:tcPr>
                <w:p w14:paraId="730243EA">
                  <w:pPr>
                    <w:jc w:val="center"/>
                    <w:rPr>
                      <w:color w:val="auto"/>
                      <w:sz w:val="22"/>
                      <w:szCs w:val="22"/>
                    </w:rPr>
                  </w:pPr>
                  <w:r>
                    <w:rPr>
                      <w:color w:val="auto"/>
                    </w:rPr>
                    <w:t>挥发酚</w:t>
                  </w:r>
                </w:p>
              </w:tc>
              <w:tc>
                <w:tcPr>
                  <w:tcW w:w="1364" w:type="dxa"/>
                  <w:shd w:val="clear" w:color="auto" w:fill="auto"/>
                  <w:vAlign w:val="center"/>
                </w:tcPr>
                <w:p w14:paraId="1AB878DE">
                  <w:pPr>
                    <w:jc w:val="center"/>
                    <w:rPr>
                      <w:rFonts w:hint="eastAsia" w:eastAsiaTheme="minorEastAsia"/>
                      <w:color w:val="auto"/>
                      <w:sz w:val="22"/>
                      <w:szCs w:val="22"/>
                      <w:lang w:eastAsia="zh-CN"/>
                    </w:rPr>
                  </w:pPr>
                  <w:r>
                    <w:rPr>
                      <w:color w:val="auto"/>
                      <w:sz w:val="22"/>
                      <w:szCs w:val="22"/>
                    </w:rPr>
                    <w:t>≤</w:t>
                  </w:r>
                  <w:r>
                    <w:rPr>
                      <w:rFonts w:hint="eastAsia"/>
                      <w:color w:val="auto"/>
                      <w:sz w:val="22"/>
                      <w:szCs w:val="22"/>
                    </w:rPr>
                    <w:t>0.00</w:t>
                  </w:r>
                  <w:r>
                    <w:rPr>
                      <w:rFonts w:hint="eastAsia"/>
                      <w:color w:val="auto"/>
                      <w:sz w:val="22"/>
                      <w:szCs w:val="22"/>
                      <w:lang w:val="en-US" w:eastAsia="zh-CN"/>
                    </w:rPr>
                    <w:t>2</w:t>
                  </w:r>
                </w:p>
              </w:tc>
            </w:tr>
            <w:tr w14:paraId="430F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shd w:val="clear" w:color="auto" w:fill="auto"/>
                  <w:vAlign w:val="center"/>
                </w:tcPr>
                <w:p w14:paraId="0ADB10E8">
                  <w:pPr>
                    <w:jc w:val="center"/>
                    <w:rPr>
                      <w:color w:val="auto"/>
                      <w:sz w:val="22"/>
                      <w:szCs w:val="22"/>
                    </w:rPr>
                  </w:pPr>
                  <w:r>
                    <w:rPr>
                      <w:color w:val="auto"/>
                      <w:sz w:val="22"/>
                      <w:szCs w:val="22"/>
                    </w:rPr>
                    <w:t>9</w:t>
                  </w:r>
                </w:p>
              </w:tc>
              <w:tc>
                <w:tcPr>
                  <w:tcW w:w="1920" w:type="dxa"/>
                  <w:shd w:val="clear" w:color="auto" w:fill="auto"/>
                  <w:vAlign w:val="center"/>
                </w:tcPr>
                <w:p w14:paraId="561960C9">
                  <w:pPr>
                    <w:jc w:val="center"/>
                    <w:rPr>
                      <w:color w:val="auto"/>
                      <w:sz w:val="22"/>
                      <w:szCs w:val="22"/>
                    </w:rPr>
                  </w:pPr>
                  <w:r>
                    <w:rPr>
                      <w:color w:val="auto"/>
                    </w:rPr>
                    <w:t>铜</w:t>
                  </w:r>
                </w:p>
              </w:tc>
              <w:tc>
                <w:tcPr>
                  <w:tcW w:w="1395" w:type="dxa"/>
                  <w:shd w:val="clear" w:color="auto" w:fill="auto"/>
                  <w:vAlign w:val="center"/>
                </w:tcPr>
                <w:p w14:paraId="788A58FD">
                  <w:pPr>
                    <w:jc w:val="center"/>
                    <w:rPr>
                      <w:color w:val="auto"/>
                      <w:sz w:val="22"/>
                      <w:szCs w:val="22"/>
                    </w:rPr>
                  </w:pPr>
                  <w:r>
                    <w:rPr>
                      <w:color w:val="auto"/>
                      <w:sz w:val="22"/>
                      <w:szCs w:val="22"/>
                    </w:rPr>
                    <w:t>≤</w:t>
                  </w:r>
                  <w:r>
                    <w:rPr>
                      <w:rFonts w:hint="eastAsia"/>
                      <w:color w:val="auto"/>
                      <w:sz w:val="22"/>
                      <w:szCs w:val="22"/>
                    </w:rPr>
                    <w:t>1.0</w:t>
                  </w:r>
                </w:p>
              </w:tc>
              <w:tc>
                <w:tcPr>
                  <w:tcW w:w="613" w:type="dxa"/>
                  <w:shd w:val="clear" w:color="auto" w:fill="auto"/>
                  <w:vAlign w:val="center"/>
                </w:tcPr>
                <w:p w14:paraId="59CDEA75">
                  <w:pPr>
                    <w:jc w:val="center"/>
                    <w:rPr>
                      <w:color w:val="auto"/>
                      <w:sz w:val="22"/>
                      <w:szCs w:val="22"/>
                    </w:rPr>
                  </w:pPr>
                  <w:r>
                    <w:rPr>
                      <w:color w:val="auto"/>
                      <w:sz w:val="22"/>
                      <w:szCs w:val="22"/>
                    </w:rPr>
                    <w:t>21</w:t>
                  </w:r>
                </w:p>
              </w:tc>
              <w:tc>
                <w:tcPr>
                  <w:tcW w:w="2237" w:type="dxa"/>
                  <w:shd w:val="clear" w:color="auto" w:fill="auto"/>
                  <w:vAlign w:val="center"/>
                </w:tcPr>
                <w:p w14:paraId="7252A33D">
                  <w:pPr>
                    <w:jc w:val="center"/>
                    <w:rPr>
                      <w:color w:val="auto"/>
                      <w:sz w:val="22"/>
                      <w:szCs w:val="22"/>
                    </w:rPr>
                  </w:pPr>
                  <w:r>
                    <w:rPr>
                      <w:color w:val="auto"/>
                      <w:sz w:val="22"/>
                      <w:szCs w:val="22"/>
                    </w:rPr>
                    <w:t>石油类</w:t>
                  </w:r>
                </w:p>
              </w:tc>
              <w:tc>
                <w:tcPr>
                  <w:tcW w:w="1364" w:type="dxa"/>
                  <w:shd w:val="clear" w:color="auto" w:fill="auto"/>
                  <w:vAlign w:val="center"/>
                </w:tcPr>
                <w:p w14:paraId="5E0546E0">
                  <w:pPr>
                    <w:jc w:val="center"/>
                    <w:rPr>
                      <w:color w:val="auto"/>
                      <w:sz w:val="22"/>
                      <w:szCs w:val="22"/>
                    </w:rPr>
                  </w:pPr>
                  <w:r>
                    <w:rPr>
                      <w:color w:val="auto"/>
                      <w:sz w:val="22"/>
                      <w:szCs w:val="22"/>
                    </w:rPr>
                    <w:t>≤</w:t>
                  </w:r>
                  <w:r>
                    <w:rPr>
                      <w:rFonts w:hint="eastAsia"/>
                      <w:color w:val="auto"/>
                      <w:sz w:val="22"/>
                      <w:szCs w:val="22"/>
                    </w:rPr>
                    <w:t>0.05</w:t>
                  </w:r>
                </w:p>
              </w:tc>
            </w:tr>
            <w:tr w14:paraId="00D6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shd w:val="clear" w:color="auto" w:fill="auto"/>
                  <w:vAlign w:val="center"/>
                </w:tcPr>
                <w:p w14:paraId="777E1B92">
                  <w:pPr>
                    <w:jc w:val="center"/>
                    <w:rPr>
                      <w:color w:val="auto"/>
                      <w:sz w:val="22"/>
                      <w:szCs w:val="22"/>
                    </w:rPr>
                  </w:pPr>
                  <w:r>
                    <w:rPr>
                      <w:color w:val="auto"/>
                      <w:sz w:val="22"/>
                      <w:szCs w:val="22"/>
                    </w:rPr>
                    <w:t>10</w:t>
                  </w:r>
                </w:p>
              </w:tc>
              <w:tc>
                <w:tcPr>
                  <w:tcW w:w="1920" w:type="dxa"/>
                  <w:shd w:val="clear" w:color="auto" w:fill="auto"/>
                  <w:vAlign w:val="center"/>
                </w:tcPr>
                <w:p w14:paraId="090B97D1">
                  <w:pPr>
                    <w:jc w:val="center"/>
                    <w:rPr>
                      <w:color w:val="auto"/>
                      <w:sz w:val="22"/>
                      <w:szCs w:val="22"/>
                    </w:rPr>
                  </w:pPr>
                  <w:r>
                    <w:rPr>
                      <w:color w:val="auto"/>
                    </w:rPr>
                    <w:t>锌</w:t>
                  </w:r>
                </w:p>
              </w:tc>
              <w:tc>
                <w:tcPr>
                  <w:tcW w:w="1395" w:type="dxa"/>
                  <w:shd w:val="clear" w:color="auto" w:fill="auto"/>
                  <w:vAlign w:val="center"/>
                </w:tcPr>
                <w:p w14:paraId="04CCCF07">
                  <w:pPr>
                    <w:jc w:val="center"/>
                    <w:rPr>
                      <w:color w:val="auto"/>
                      <w:sz w:val="22"/>
                      <w:szCs w:val="22"/>
                    </w:rPr>
                  </w:pPr>
                  <w:r>
                    <w:rPr>
                      <w:color w:val="auto"/>
                      <w:sz w:val="22"/>
                      <w:szCs w:val="22"/>
                    </w:rPr>
                    <w:t>≤</w:t>
                  </w:r>
                  <w:r>
                    <w:rPr>
                      <w:rFonts w:hint="eastAsia"/>
                      <w:color w:val="auto"/>
                      <w:sz w:val="22"/>
                      <w:szCs w:val="22"/>
                    </w:rPr>
                    <w:t>1.0</w:t>
                  </w:r>
                </w:p>
              </w:tc>
              <w:tc>
                <w:tcPr>
                  <w:tcW w:w="613" w:type="dxa"/>
                  <w:shd w:val="clear" w:color="auto" w:fill="auto"/>
                  <w:vAlign w:val="center"/>
                </w:tcPr>
                <w:p w14:paraId="00461C49">
                  <w:pPr>
                    <w:jc w:val="center"/>
                    <w:rPr>
                      <w:color w:val="auto"/>
                      <w:sz w:val="22"/>
                      <w:szCs w:val="22"/>
                    </w:rPr>
                  </w:pPr>
                  <w:r>
                    <w:rPr>
                      <w:color w:val="auto"/>
                      <w:sz w:val="22"/>
                      <w:szCs w:val="22"/>
                    </w:rPr>
                    <w:t>22</w:t>
                  </w:r>
                </w:p>
              </w:tc>
              <w:tc>
                <w:tcPr>
                  <w:tcW w:w="2237" w:type="dxa"/>
                  <w:shd w:val="clear" w:color="auto" w:fill="auto"/>
                  <w:vAlign w:val="center"/>
                </w:tcPr>
                <w:p w14:paraId="42C73C99">
                  <w:pPr>
                    <w:jc w:val="center"/>
                    <w:rPr>
                      <w:color w:val="auto"/>
                      <w:sz w:val="22"/>
                      <w:szCs w:val="22"/>
                    </w:rPr>
                  </w:pPr>
                  <w:r>
                    <w:rPr>
                      <w:color w:val="auto"/>
                    </w:rPr>
                    <w:t>阴离子表面活性剂</w:t>
                  </w:r>
                </w:p>
              </w:tc>
              <w:tc>
                <w:tcPr>
                  <w:tcW w:w="1364" w:type="dxa"/>
                  <w:shd w:val="clear" w:color="auto" w:fill="auto"/>
                  <w:vAlign w:val="center"/>
                </w:tcPr>
                <w:p w14:paraId="6F379535">
                  <w:pPr>
                    <w:jc w:val="center"/>
                    <w:rPr>
                      <w:color w:val="auto"/>
                      <w:sz w:val="22"/>
                      <w:szCs w:val="22"/>
                    </w:rPr>
                  </w:pPr>
                  <w:r>
                    <w:rPr>
                      <w:color w:val="auto"/>
                      <w:sz w:val="22"/>
                      <w:szCs w:val="22"/>
                    </w:rPr>
                    <w:t>≤</w:t>
                  </w:r>
                  <w:r>
                    <w:rPr>
                      <w:rFonts w:hint="eastAsia"/>
                      <w:color w:val="auto"/>
                      <w:sz w:val="22"/>
                      <w:szCs w:val="22"/>
                    </w:rPr>
                    <w:t>0.2</w:t>
                  </w:r>
                </w:p>
              </w:tc>
            </w:tr>
            <w:tr w14:paraId="02B75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shd w:val="clear" w:color="auto" w:fill="auto"/>
                  <w:vAlign w:val="center"/>
                </w:tcPr>
                <w:p w14:paraId="29818DC8">
                  <w:pPr>
                    <w:jc w:val="center"/>
                    <w:rPr>
                      <w:color w:val="auto"/>
                      <w:sz w:val="22"/>
                      <w:szCs w:val="22"/>
                    </w:rPr>
                  </w:pPr>
                  <w:r>
                    <w:rPr>
                      <w:color w:val="auto"/>
                      <w:sz w:val="22"/>
                      <w:szCs w:val="22"/>
                    </w:rPr>
                    <w:t>11</w:t>
                  </w:r>
                </w:p>
              </w:tc>
              <w:tc>
                <w:tcPr>
                  <w:tcW w:w="1920" w:type="dxa"/>
                  <w:shd w:val="clear" w:color="auto" w:fill="auto"/>
                  <w:vAlign w:val="center"/>
                </w:tcPr>
                <w:p w14:paraId="3931138A">
                  <w:pPr>
                    <w:jc w:val="center"/>
                    <w:rPr>
                      <w:color w:val="auto"/>
                      <w:sz w:val="22"/>
                      <w:szCs w:val="22"/>
                    </w:rPr>
                  </w:pPr>
                  <w:r>
                    <w:rPr>
                      <w:color w:val="auto"/>
                    </w:rPr>
                    <w:t>硒</w:t>
                  </w:r>
                </w:p>
              </w:tc>
              <w:tc>
                <w:tcPr>
                  <w:tcW w:w="1395" w:type="dxa"/>
                  <w:shd w:val="clear" w:color="auto" w:fill="auto"/>
                  <w:vAlign w:val="center"/>
                </w:tcPr>
                <w:p w14:paraId="611C800E">
                  <w:pPr>
                    <w:jc w:val="center"/>
                    <w:rPr>
                      <w:color w:val="auto"/>
                      <w:sz w:val="22"/>
                      <w:szCs w:val="22"/>
                    </w:rPr>
                  </w:pPr>
                  <w:r>
                    <w:rPr>
                      <w:color w:val="auto"/>
                      <w:sz w:val="22"/>
                      <w:szCs w:val="22"/>
                    </w:rPr>
                    <w:t>≤</w:t>
                  </w:r>
                  <w:r>
                    <w:rPr>
                      <w:rFonts w:hint="eastAsia"/>
                      <w:color w:val="auto"/>
                      <w:sz w:val="22"/>
                      <w:szCs w:val="22"/>
                    </w:rPr>
                    <w:t>0.01</w:t>
                  </w:r>
                </w:p>
              </w:tc>
              <w:tc>
                <w:tcPr>
                  <w:tcW w:w="613" w:type="dxa"/>
                  <w:shd w:val="clear" w:color="auto" w:fill="auto"/>
                  <w:vAlign w:val="center"/>
                </w:tcPr>
                <w:p w14:paraId="67F64A9D">
                  <w:pPr>
                    <w:jc w:val="center"/>
                    <w:rPr>
                      <w:color w:val="auto"/>
                      <w:sz w:val="22"/>
                      <w:szCs w:val="22"/>
                    </w:rPr>
                  </w:pPr>
                  <w:r>
                    <w:rPr>
                      <w:color w:val="auto"/>
                      <w:sz w:val="22"/>
                      <w:szCs w:val="22"/>
                    </w:rPr>
                    <w:t>23</w:t>
                  </w:r>
                </w:p>
              </w:tc>
              <w:tc>
                <w:tcPr>
                  <w:tcW w:w="2237" w:type="dxa"/>
                  <w:shd w:val="clear" w:color="auto" w:fill="auto"/>
                  <w:vAlign w:val="center"/>
                </w:tcPr>
                <w:p w14:paraId="4F55EE24">
                  <w:pPr>
                    <w:jc w:val="center"/>
                    <w:rPr>
                      <w:color w:val="auto"/>
                      <w:sz w:val="22"/>
                      <w:szCs w:val="22"/>
                    </w:rPr>
                  </w:pPr>
                  <w:r>
                    <w:rPr>
                      <w:color w:val="auto"/>
                      <w:sz w:val="22"/>
                      <w:szCs w:val="22"/>
                    </w:rPr>
                    <w:t>粪大肠菌群</w:t>
                  </w:r>
                  <w:r>
                    <w:rPr>
                      <w:rFonts w:hint="eastAsia"/>
                      <w:color w:val="auto"/>
                      <w:sz w:val="22"/>
                      <w:szCs w:val="22"/>
                    </w:rPr>
                    <w:t>（个/L）</w:t>
                  </w:r>
                </w:p>
              </w:tc>
              <w:tc>
                <w:tcPr>
                  <w:tcW w:w="1364" w:type="dxa"/>
                  <w:shd w:val="clear" w:color="auto" w:fill="auto"/>
                  <w:vAlign w:val="center"/>
                </w:tcPr>
                <w:p w14:paraId="13BE3758">
                  <w:pPr>
                    <w:jc w:val="center"/>
                    <w:rPr>
                      <w:color w:val="auto"/>
                      <w:sz w:val="22"/>
                      <w:szCs w:val="22"/>
                    </w:rPr>
                  </w:pPr>
                  <w:r>
                    <w:rPr>
                      <w:color w:val="auto"/>
                      <w:sz w:val="22"/>
                      <w:szCs w:val="22"/>
                    </w:rPr>
                    <w:t>≤</w:t>
                  </w:r>
                  <w:r>
                    <w:rPr>
                      <w:rFonts w:hint="eastAsia"/>
                      <w:color w:val="auto"/>
                      <w:sz w:val="22"/>
                      <w:szCs w:val="22"/>
                      <w:lang w:val="en-US" w:eastAsia="zh-CN"/>
                    </w:rPr>
                    <w:t>2</w:t>
                  </w:r>
                  <w:r>
                    <w:rPr>
                      <w:rFonts w:hint="eastAsia"/>
                      <w:color w:val="auto"/>
                      <w:sz w:val="22"/>
                      <w:szCs w:val="22"/>
                    </w:rPr>
                    <w:t>000</w:t>
                  </w:r>
                </w:p>
              </w:tc>
            </w:tr>
            <w:tr w14:paraId="48EE8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shd w:val="clear" w:color="auto" w:fill="auto"/>
                  <w:vAlign w:val="center"/>
                </w:tcPr>
                <w:p w14:paraId="7F49AEC1">
                  <w:pPr>
                    <w:jc w:val="center"/>
                    <w:rPr>
                      <w:color w:val="auto"/>
                      <w:sz w:val="22"/>
                      <w:szCs w:val="22"/>
                    </w:rPr>
                  </w:pPr>
                  <w:r>
                    <w:rPr>
                      <w:color w:val="auto"/>
                      <w:sz w:val="22"/>
                      <w:szCs w:val="22"/>
                    </w:rPr>
                    <w:t>12</w:t>
                  </w:r>
                </w:p>
              </w:tc>
              <w:tc>
                <w:tcPr>
                  <w:tcW w:w="1920" w:type="dxa"/>
                  <w:shd w:val="clear" w:color="auto" w:fill="auto"/>
                  <w:vAlign w:val="center"/>
                </w:tcPr>
                <w:p w14:paraId="3E488AB6">
                  <w:pPr>
                    <w:jc w:val="center"/>
                    <w:rPr>
                      <w:color w:val="auto"/>
                      <w:sz w:val="22"/>
                      <w:szCs w:val="22"/>
                    </w:rPr>
                  </w:pPr>
                  <w:r>
                    <w:rPr>
                      <w:color w:val="auto"/>
                    </w:rPr>
                    <w:t>砷</w:t>
                  </w:r>
                </w:p>
              </w:tc>
              <w:tc>
                <w:tcPr>
                  <w:tcW w:w="1395" w:type="dxa"/>
                  <w:shd w:val="clear" w:color="auto" w:fill="auto"/>
                  <w:vAlign w:val="center"/>
                </w:tcPr>
                <w:p w14:paraId="057754B5">
                  <w:pPr>
                    <w:jc w:val="center"/>
                    <w:rPr>
                      <w:color w:val="auto"/>
                      <w:sz w:val="22"/>
                      <w:szCs w:val="22"/>
                    </w:rPr>
                  </w:pPr>
                  <w:r>
                    <w:rPr>
                      <w:color w:val="auto"/>
                      <w:sz w:val="22"/>
                      <w:szCs w:val="22"/>
                    </w:rPr>
                    <w:t>≤</w:t>
                  </w:r>
                  <w:r>
                    <w:rPr>
                      <w:rFonts w:hint="eastAsia"/>
                      <w:color w:val="auto"/>
                      <w:sz w:val="22"/>
                      <w:szCs w:val="22"/>
                    </w:rPr>
                    <w:t>0.05</w:t>
                  </w:r>
                </w:p>
              </w:tc>
              <w:tc>
                <w:tcPr>
                  <w:tcW w:w="613" w:type="dxa"/>
                  <w:shd w:val="clear" w:color="auto" w:fill="auto"/>
                  <w:vAlign w:val="center"/>
                </w:tcPr>
                <w:p w14:paraId="45B39AF9">
                  <w:pPr>
                    <w:jc w:val="center"/>
                    <w:rPr>
                      <w:color w:val="auto"/>
                      <w:sz w:val="22"/>
                      <w:szCs w:val="22"/>
                    </w:rPr>
                  </w:pPr>
                </w:p>
              </w:tc>
              <w:tc>
                <w:tcPr>
                  <w:tcW w:w="2237" w:type="dxa"/>
                  <w:shd w:val="clear" w:color="auto" w:fill="auto"/>
                  <w:vAlign w:val="center"/>
                </w:tcPr>
                <w:p w14:paraId="2991F8CD">
                  <w:pPr>
                    <w:jc w:val="center"/>
                    <w:rPr>
                      <w:color w:val="auto"/>
                      <w:sz w:val="22"/>
                      <w:szCs w:val="22"/>
                    </w:rPr>
                  </w:pPr>
                </w:p>
              </w:tc>
              <w:tc>
                <w:tcPr>
                  <w:tcW w:w="1364" w:type="dxa"/>
                  <w:shd w:val="clear" w:color="auto" w:fill="auto"/>
                  <w:vAlign w:val="center"/>
                </w:tcPr>
                <w:p w14:paraId="1EDF3A6F">
                  <w:pPr>
                    <w:jc w:val="center"/>
                    <w:rPr>
                      <w:color w:val="auto"/>
                      <w:sz w:val="22"/>
                      <w:szCs w:val="22"/>
                    </w:rPr>
                  </w:pPr>
                </w:p>
              </w:tc>
            </w:tr>
          </w:tbl>
          <w:p w14:paraId="4C15E9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b w:val="0"/>
                <w:bCs/>
                <w:color w:val="auto"/>
                <w:kern w:val="0"/>
                <w:sz w:val="24"/>
                <w:szCs w:val="24"/>
                <w:highlight w:val="none"/>
                <w:lang w:eastAsia="zh-CN"/>
              </w:rPr>
              <w:t>（</w:t>
            </w:r>
            <w:r>
              <w:rPr>
                <w:rFonts w:hint="eastAsia" w:ascii="Times New Roman" w:hAnsi="Times New Roman" w:eastAsia="宋体" w:cs="Times New Roman"/>
                <w:b w:val="0"/>
                <w:bCs/>
                <w:color w:val="auto"/>
                <w:kern w:val="0"/>
                <w:sz w:val="24"/>
                <w:szCs w:val="24"/>
                <w:highlight w:val="none"/>
                <w:lang w:val="en-US" w:eastAsia="zh-CN"/>
              </w:rPr>
              <w:t>3</w:t>
            </w:r>
            <w:r>
              <w:rPr>
                <w:rFonts w:hint="eastAsia"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地下水环境执行《地下水质量标准》(GB/T14848-2017)中Ⅲ类标准</w:t>
            </w:r>
            <w:r>
              <w:rPr>
                <w:rFonts w:hint="eastAsia" w:ascii="Times New Roman" w:hAnsi="Times New Roman" w:eastAsia="宋体" w:cs="Times New Roman"/>
                <w:b w:val="0"/>
                <w:bCs/>
                <w:color w:val="auto"/>
                <w:kern w:val="0"/>
                <w:sz w:val="24"/>
                <w:szCs w:val="24"/>
                <w:highlight w:val="none"/>
                <w:lang w:val="en-US" w:eastAsia="zh-CN"/>
              </w:rPr>
              <w:t>要求</w:t>
            </w:r>
            <w:r>
              <w:rPr>
                <w:rFonts w:hint="default" w:ascii="Times New Roman" w:hAnsi="Times New Roman" w:eastAsia="宋体" w:cs="Times New Roman"/>
                <w:b w:val="0"/>
                <w:bCs/>
                <w:color w:val="auto"/>
                <w:kern w:val="0"/>
                <w:sz w:val="24"/>
                <w:szCs w:val="24"/>
                <w:highlight w:val="none"/>
              </w:rPr>
              <w:t>；</w:t>
            </w:r>
            <w:r>
              <w:rPr>
                <w:rFonts w:hint="default" w:ascii="Times New Roman" w:hAnsi="Times New Roman" w:eastAsia="宋体" w:cs="Times New Roman"/>
                <w:color w:val="auto"/>
                <w:sz w:val="24"/>
              </w:rPr>
              <w:t>具体限值见表</w:t>
            </w:r>
            <w:r>
              <w:rPr>
                <w:rFonts w:hint="eastAsia" w:ascii="Times New Roman" w:hAnsi="Times New Roman" w:eastAsia="宋体" w:cs="Times New Roman"/>
                <w:color w:val="auto"/>
                <w:sz w:val="24"/>
                <w:lang w:val="en-US" w:eastAsia="zh-CN"/>
              </w:rPr>
              <w:t>3-9</w:t>
            </w:r>
            <w:r>
              <w:rPr>
                <w:rFonts w:hint="default" w:ascii="Times New Roman" w:hAnsi="Times New Roman" w:eastAsia="宋体" w:cs="Times New Roman"/>
                <w:color w:val="auto"/>
                <w:sz w:val="24"/>
              </w:rPr>
              <w:t>。</w:t>
            </w:r>
          </w:p>
          <w:p w14:paraId="4B4B6EA9">
            <w:pPr>
              <w:widowControl/>
              <w:spacing w:beforeLines="50"/>
              <w:ind w:firstLine="482"/>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w:t>
            </w:r>
            <w:r>
              <w:rPr>
                <w:rFonts w:hint="eastAsia" w:ascii="Times New Roman" w:hAnsi="Times New Roman" w:eastAsia="宋体" w:cs="Times New Roman"/>
                <w:b/>
                <w:color w:val="auto"/>
                <w:szCs w:val="21"/>
                <w:lang w:val="en-US" w:eastAsia="zh-CN"/>
              </w:rPr>
              <w:t>3-9</w:t>
            </w:r>
            <w:r>
              <w:rPr>
                <w:rFonts w:hint="default" w:ascii="Times New Roman" w:hAnsi="Times New Roman" w:eastAsia="宋体" w:cs="Times New Roman"/>
                <w:b/>
                <w:color w:val="auto"/>
                <w:szCs w:val="21"/>
              </w:rPr>
              <w:t>地下水质量标准单位：mg/L</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74"/>
              <w:gridCol w:w="3577"/>
              <w:gridCol w:w="3553"/>
            </w:tblGrid>
            <w:tr w14:paraId="6ADC13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7" w:type="pct"/>
                  <w:noWrap w:val="0"/>
                  <w:vAlign w:val="center"/>
                </w:tcPr>
                <w:p w14:paraId="444C9FA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2078" w:type="pct"/>
                  <w:noWrap w:val="0"/>
                  <w:vAlign w:val="center"/>
                </w:tcPr>
                <w:p w14:paraId="4FC0E52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项目</w:t>
                  </w:r>
                </w:p>
              </w:tc>
              <w:tc>
                <w:tcPr>
                  <w:tcW w:w="2064" w:type="pct"/>
                  <w:noWrap w:val="0"/>
                  <w:vAlign w:val="center"/>
                </w:tcPr>
                <w:p w14:paraId="569F81D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Ⅲ类标准值</w:t>
                  </w:r>
                </w:p>
              </w:tc>
            </w:tr>
            <w:tr w14:paraId="45EE3A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7" w:type="pct"/>
                  <w:noWrap w:val="0"/>
                  <w:vAlign w:val="center"/>
                </w:tcPr>
                <w:p w14:paraId="30D23A9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2078" w:type="pct"/>
                  <w:noWrap w:val="0"/>
                  <w:vAlign w:val="center"/>
                </w:tcPr>
                <w:p w14:paraId="03C5E1C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pH值（无量纲）</w:t>
                  </w:r>
                </w:p>
              </w:tc>
              <w:tc>
                <w:tcPr>
                  <w:tcW w:w="2064" w:type="pct"/>
                  <w:noWrap w:val="0"/>
                  <w:vAlign w:val="center"/>
                </w:tcPr>
                <w:p w14:paraId="111A9D0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6.5～8.5</w:t>
                  </w:r>
                </w:p>
              </w:tc>
            </w:tr>
            <w:tr w14:paraId="25A14A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7" w:type="pct"/>
                  <w:noWrap w:val="0"/>
                  <w:vAlign w:val="center"/>
                </w:tcPr>
                <w:p w14:paraId="4845A99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2078" w:type="pct"/>
                  <w:noWrap w:val="0"/>
                  <w:vAlign w:val="center"/>
                </w:tcPr>
                <w:p w14:paraId="25FBBC5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氨氮</w:t>
                  </w:r>
                </w:p>
              </w:tc>
              <w:tc>
                <w:tcPr>
                  <w:tcW w:w="2064" w:type="pct"/>
                  <w:noWrap w:val="0"/>
                  <w:vAlign w:val="center"/>
                </w:tcPr>
                <w:p w14:paraId="3D934AA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≤0.50</w:t>
                  </w:r>
                </w:p>
              </w:tc>
            </w:tr>
            <w:tr w14:paraId="2C6BB1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7" w:type="pct"/>
                  <w:noWrap w:val="0"/>
                  <w:vAlign w:val="center"/>
                </w:tcPr>
                <w:p w14:paraId="6158100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2078" w:type="pct"/>
                  <w:noWrap w:val="0"/>
                  <w:vAlign w:val="center"/>
                </w:tcPr>
                <w:p w14:paraId="5F9390B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高锰酸盐指数</w:t>
                  </w:r>
                </w:p>
              </w:tc>
              <w:tc>
                <w:tcPr>
                  <w:tcW w:w="2064" w:type="pct"/>
                  <w:noWrap w:val="0"/>
                  <w:vAlign w:val="center"/>
                </w:tcPr>
                <w:p w14:paraId="0BC323A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≤3.0</w:t>
                  </w:r>
                </w:p>
              </w:tc>
            </w:tr>
            <w:tr w14:paraId="667611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7" w:type="pct"/>
                  <w:noWrap w:val="0"/>
                  <w:vAlign w:val="center"/>
                </w:tcPr>
                <w:p w14:paraId="76C59CD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2078" w:type="pct"/>
                  <w:noWrap w:val="0"/>
                  <w:vAlign w:val="center"/>
                </w:tcPr>
                <w:p w14:paraId="7AE2BF4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硝酸盐</w:t>
                  </w:r>
                </w:p>
              </w:tc>
              <w:tc>
                <w:tcPr>
                  <w:tcW w:w="2064" w:type="pct"/>
                  <w:noWrap w:val="0"/>
                  <w:vAlign w:val="center"/>
                </w:tcPr>
                <w:p w14:paraId="66C9731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≤20.0</w:t>
                  </w:r>
                </w:p>
              </w:tc>
            </w:tr>
            <w:tr w14:paraId="3FD1FD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7" w:type="pct"/>
                  <w:noWrap w:val="0"/>
                  <w:vAlign w:val="center"/>
                </w:tcPr>
                <w:p w14:paraId="5B88446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2078" w:type="pct"/>
                  <w:noWrap w:val="0"/>
                  <w:vAlign w:val="center"/>
                </w:tcPr>
                <w:p w14:paraId="43D8FA0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亚硝酸盐</w:t>
                  </w:r>
                </w:p>
              </w:tc>
              <w:tc>
                <w:tcPr>
                  <w:tcW w:w="2064" w:type="pct"/>
                  <w:noWrap w:val="0"/>
                  <w:vAlign w:val="center"/>
                </w:tcPr>
                <w:p w14:paraId="44FA1D8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r>
            <w:tr w14:paraId="6CCB9F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7" w:type="pct"/>
                  <w:noWrap w:val="0"/>
                  <w:vAlign w:val="center"/>
                </w:tcPr>
                <w:p w14:paraId="79A8DAB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2078" w:type="pct"/>
                  <w:noWrap w:val="0"/>
                  <w:vAlign w:val="center"/>
                </w:tcPr>
                <w:p w14:paraId="4130470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挥发性酚类</w:t>
                  </w:r>
                </w:p>
              </w:tc>
              <w:tc>
                <w:tcPr>
                  <w:tcW w:w="2064" w:type="pct"/>
                  <w:noWrap w:val="0"/>
                  <w:vAlign w:val="center"/>
                </w:tcPr>
                <w:p w14:paraId="5446FCD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≤0.002</w:t>
                  </w:r>
                </w:p>
              </w:tc>
            </w:tr>
            <w:tr w14:paraId="22A4F5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7" w:type="pct"/>
                  <w:noWrap w:val="0"/>
                  <w:vAlign w:val="center"/>
                </w:tcPr>
                <w:p w14:paraId="7FFAB71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7</w:t>
                  </w:r>
                </w:p>
              </w:tc>
              <w:tc>
                <w:tcPr>
                  <w:tcW w:w="2078" w:type="pct"/>
                  <w:noWrap w:val="0"/>
                  <w:vAlign w:val="center"/>
                </w:tcPr>
                <w:p w14:paraId="7FD9A55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溶解性总固体</w:t>
                  </w:r>
                </w:p>
              </w:tc>
              <w:tc>
                <w:tcPr>
                  <w:tcW w:w="2064" w:type="pct"/>
                  <w:noWrap w:val="0"/>
                  <w:vAlign w:val="center"/>
                </w:tcPr>
                <w:p w14:paraId="35AF840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≤1000</w:t>
                  </w:r>
                </w:p>
              </w:tc>
            </w:tr>
            <w:tr w14:paraId="286BCE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7" w:type="pct"/>
                  <w:noWrap w:val="0"/>
                  <w:vAlign w:val="center"/>
                </w:tcPr>
                <w:p w14:paraId="1EFC5F6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8</w:t>
                  </w:r>
                </w:p>
              </w:tc>
              <w:tc>
                <w:tcPr>
                  <w:tcW w:w="2078" w:type="pct"/>
                  <w:noWrap w:val="0"/>
                  <w:vAlign w:val="center"/>
                </w:tcPr>
                <w:p w14:paraId="45A0A42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总硬度</w:t>
                  </w:r>
                </w:p>
              </w:tc>
              <w:tc>
                <w:tcPr>
                  <w:tcW w:w="2064" w:type="pct"/>
                  <w:noWrap w:val="0"/>
                  <w:vAlign w:val="center"/>
                </w:tcPr>
                <w:p w14:paraId="6EE3FC9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≤450</w:t>
                  </w:r>
                </w:p>
              </w:tc>
            </w:tr>
            <w:tr w14:paraId="4946AC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7" w:type="pct"/>
                  <w:noWrap w:val="0"/>
                  <w:vAlign w:val="center"/>
                </w:tcPr>
                <w:p w14:paraId="2DE11CD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9</w:t>
                  </w:r>
                </w:p>
              </w:tc>
              <w:tc>
                <w:tcPr>
                  <w:tcW w:w="2078" w:type="pct"/>
                  <w:noWrap w:val="0"/>
                  <w:vAlign w:val="center"/>
                </w:tcPr>
                <w:p w14:paraId="56B7A2C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硫酸盐</w:t>
                  </w:r>
                </w:p>
              </w:tc>
              <w:tc>
                <w:tcPr>
                  <w:tcW w:w="2064" w:type="pct"/>
                  <w:noWrap w:val="0"/>
                  <w:vAlign w:val="center"/>
                </w:tcPr>
                <w:p w14:paraId="53237C2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≤250</w:t>
                  </w:r>
                </w:p>
              </w:tc>
            </w:tr>
            <w:tr w14:paraId="0A3A45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7" w:type="pct"/>
                  <w:noWrap w:val="0"/>
                  <w:vAlign w:val="center"/>
                </w:tcPr>
                <w:p w14:paraId="6977E55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2078" w:type="pct"/>
                  <w:noWrap w:val="0"/>
                  <w:vAlign w:val="center"/>
                </w:tcPr>
                <w:p w14:paraId="5757714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氯化物</w:t>
                  </w:r>
                </w:p>
              </w:tc>
              <w:tc>
                <w:tcPr>
                  <w:tcW w:w="2064" w:type="pct"/>
                  <w:noWrap w:val="0"/>
                  <w:vAlign w:val="center"/>
                </w:tcPr>
                <w:p w14:paraId="19BBD39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≤250</w:t>
                  </w:r>
                </w:p>
              </w:tc>
            </w:tr>
            <w:tr w14:paraId="5EA8FC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7" w:type="pct"/>
                  <w:noWrap w:val="0"/>
                  <w:vAlign w:val="center"/>
                </w:tcPr>
                <w:p w14:paraId="0826708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11</w:t>
                  </w:r>
                </w:p>
              </w:tc>
              <w:tc>
                <w:tcPr>
                  <w:tcW w:w="2078" w:type="pct"/>
                  <w:noWrap w:val="0"/>
                  <w:vAlign w:val="center"/>
                </w:tcPr>
                <w:p w14:paraId="131FC8E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总大肠菌群（个/L）</w:t>
                  </w:r>
                </w:p>
              </w:tc>
              <w:tc>
                <w:tcPr>
                  <w:tcW w:w="2064" w:type="pct"/>
                  <w:noWrap w:val="0"/>
                  <w:vAlign w:val="center"/>
                </w:tcPr>
                <w:p w14:paraId="097DC27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≤3.0</w:t>
                  </w:r>
                </w:p>
              </w:tc>
            </w:tr>
            <w:tr w14:paraId="7528B96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7" w:type="pct"/>
                  <w:noWrap w:val="0"/>
                  <w:vAlign w:val="center"/>
                </w:tcPr>
                <w:p w14:paraId="1B22D7B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12</w:t>
                  </w:r>
                </w:p>
              </w:tc>
              <w:tc>
                <w:tcPr>
                  <w:tcW w:w="2078" w:type="pct"/>
                  <w:noWrap w:val="0"/>
                  <w:vAlign w:val="center"/>
                </w:tcPr>
                <w:p w14:paraId="01E46E0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汞</w:t>
                  </w:r>
                </w:p>
              </w:tc>
              <w:tc>
                <w:tcPr>
                  <w:tcW w:w="2064" w:type="pct"/>
                  <w:noWrap w:val="0"/>
                  <w:vAlign w:val="center"/>
                </w:tcPr>
                <w:p w14:paraId="5A95A10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≤0.001</w:t>
                  </w:r>
                </w:p>
              </w:tc>
            </w:tr>
            <w:tr w14:paraId="654757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7" w:type="pct"/>
                  <w:noWrap w:val="0"/>
                  <w:vAlign w:val="center"/>
                </w:tcPr>
                <w:p w14:paraId="0105A8D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13</w:t>
                  </w:r>
                </w:p>
              </w:tc>
              <w:tc>
                <w:tcPr>
                  <w:tcW w:w="2078" w:type="pct"/>
                  <w:noWrap w:val="0"/>
                  <w:vAlign w:val="center"/>
                </w:tcPr>
                <w:p w14:paraId="1A10674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镉</w:t>
                  </w:r>
                </w:p>
              </w:tc>
              <w:tc>
                <w:tcPr>
                  <w:tcW w:w="2064" w:type="pct"/>
                  <w:noWrap w:val="0"/>
                  <w:vAlign w:val="center"/>
                </w:tcPr>
                <w:p w14:paraId="2775945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≤0.005</w:t>
                  </w:r>
                </w:p>
              </w:tc>
            </w:tr>
            <w:tr w14:paraId="57683E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7" w:type="pct"/>
                  <w:noWrap w:val="0"/>
                  <w:vAlign w:val="center"/>
                </w:tcPr>
                <w:p w14:paraId="726F27F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14</w:t>
                  </w:r>
                </w:p>
              </w:tc>
              <w:tc>
                <w:tcPr>
                  <w:tcW w:w="2078" w:type="pct"/>
                  <w:noWrap w:val="0"/>
                  <w:vAlign w:val="center"/>
                </w:tcPr>
                <w:p w14:paraId="10FDE4E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六价铬</w:t>
                  </w:r>
                </w:p>
              </w:tc>
              <w:tc>
                <w:tcPr>
                  <w:tcW w:w="2064" w:type="pct"/>
                  <w:noWrap w:val="0"/>
                  <w:vAlign w:val="center"/>
                </w:tcPr>
                <w:p w14:paraId="799C4C0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≤0.05</w:t>
                  </w:r>
                </w:p>
              </w:tc>
            </w:tr>
            <w:tr w14:paraId="4BD6E5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7" w:type="pct"/>
                  <w:noWrap w:val="0"/>
                  <w:vAlign w:val="center"/>
                </w:tcPr>
                <w:p w14:paraId="1FFEAAD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15</w:t>
                  </w:r>
                </w:p>
              </w:tc>
              <w:tc>
                <w:tcPr>
                  <w:tcW w:w="2078" w:type="pct"/>
                  <w:noWrap w:val="0"/>
                  <w:vAlign w:val="center"/>
                </w:tcPr>
                <w:p w14:paraId="2A492AB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砷</w:t>
                  </w:r>
                </w:p>
              </w:tc>
              <w:tc>
                <w:tcPr>
                  <w:tcW w:w="2064" w:type="pct"/>
                  <w:noWrap w:val="0"/>
                  <w:vAlign w:val="center"/>
                </w:tcPr>
                <w:p w14:paraId="64F63F5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≤0.01</w:t>
                  </w:r>
                </w:p>
              </w:tc>
            </w:tr>
            <w:tr w14:paraId="7C1C75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7" w:type="pct"/>
                  <w:noWrap w:val="0"/>
                  <w:vAlign w:val="center"/>
                </w:tcPr>
                <w:p w14:paraId="719C4B7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16</w:t>
                  </w:r>
                </w:p>
              </w:tc>
              <w:tc>
                <w:tcPr>
                  <w:tcW w:w="2078" w:type="pct"/>
                  <w:noWrap w:val="0"/>
                  <w:vAlign w:val="center"/>
                </w:tcPr>
                <w:p w14:paraId="6A819E5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铅</w:t>
                  </w:r>
                </w:p>
              </w:tc>
              <w:tc>
                <w:tcPr>
                  <w:tcW w:w="2064" w:type="pct"/>
                  <w:noWrap w:val="0"/>
                  <w:vAlign w:val="center"/>
                </w:tcPr>
                <w:p w14:paraId="7EE2712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≤0.01</w:t>
                  </w:r>
                </w:p>
              </w:tc>
            </w:tr>
            <w:tr w14:paraId="631038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7" w:type="pct"/>
                  <w:noWrap w:val="0"/>
                  <w:vAlign w:val="center"/>
                </w:tcPr>
                <w:p w14:paraId="088248B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17</w:t>
                  </w:r>
                </w:p>
              </w:tc>
              <w:tc>
                <w:tcPr>
                  <w:tcW w:w="2078" w:type="pct"/>
                  <w:noWrap w:val="0"/>
                  <w:vAlign w:val="center"/>
                </w:tcPr>
                <w:p w14:paraId="1EB859A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氟化物</w:t>
                  </w:r>
                </w:p>
              </w:tc>
              <w:tc>
                <w:tcPr>
                  <w:tcW w:w="2064" w:type="pct"/>
                  <w:noWrap w:val="0"/>
                  <w:vAlign w:val="center"/>
                </w:tcPr>
                <w:p w14:paraId="7055BE5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r>
            <w:tr w14:paraId="4455E3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7" w:type="pct"/>
                  <w:noWrap w:val="0"/>
                  <w:vAlign w:val="center"/>
                </w:tcPr>
                <w:p w14:paraId="73FE5DB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18</w:t>
                  </w:r>
                </w:p>
              </w:tc>
              <w:tc>
                <w:tcPr>
                  <w:tcW w:w="2078" w:type="pct"/>
                  <w:noWrap w:val="0"/>
                  <w:vAlign w:val="center"/>
                </w:tcPr>
                <w:p w14:paraId="3A01E61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氰化物</w:t>
                  </w:r>
                </w:p>
              </w:tc>
              <w:tc>
                <w:tcPr>
                  <w:tcW w:w="2064" w:type="pct"/>
                  <w:noWrap w:val="0"/>
                  <w:vAlign w:val="center"/>
                </w:tcPr>
                <w:p w14:paraId="45814EA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≤0.05</w:t>
                  </w:r>
                </w:p>
              </w:tc>
            </w:tr>
            <w:tr w14:paraId="329DAA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7" w:type="pct"/>
                  <w:noWrap w:val="0"/>
                  <w:vAlign w:val="center"/>
                </w:tcPr>
                <w:p w14:paraId="141300C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19</w:t>
                  </w:r>
                </w:p>
              </w:tc>
              <w:tc>
                <w:tcPr>
                  <w:tcW w:w="2078" w:type="pct"/>
                  <w:noWrap w:val="0"/>
                  <w:vAlign w:val="center"/>
                </w:tcPr>
                <w:p w14:paraId="2347BCD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铁</w:t>
                  </w:r>
                </w:p>
              </w:tc>
              <w:tc>
                <w:tcPr>
                  <w:tcW w:w="2064" w:type="pct"/>
                  <w:noWrap w:val="0"/>
                  <w:vAlign w:val="center"/>
                </w:tcPr>
                <w:p w14:paraId="5D4075F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≤0.3</w:t>
                  </w:r>
                </w:p>
              </w:tc>
            </w:tr>
            <w:tr w14:paraId="0B2F18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 w:hRule="atLeast"/>
                <w:jc w:val="center"/>
              </w:trPr>
              <w:tc>
                <w:tcPr>
                  <w:tcW w:w="857" w:type="pct"/>
                  <w:noWrap w:val="0"/>
                  <w:vAlign w:val="center"/>
                </w:tcPr>
                <w:p w14:paraId="2789CDC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20</w:t>
                  </w:r>
                </w:p>
              </w:tc>
              <w:tc>
                <w:tcPr>
                  <w:tcW w:w="2078" w:type="pct"/>
                  <w:noWrap w:val="0"/>
                  <w:vAlign w:val="center"/>
                </w:tcPr>
                <w:p w14:paraId="65F2EB0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锰</w:t>
                  </w:r>
                </w:p>
              </w:tc>
              <w:tc>
                <w:tcPr>
                  <w:tcW w:w="2064" w:type="pct"/>
                  <w:noWrap w:val="0"/>
                  <w:vAlign w:val="center"/>
                </w:tcPr>
                <w:p w14:paraId="790C3D9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≤0.1</w:t>
                  </w:r>
                </w:p>
              </w:tc>
            </w:tr>
            <w:tr w14:paraId="0A4666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7" w:type="pct"/>
                  <w:noWrap w:val="0"/>
                  <w:vAlign w:val="center"/>
                </w:tcPr>
                <w:p w14:paraId="67F91E4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21</w:t>
                  </w:r>
                </w:p>
              </w:tc>
              <w:tc>
                <w:tcPr>
                  <w:tcW w:w="2078" w:type="pct"/>
                  <w:noWrap w:val="0"/>
                  <w:vAlign w:val="center"/>
                </w:tcPr>
                <w:p w14:paraId="6BEBCA2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细菌总数（个/mL）</w:t>
                  </w:r>
                </w:p>
              </w:tc>
              <w:tc>
                <w:tcPr>
                  <w:tcW w:w="2064" w:type="pct"/>
                  <w:noWrap w:val="0"/>
                  <w:vAlign w:val="center"/>
                </w:tcPr>
                <w:p w14:paraId="3B8B802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≤100</w:t>
                  </w:r>
                </w:p>
              </w:tc>
            </w:tr>
            <w:tr w14:paraId="1C2F89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7" w:type="pct"/>
                  <w:noWrap w:val="0"/>
                  <w:vAlign w:val="center"/>
                </w:tcPr>
                <w:p w14:paraId="6F6F2DC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22</w:t>
                  </w:r>
                </w:p>
              </w:tc>
              <w:tc>
                <w:tcPr>
                  <w:tcW w:w="2078" w:type="pct"/>
                  <w:noWrap w:val="0"/>
                  <w:vAlign w:val="center"/>
                </w:tcPr>
                <w:p w14:paraId="4153C52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耗氧量</w:t>
                  </w:r>
                </w:p>
              </w:tc>
              <w:tc>
                <w:tcPr>
                  <w:tcW w:w="2064" w:type="pct"/>
                  <w:noWrap w:val="0"/>
                  <w:vAlign w:val="center"/>
                </w:tcPr>
                <w:p w14:paraId="2E1168E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≤3.0</w:t>
                  </w:r>
                </w:p>
              </w:tc>
            </w:tr>
            <w:tr w14:paraId="22556A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7" w:type="pct"/>
                  <w:noWrap w:val="0"/>
                  <w:vAlign w:val="center"/>
                </w:tcPr>
                <w:p w14:paraId="5D13C58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23</w:t>
                  </w:r>
                </w:p>
              </w:tc>
              <w:tc>
                <w:tcPr>
                  <w:tcW w:w="2078" w:type="pct"/>
                  <w:noWrap w:val="0"/>
                  <w:vAlign w:val="center"/>
                </w:tcPr>
                <w:p w14:paraId="1CD40A3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锌</w:t>
                  </w:r>
                </w:p>
              </w:tc>
              <w:tc>
                <w:tcPr>
                  <w:tcW w:w="2064" w:type="pct"/>
                  <w:noWrap w:val="0"/>
                  <w:vAlign w:val="center"/>
                </w:tcPr>
                <w:p w14:paraId="2E43689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r>
            <w:tr w14:paraId="3EC82A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57" w:type="pct"/>
                  <w:noWrap w:val="0"/>
                  <w:vAlign w:val="center"/>
                </w:tcPr>
                <w:p w14:paraId="7630712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24</w:t>
                  </w:r>
                </w:p>
              </w:tc>
              <w:tc>
                <w:tcPr>
                  <w:tcW w:w="2078" w:type="pct"/>
                  <w:noWrap w:val="0"/>
                  <w:vAlign w:val="center"/>
                </w:tcPr>
                <w:p w14:paraId="6AF752B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镍</w:t>
                  </w:r>
                </w:p>
              </w:tc>
              <w:tc>
                <w:tcPr>
                  <w:tcW w:w="2064" w:type="pct"/>
                  <w:noWrap w:val="0"/>
                  <w:vAlign w:val="center"/>
                </w:tcPr>
                <w:p w14:paraId="170BF3B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≤0.02</w:t>
                  </w:r>
                </w:p>
              </w:tc>
            </w:tr>
          </w:tbl>
          <w:p w14:paraId="145E44C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
                <w:color w:val="auto"/>
                <w:kern w:val="0"/>
                <w:sz w:val="24"/>
                <w:szCs w:val="24"/>
                <w:highlight w:val="none"/>
              </w:rPr>
            </w:pPr>
            <w:r>
              <w:rPr>
                <w:rFonts w:hint="eastAsia" w:ascii="Times New Roman" w:hAnsi="Times New Roman" w:eastAsia="宋体" w:cs="Times New Roman"/>
                <w:b w:val="0"/>
                <w:bCs/>
                <w:color w:val="auto"/>
                <w:kern w:val="0"/>
                <w:sz w:val="24"/>
                <w:szCs w:val="24"/>
                <w:highlight w:val="none"/>
                <w:lang w:eastAsia="zh-CN"/>
              </w:rPr>
              <w:t>（</w:t>
            </w:r>
            <w:r>
              <w:rPr>
                <w:rFonts w:hint="eastAsia" w:ascii="Times New Roman" w:hAnsi="Times New Roman" w:eastAsia="宋体" w:cs="Times New Roman"/>
                <w:b w:val="0"/>
                <w:bCs/>
                <w:color w:val="auto"/>
                <w:kern w:val="0"/>
                <w:sz w:val="24"/>
                <w:szCs w:val="24"/>
                <w:highlight w:val="none"/>
                <w:lang w:val="en-US" w:eastAsia="zh-CN"/>
              </w:rPr>
              <w:t>4</w:t>
            </w:r>
            <w:r>
              <w:rPr>
                <w:rFonts w:hint="eastAsia"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声环境执行《声环境质量标准》(GB3096-2008)表1中</w:t>
            </w:r>
            <w:r>
              <w:rPr>
                <w:rFonts w:hint="eastAsia" w:ascii="Times New Roman" w:hAnsi="Times New Roman" w:eastAsia="宋体" w:cs="Times New Roman"/>
                <w:b w:val="0"/>
                <w:bCs/>
                <w:color w:val="auto"/>
                <w:kern w:val="0"/>
                <w:sz w:val="24"/>
                <w:szCs w:val="24"/>
                <w:highlight w:val="none"/>
                <w:lang w:val="en-US" w:eastAsia="zh-CN"/>
              </w:rPr>
              <w:t>1</w:t>
            </w:r>
            <w:r>
              <w:rPr>
                <w:rFonts w:hint="default" w:ascii="Times New Roman" w:hAnsi="Times New Roman" w:eastAsia="宋体" w:cs="Times New Roman"/>
                <w:b w:val="0"/>
                <w:bCs/>
                <w:color w:val="auto"/>
                <w:kern w:val="0"/>
                <w:sz w:val="24"/>
                <w:szCs w:val="24"/>
                <w:highlight w:val="none"/>
              </w:rPr>
              <w:t>类功能区标准。</w:t>
            </w:r>
          </w:p>
          <w:p w14:paraId="032348FF">
            <w:pPr>
              <w:ind w:firstLine="422" w:firstLineChars="20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w:t>
            </w:r>
            <w:r>
              <w:rPr>
                <w:rFonts w:hint="eastAsia" w:ascii="Times New Roman" w:hAnsi="Times New Roman" w:eastAsia="宋体" w:cs="Times New Roman"/>
                <w:b/>
                <w:color w:val="auto"/>
                <w:szCs w:val="21"/>
                <w:lang w:val="en-US" w:eastAsia="zh-CN"/>
              </w:rPr>
              <w:t>3-10</w:t>
            </w:r>
            <w:r>
              <w:rPr>
                <w:rFonts w:hint="default" w:ascii="Times New Roman" w:hAnsi="Times New Roman" w:eastAsia="宋体" w:cs="Times New Roman"/>
                <w:b/>
                <w:color w:val="auto"/>
                <w:szCs w:val="21"/>
              </w:rPr>
              <w:t>声环境质量标准单位：dB(A)</w:t>
            </w:r>
          </w:p>
          <w:tbl>
            <w:tblPr>
              <w:tblStyle w:val="24"/>
              <w:tblW w:w="4999" w:type="pct"/>
              <w:jc w:val="center"/>
              <w:tblBorders>
                <w:top w:val="single" w:color="auto" w:sz="4" w:space="0"/>
                <w:left w:val="single" w:color="auto" w:sz="6"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767"/>
              <w:gridCol w:w="3059"/>
              <w:gridCol w:w="2775"/>
            </w:tblGrid>
            <w:tr w14:paraId="35CEC6A2">
              <w:tblPrEx>
                <w:tblBorders>
                  <w:top w:val="single" w:color="auto" w:sz="4" w:space="0"/>
                  <w:left w:val="single" w:color="auto" w:sz="6"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0" w:hRule="atLeast"/>
                <w:jc w:val="center"/>
              </w:trPr>
              <w:tc>
                <w:tcPr>
                  <w:tcW w:w="1608" w:type="pct"/>
                  <w:vMerge w:val="restart"/>
                  <w:noWrap w:val="0"/>
                  <w:vAlign w:val="center"/>
                </w:tcPr>
                <w:p w14:paraId="16E4D8B9">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类别</w:t>
                  </w:r>
                </w:p>
              </w:tc>
              <w:tc>
                <w:tcPr>
                  <w:tcW w:w="3391" w:type="pct"/>
                  <w:gridSpan w:val="2"/>
                  <w:noWrap w:val="0"/>
                  <w:vAlign w:val="center"/>
                </w:tcPr>
                <w:p w14:paraId="080C1747">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等效声级</w:t>
                  </w:r>
                </w:p>
              </w:tc>
            </w:tr>
            <w:tr w14:paraId="15FD79AD">
              <w:tblPrEx>
                <w:tblBorders>
                  <w:top w:val="single" w:color="auto" w:sz="4" w:space="0"/>
                  <w:left w:val="single" w:color="auto" w:sz="6"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2" w:hRule="atLeast"/>
                <w:jc w:val="center"/>
              </w:trPr>
              <w:tc>
                <w:tcPr>
                  <w:tcW w:w="1608" w:type="pct"/>
                  <w:vMerge w:val="continue"/>
                  <w:noWrap w:val="0"/>
                  <w:vAlign w:val="center"/>
                </w:tcPr>
                <w:p w14:paraId="10883A7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778" w:type="pct"/>
                  <w:noWrap w:val="0"/>
                  <w:vAlign w:val="center"/>
                </w:tcPr>
                <w:p w14:paraId="23F3BA22">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昼间</w:t>
                  </w:r>
                </w:p>
              </w:tc>
              <w:tc>
                <w:tcPr>
                  <w:tcW w:w="1612" w:type="pct"/>
                  <w:noWrap w:val="0"/>
                  <w:vAlign w:val="center"/>
                </w:tcPr>
                <w:p w14:paraId="379ACE95">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夜间</w:t>
                  </w:r>
                </w:p>
              </w:tc>
            </w:tr>
            <w:tr w14:paraId="4BA80A4A">
              <w:tblPrEx>
                <w:tblBorders>
                  <w:top w:val="single" w:color="auto" w:sz="4" w:space="0"/>
                  <w:left w:val="single" w:color="auto" w:sz="6"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1608" w:type="pct"/>
                  <w:noWrap w:val="0"/>
                  <w:vAlign w:val="center"/>
                </w:tcPr>
                <w:p w14:paraId="6F4E7CDC">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类</w:t>
                  </w:r>
                </w:p>
              </w:tc>
              <w:tc>
                <w:tcPr>
                  <w:tcW w:w="1778" w:type="pct"/>
                  <w:noWrap w:val="0"/>
                  <w:vAlign w:val="center"/>
                </w:tcPr>
                <w:p w14:paraId="5401F55D">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55</w:t>
                  </w:r>
                </w:p>
              </w:tc>
              <w:tc>
                <w:tcPr>
                  <w:tcW w:w="1612" w:type="pct"/>
                  <w:noWrap w:val="0"/>
                  <w:vAlign w:val="center"/>
                </w:tcPr>
                <w:p w14:paraId="18EDB5AC">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45</w:t>
                  </w:r>
                </w:p>
              </w:tc>
            </w:tr>
          </w:tbl>
          <w:p w14:paraId="14773CD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color w:val="auto"/>
                <w:kern w:val="0"/>
                <w:sz w:val="24"/>
                <w:szCs w:val="24"/>
                <w:highlight w:val="none"/>
              </w:rPr>
            </w:pPr>
            <w:r>
              <w:rPr>
                <w:rFonts w:ascii="Times New Roman" w:hAnsi="Times New Roman" w:eastAsia="宋体" w:cs="Times New Roman"/>
                <w:b/>
                <w:color w:val="auto"/>
                <w:kern w:val="0"/>
                <w:sz w:val="24"/>
                <w:szCs w:val="24"/>
                <w:highlight w:val="none"/>
              </w:rPr>
              <w:t>2、污染物排放标准</w:t>
            </w:r>
          </w:p>
          <w:p w14:paraId="5BE9450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1</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光伏板清洗废水自然蒸发</w:t>
            </w:r>
            <w:r>
              <w:rPr>
                <w:rFonts w:hint="default" w:ascii="Times New Roman" w:hAnsi="Times New Roman" w:eastAsia="宋体" w:cs="Times New Roman"/>
                <w:color w:val="auto"/>
                <w:kern w:val="0"/>
                <w:sz w:val="24"/>
                <w:szCs w:val="24"/>
                <w:highlight w:val="none"/>
              </w:rPr>
              <w:t>。</w:t>
            </w:r>
          </w:p>
          <w:p w14:paraId="385C554E">
            <w:pPr>
              <w:spacing w:line="360" w:lineRule="auto"/>
              <w:ind w:firstLine="480" w:firstLineChars="20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2</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项目施工阶段</w:t>
            </w:r>
            <w:r>
              <w:rPr>
                <w:rFonts w:hint="default" w:ascii="Times New Roman" w:hAnsi="Times New Roman" w:cs="Times New Roman"/>
                <w:color w:val="auto"/>
                <w:sz w:val="24"/>
                <w:szCs w:val="24"/>
                <w:highlight w:val="none"/>
              </w:rPr>
              <w:t>废气排放执行《大气污染物综合排放标准》（GB16297-1996）中表2无组织排放监控浓度限值，标准值详见表3-</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p>
          <w:p w14:paraId="612242EC">
            <w:pPr>
              <w:tabs>
                <w:tab w:val="left" w:pos="840"/>
              </w:tabs>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表3-1</w:t>
            </w:r>
            <w:r>
              <w:rPr>
                <w:rFonts w:hint="eastAsia" w:ascii="Times New Roman" w:hAnsi="Times New Roman" w:eastAsia="宋体" w:cs="Times New Roman"/>
                <w:b/>
                <w:bCs/>
                <w:color w:val="auto"/>
                <w:highlight w:val="none"/>
                <w:lang w:val="en-US" w:eastAsia="zh-CN"/>
              </w:rPr>
              <w:t>1</w:t>
            </w:r>
            <w:r>
              <w:rPr>
                <w:rFonts w:hint="default" w:ascii="Times New Roman" w:hAnsi="Times New Roman" w:eastAsia="宋体" w:cs="Times New Roman"/>
                <w:b/>
                <w:bCs/>
                <w:color w:val="auto"/>
                <w:highlight w:val="none"/>
                <w:lang w:val="en-US" w:eastAsia="zh-CN"/>
              </w:rPr>
              <w:t>大气污染物排放浓度限值（摘录）单位：mg/m</w:t>
            </w:r>
            <w:r>
              <w:rPr>
                <w:rFonts w:hint="default" w:ascii="Times New Roman" w:hAnsi="Times New Roman" w:eastAsia="宋体" w:cs="Times New Roman"/>
                <w:b/>
                <w:bCs/>
                <w:color w:val="auto"/>
                <w:highlight w:val="none"/>
                <w:vertAlign w:val="superscript"/>
                <w:lang w:val="en-US" w:eastAsia="zh-CN"/>
              </w:rPr>
              <w:t>3</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3676"/>
              <w:gridCol w:w="3542"/>
            </w:tblGrid>
            <w:tr w14:paraId="38F97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05" w:type="pct"/>
                  <w:noWrap w:val="0"/>
                  <w:vAlign w:val="center"/>
                </w:tcPr>
                <w:p w14:paraId="65D1E902">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污染物</w:t>
                  </w:r>
                </w:p>
              </w:tc>
              <w:tc>
                <w:tcPr>
                  <w:tcW w:w="2136" w:type="pct"/>
                  <w:noWrap w:val="0"/>
                  <w:vAlign w:val="center"/>
                </w:tcPr>
                <w:p w14:paraId="0B696C9B">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无组织排放监控浓度限值</w:t>
                  </w:r>
                </w:p>
              </w:tc>
              <w:tc>
                <w:tcPr>
                  <w:tcW w:w="2058" w:type="pct"/>
                  <w:noWrap w:val="0"/>
                  <w:vAlign w:val="center"/>
                </w:tcPr>
                <w:p w14:paraId="19E7B737">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监控点</w:t>
                  </w:r>
                </w:p>
              </w:tc>
            </w:tr>
            <w:tr w14:paraId="7AF4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05" w:type="pct"/>
                  <w:noWrap w:val="0"/>
                  <w:vAlign w:val="center"/>
                </w:tcPr>
                <w:p w14:paraId="4E506DA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w:t>
                  </w:r>
                </w:p>
              </w:tc>
              <w:tc>
                <w:tcPr>
                  <w:tcW w:w="2136" w:type="pct"/>
                  <w:noWrap w:val="0"/>
                  <w:vAlign w:val="center"/>
                </w:tcPr>
                <w:p w14:paraId="63F8940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2058" w:type="pct"/>
                  <w:noWrap w:val="0"/>
                  <w:vAlign w:val="center"/>
                </w:tcPr>
                <w:p w14:paraId="567EA18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周界外浓度最高点</w:t>
                  </w:r>
                </w:p>
              </w:tc>
            </w:tr>
          </w:tbl>
          <w:p w14:paraId="4F3D9791">
            <w:pPr>
              <w:spacing w:line="360" w:lineRule="auto"/>
              <w:ind w:firstLine="480" w:firstLineChars="200"/>
              <w:rPr>
                <w:rFonts w:hint="default" w:ascii="Times New Roman" w:hAnsi="Times New Roman" w:cs="Times New Roman"/>
                <w:b/>
                <w:color w:val="auto"/>
                <w:szCs w:val="21"/>
                <w:highlight w:val="none"/>
              </w:rPr>
            </w:pP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3</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项目施工阶段噪声排放执行《建筑施工场界环境噪声排放标准》（GB12523-2011）中限值要求，营运阶段</w:t>
            </w:r>
            <w:r>
              <w:rPr>
                <w:rFonts w:hint="default" w:ascii="Times New Roman" w:hAnsi="Times New Roman" w:eastAsia="宋体" w:cs="Times New Roman"/>
                <w:color w:val="auto"/>
                <w:kern w:val="0"/>
                <w:sz w:val="24"/>
                <w:szCs w:val="24"/>
                <w:highlight w:val="none"/>
                <w:lang w:eastAsia="zh-CN"/>
              </w:rPr>
              <w:t>光伏区厂界</w:t>
            </w:r>
            <w:r>
              <w:rPr>
                <w:rFonts w:hint="default" w:ascii="Times New Roman" w:hAnsi="Times New Roman" w:eastAsia="宋体" w:cs="Times New Roman"/>
                <w:color w:val="auto"/>
                <w:kern w:val="0"/>
                <w:sz w:val="24"/>
                <w:szCs w:val="24"/>
                <w:highlight w:val="none"/>
              </w:rPr>
              <w:t>噪声排放执行《工业企业厂界环境噪声排放标准》（GB12348-2008）中</w:t>
            </w:r>
            <w:r>
              <w:rPr>
                <w:rFonts w:hint="default" w:ascii="Times New Roman" w:hAnsi="Times New Roman" w:eastAsia="宋体" w:cs="Times New Roman"/>
                <w:color w:val="auto"/>
                <w:kern w:val="0"/>
                <w:sz w:val="24"/>
                <w:szCs w:val="24"/>
                <w:highlight w:val="none"/>
                <w:lang w:val="en-US" w:eastAsia="zh-CN"/>
              </w:rPr>
              <w:t>1类区</w:t>
            </w:r>
            <w:r>
              <w:rPr>
                <w:rFonts w:hint="default" w:ascii="Times New Roman" w:hAnsi="Times New Roman" w:eastAsia="宋体" w:cs="Times New Roman"/>
                <w:color w:val="auto"/>
                <w:kern w:val="0"/>
                <w:sz w:val="24"/>
                <w:szCs w:val="24"/>
                <w:highlight w:val="none"/>
              </w:rPr>
              <w:t>限值要求，标准值详见表3-</w:t>
            </w:r>
            <w:r>
              <w:rPr>
                <w:rFonts w:hint="default" w:ascii="Times New Roman" w:hAnsi="Times New Roman" w:eastAsia="宋体" w:cs="Times New Roman"/>
                <w:color w:val="auto"/>
                <w:kern w:val="0"/>
                <w:sz w:val="24"/>
                <w:szCs w:val="24"/>
                <w:highlight w:val="none"/>
                <w:lang w:val="en-US" w:eastAsia="zh-CN"/>
              </w:rPr>
              <w:t>1</w:t>
            </w:r>
            <w:r>
              <w:rPr>
                <w:rFonts w:hint="eastAsia" w:ascii="Times New Roman" w:hAnsi="Times New Roman" w:eastAsia="宋体"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rPr>
              <w:t>、表3-</w:t>
            </w:r>
            <w:r>
              <w:rPr>
                <w:rFonts w:hint="eastAsia" w:ascii="Times New Roman" w:hAnsi="Times New Roman" w:eastAsia="宋体" w:cs="Times New Roman"/>
                <w:color w:val="auto"/>
                <w:kern w:val="0"/>
                <w:sz w:val="24"/>
                <w:szCs w:val="24"/>
                <w:highlight w:val="none"/>
                <w:lang w:val="en-US" w:eastAsia="zh-CN"/>
              </w:rPr>
              <w:t>13</w:t>
            </w:r>
            <w:r>
              <w:rPr>
                <w:rFonts w:hint="default" w:ascii="Times New Roman" w:hAnsi="Times New Roman" w:eastAsia="宋体" w:cs="Times New Roman"/>
                <w:color w:val="auto"/>
                <w:kern w:val="0"/>
                <w:sz w:val="24"/>
                <w:szCs w:val="24"/>
                <w:highlight w:val="none"/>
              </w:rPr>
              <w:t>。</w:t>
            </w:r>
          </w:p>
          <w:p w14:paraId="12137F34">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表3-</w:t>
            </w:r>
            <w:r>
              <w:rPr>
                <w:rFonts w:hint="default" w:ascii="Times New Roman" w:hAnsi="Times New Roman" w:cs="Times New Roman"/>
                <w:b/>
                <w:color w:val="auto"/>
                <w:szCs w:val="21"/>
                <w:highlight w:val="none"/>
                <w:lang w:val="en-US" w:eastAsia="zh-CN"/>
              </w:rPr>
              <w:t>1</w:t>
            </w:r>
            <w:r>
              <w:rPr>
                <w:rFonts w:hint="eastAsia" w:ascii="Times New Roman" w:hAnsi="Times New Roman" w:cs="Times New Roman"/>
                <w:b/>
                <w:color w:val="auto"/>
                <w:szCs w:val="21"/>
                <w:highlight w:val="none"/>
                <w:lang w:val="en-US" w:eastAsia="zh-CN"/>
              </w:rPr>
              <w:t>2</w:t>
            </w:r>
            <w:r>
              <w:rPr>
                <w:rFonts w:hint="default" w:ascii="Times New Roman" w:hAnsi="Times New Roman" w:cs="Times New Roman"/>
                <w:b/>
                <w:color w:val="auto"/>
                <w:szCs w:val="21"/>
                <w:highlight w:val="none"/>
              </w:rPr>
              <w:t>建筑施工场界噪声限值单位：</w:t>
            </w:r>
            <w:r>
              <w:rPr>
                <w:rFonts w:hint="default" w:ascii="Times New Roman" w:hAnsi="Times New Roman" w:cs="Times New Roman"/>
                <w:b/>
                <w:bCs/>
                <w:color w:val="auto"/>
                <w:szCs w:val="21"/>
                <w:highlight w:val="none"/>
              </w:rPr>
              <w:t>dB(A)</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98"/>
              <w:gridCol w:w="4506"/>
            </w:tblGrid>
            <w:tr w14:paraId="3BC7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381" w:type="pct"/>
                  <w:noWrap w:val="0"/>
                  <w:vAlign w:val="center"/>
                </w:tcPr>
                <w:p w14:paraId="238359AF">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昼间</w:t>
                  </w:r>
                </w:p>
              </w:tc>
              <w:tc>
                <w:tcPr>
                  <w:tcW w:w="2618" w:type="pct"/>
                  <w:noWrap w:val="0"/>
                  <w:vAlign w:val="center"/>
                </w:tcPr>
                <w:p w14:paraId="2FD7BB2F">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夜间</w:t>
                  </w:r>
                </w:p>
              </w:tc>
            </w:tr>
            <w:tr w14:paraId="2A11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2381" w:type="pct"/>
                  <w:noWrap w:val="0"/>
                  <w:vAlign w:val="center"/>
                </w:tcPr>
                <w:p w14:paraId="3EBE7C38">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70</w:t>
                  </w:r>
                </w:p>
              </w:tc>
              <w:tc>
                <w:tcPr>
                  <w:tcW w:w="2618" w:type="pct"/>
                  <w:noWrap w:val="0"/>
                  <w:vAlign w:val="center"/>
                </w:tcPr>
                <w:p w14:paraId="14B5058D">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55</w:t>
                  </w:r>
                </w:p>
              </w:tc>
            </w:tr>
          </w:tbl>
          <w:p w14:paraId="7D8ECF54">
            <w:pPr>
              <w:adjustRightInd w:val="0"/>
              <w:snapToGrid w:val="0"/>
              <w:spacing w:before="120" w:beforeLine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表3-</w:t>
            </w:r>
            <w:r>
              <w:rPr>
                <w:rFonts w:hint="default" w:ascii="Times New Roman" w:hAnsi="Times New Roman" w:cs="Times New Roman"/>
                <w:b/>
                <w:color w:val="auto"/>
                <w:szCs w:val="21"/>
                <w:highlight w:val="none"/>
                <w:lang w:val="en-US" w:eastAsia="zh-CN"/>
              </w:rPr>
              <w:t>1</w:t>
            </w:r>
            <w:r>
              <w:rPr>
                <w:rFonts w:hint="eastAsia" w:ascii="Times New Roman" w:hAnsi="Times New Roman" w:cs="Times New Roman"/>
                <w:b/>
                <w:color w:val="auto"/>
                <w:szCs w:val="21"/>
                <w:highlight w:val="none"/>
                <w:lang w:val="en-US" w:eastAsia="zh-CN"/>
              </w:rPr>
              <w:t>3</w:t>
            </w:r>
            <w:r>
              <w:rPr>
                <w:rFonts w:hint="default" w:ascii="Times New Roman" w:hAnsi="Times New Roman" w:cs="Times New Roman"/>
                <w:b/>
                <w:color w:val="auto"/>
                <w:szCs w:val="21"/>
                <w:highlight w:val="none"/>
              </w:rPr>
              <w:t>工业企业厂界环境噪声排放标准（摘录）单位：</w:t>
            </w:r>
            <w:r>
              <w:rPr>
                <w:rFonts w:hint="default" w:ascii="Times New Roman" w:hAnsi="Times New Roman" w:cs="Times New Roman"/>
                <w:b/>
                <w:bCs/>
                <w:color w:val="auto"/>
                <w:szCs w:val="21"/>
                <w:highlight w:val="none"/>
              </w:rPr>
              <w:t>dB(A)</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8"/>
              <w:gridCol w:w="2702"/>
              <w:gridCol w:w="2703"/>
            </w:tblGrid>
            <w:tr w14:paraId="737C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858" w:type="pct"/>
                  <w:noWrap w:val="0"/>
                  <w:vAlign w:val="center"/>
                </w:tcPr>
                <w:p w14:paraId="45A779EA">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厂界外声环境功能区</w:t>
                  </w:r>
                </w:p>
              </w:tc>
              <w:tc>
                <w:tcPr>
                  <w:tcW w:w="1570" w:type="pct"/>
                  <w:noWrap w:val="0"/>
                  <w:vAlign w:val="center"/>
                </w:tcPr>
                <w:p w14:paraId="528F8D10">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昼间</w:t>
                  </w:r>
                </w:p>
              </w:tc>
              <w:tc>
                <w:tcPr>
                  <w:tcW w:w="1570" w:type="pct"/>
                  <w:noWrap w:val="0"/>
                  <w:vAlign w:val="center"/>
                </w:tcPr>
                <w:p w14:paraId="1F9D9677">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夜间</w:t>
                  </w:r>
                </w:p>
              </w:tc>
            </w:tr>
            <w:tr w14:paraId="7AD7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858" w:type="pct"/>
                  <w:noWrap w:val="0"/>
                  <w:vAlign w:val="center"/>
                </w:tcPr>
                <w:p w14:paraId="6F974DB5">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1570" w:type="pct"/>
                  <w:noWrap w:val="0"/>
                  <w:vAlign w:val="center"/>
                </w:tcPr>
                <w:p w14:paraId="48B16551">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55</w:t>
                  </w:r>
                </w:p>
              </w:tc>
              <w:tc>
                <w:tcPr>
                  <w:tcW w:w="1570" w:type="pct"/>
                  <w:noWrap w:val="0"/>
                  <w:vAlign w:val="center"/>
                </w:tcPr>
                <w:p w14:paraId="1E05EEE5">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45</w:t>
                  </w:r>
                </w:p>
              </w:tc>
            </w:tr>
          </w:tbl>
          <w:p w14:paraId="6E5C1694">
            <w:pPr>
              <w:adjustRightInd w:val="0"/>
              <w:snapToGrid w:val="0"/>
              <w:spacing w:line="360" w:lineRule="auto"/>
              <w:ind w:firstLine="480" w:firstLineChars="200"/>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4</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cs="Times New Roman"/>
                <w:color w:val="auto"/>
                <w:kern w:val="0"/>
                <w:sz w:val="24"/>
                <w:highlight w:val="none"/>
              </w:rPr>
              <w:t>一般工业固体废弃物的贮存、处置执行《一般工业固体废物贮存和填埋污染控制标准》(GB18599-20</w:t>
            </w:r>
            <w:r>
              <w:rPr>
                <w:rFonts w:hint="default" w:ascii="Times New Roman" w:hAnsi="Times New Roman" w:cs="Times New Roman"/>
                <w:color w:val="auto"/>
                <w:kern w:val="0"/>
                <w:sz w:val="24"/>
                <w:highlight w:val="none"/>
                <w:lang w:val="en-US" w:eastAsia="zh-CN"/>
              </w:rPr>
              <w:t>20</w:t>
            </w:r>
            <w:r>
              <w:rPr>
                <w:rFonts w:hint="default" w:ascii="Times New Roman" w:hAnsi="Times New Roman" w:cs="Times New Roman"/>
                <w:color w:val="auto"/>
                <w:kern w:val="0"/>
                <w:sz w:val="24"/>
                <w:highlight w:val="none"/>
              </w:rPr>
              <w:t>)中的相关规定</w:t>
            </w:r>
            <w:r>
              <w:rPr>
                <w:rFonts w:hint="default" w:ascii="Times New Roman" w:hAnsi="Times New Roman" w:eastAsia="宋体" w:cs="Times New Roman"/>
                <w:color w:val="auto"/>
                <w:kern w:val="0"/>
                <w:sz w:val="24"/>
                <w:szCs w:val="24"/>
                <w:highlight w:val="none"/>
              </w:rPr>
              <w:t>；危险废物贮存、处置执行《危险废物贮存污染控制标准》(GB18597-20</w:t>
            </w:r>
            <w:r>
              <w:rPr>
                <w:rFonts w:hint="eastAsia" w:ascii="Times New Roman" w:hAnsi="Times New Roman" w:eastAsia="宋体" w:cs="Times New Roman"/>
                <w:color w:val="auto"/>
                <w:kern w:val="0"/>
                <w:sz w:val="24"/>
                <w:szCs w:val="24"/>
                <w:highlight w:val="none"/>
                <w:lang w:val="en-US" w:eastAsia="zh-CN"/>
              </w:rPr>
              <w:t>23</w:t>
            </w:r>
            <w:r>
              <w:rPr>
                <w:rFonts w:hint="default" w:ascii="Times New Roman" w:hAnsi="Times New Roman" w:eastAsia="宋体" w:cs="Times New Roman"/>
                <w:color w:val="auto"/>
                <w:kern w:val="0"/>
                <w:sz w:val="24"/>
                <w:szCs w:val="24"/>
                <w:highlight w:val="none"/>
              </w:rPr>
              <w:t>)的相关规定。</w:t>
            </w:r>
          </w:p>
        </w:tc>
      </w:tr>
      <w:tr w14:paraId="2986AD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456" w:type="dxa"/>
            <w:noWrap w:val="0"/>
            <w:vAlign w:val="center"/>
          </w:tcPr>
          <w:p w14:paraId="26335DA1">
            <w:pPr>
              <w:adjustRightInd w:val="0"/>
              <w:snapToGrid w:val="0"/>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其他</w:t>
            </w:r>
          </w:p>
        </w:tc>
        <w:tc>
          <w:tcPr>
            <w:tcW w:w="8832" w:type="dxa"/>
            <w:noWrap w:val="0"/>
            <w:vAlign w:val="center"/>
          </w:tcPr>
          <w:p w14:paraId="098239B4">
            <w:pPr>
              <w:adjustRightInd w:val="0"/>
              <w:snapToGrid w:val="0"/>
              <w:spacing w:line="360" w:lineRule="auto"/>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本项目无需申请总量控制指标</w:t>
            </w:r>
          </w:p>
          <w:p w14:paraId="5D354328">
            <w:pPr>
              <w:adjustRightInd w:val="0"/>
              <w:snapToGrid w:val="0"/>
              <w:spacing w:line="360" w:lineRule="auto"/>
              <w:jc w:val="center"/>
              <w:rPr>
                <w:rFonts w:hint="default" w:ascii="Times New Roman" w:hAnsi="Times New Roman" w:eastAsia="宋体" w:cs="Times New Roman"/>
                <w:color w:val="auto"/>
                <w:kern w:val="0"/>
                <w:sz w:val="24"/>
                <w:szCs w:val="24"/>
                <w:highlight w:val="none"/>
              </w:rPr>
            </w:pPr>
          </w:p>
          <w:p w14:paraId="27127BCE">
            <w:pPr>
              <w:pStyle w:val="19"/>
              <w:rPr>
                <w:rFonts w:hint="default" w:ascii="Times New Roman" w:hAnsi="Times New Roman" w:eastAsia="宋体" w:cs="Times New Roman"/>
                <w:color w:val="auto"/>
                <w:kern w:val="0"/>
                <w:sz w:val="24"/>
                <w:szCs w:val="24"/>
                <w:highlight w:val="none"/>
              </w:rPr>
            </w:pPr>
          </w:p>
          <w:p w14:paraId="1C996426">
            <w:pPr>
              <w:rPr>
                <w:rFonts w:hint="default" w:ascii="Times New Roman" w:hAnsi="Times New Roman" w:eastAsia="宋体" w:cs="Times New Roman"/>
                <w:color w:val="auto"/>
                <w:kern w:val="0"/>
                <w:sz w:val="24"/>
                <w:szCs w:val="24"/>
                <w:highlight w:val="none"/>
              </w:rPr>
            </w:pPr>
          </w:p>
          <w:p w14:paraId="7EC2A2ED">
            <w:pPr>
              <w:pStyle w:val="19"/>
              <w:rPr>
                <w:rFonts w:hint="default" w:ascii="Times New Roman" w:hAnsi="Times New Roman" w:eastAsia="宋体" w:cs="Times New Roman"/>
                <w:color w:val="auto"/>
                <w:kern w:val="0"/>
                <w:sz w:val="24"/>
                <w:szCs w:val="24"/>
                <w:highlight w:val="none"/>
              </w:rPr>
            </w:pPr>
          </w:p>
          <w:p w14:paraId="397DB419">
            <w:pPr>
              <w:rPr>
                <w:rFonts w:hint="default" w:ascii="Times New Roman" w:hAnsi="Times New Roman" w:eastAsia="宋体" w:cs="Times New Roman"/>
                <w:color w:val="auto"/>
                <w:kern w:val="0"/>
                <w:sz w:val="24"/>
                <w:szCs w:val="24"/>
                <w:highlight w:val="none"/>
              </w:rPr>
            </w:pPr>
          </w:p>
          <w:p w14:paraId="1B1568DA">
            <w:pPr>
              <w:pStyle w:val="19"/>
              <w:rPr>
                <w:rFonts w:hint="default" w:ascii="Times New Roman" w:hAnsi="Times New Roman" w:eastAsia="宋体" w:cs="Times New Roman"/>
                <w:color w:val="auto"/>
                <w:kern w:val="0"/>
                <w:sz w:val="24"/>
                <w:szCs w:val="24"/>
                <w:highlight w:val="none"/>
              </w:rPr>
            </w:pPr>
          </w:p>
          <w:p w14:paraId="78C39865">
            <w:pPr>
              <w:rPr>
                <w:rFonts w:hint="default" w:ascii="Times New Roman" w:hAnsi="Times New Roman" w:eastAsia="宋体" w:cs="Times New Roman"/>
                <w:color w:val="auto"/>
                <w:kern w:val="0"/>
                <w:sz w:val="24"/>
                <w:szCs w:val="24"/>
                <w:highlight w:val="none"/>
              </w:rPr>
            </w:pPr>
          </w:p>
          <w:p w14:paraId="32377C6E">
            <w:pPr>
              <w:pStyle w:val="19"/>
              <w:rPr>
                <w:rFonts w:hint="default" w:ascii="Times New Roman" w:hAnsi="Times New Roman" w:eastAsia="宋体" w:cs="Times New Roman"/>
                <w:color w:val="auto"/>
                <w:kern w:val="0"/>
                <w:sz w:val="24"/>
                <w:szCs w:val="24"/>
                <w:highlight w:val="none"/>
              </w:rPr>
            </w:pPr>
          </w:p>
          <w:p w14:paraId="2A66993A">
            <w:pPr>
              <w:rPr>
                <w:rFonts w:hint="default" w:ascii="Times New Roman" w:hAnsi="Times New Roman" w:eastAsia="宋体" w:cs="Times New Roman"/>
                <w:color w:val="auto"/>
                <w:kern w:val="0"/>
                <w:sz w:val="24"/>
                <w:szCs w:val="24"/>
                <w:highlight w:val="none"/>
              </w:rPr>
            </w:pPr>
          </w:p>
          <w:p w14:paraId="12B9C020">
            <w:pPr>
              <w:pStyle w:val="19"/>
              <w:rPr>
                <w:rFonts w:hint="default" w:ascii="Times New Roman" w:hAnsi="Times New Roman" w:eastAsia="宋体" w:cs="Times New Roman"/>
                <w:color w:val="auto"/>
                <w:kern w:val="0"/>
                <w:sz w:val="24"/>
                <w:szCs w:val="24"/>
                <w:highlight w:val="none"/>
              </w:rPr>
            </w:pPr>
          </w:p>
          <w:p w14:paraId="6941B486">
            <w:pPr>
              <w:rPr>
                <w:rFonts w:hint="default" w:ascii="Times New Roman" w:hAnsi="Times New Roman" w:eastAsia="宋体" w:cs="Times New Roman"/>
                <w:color w:val="auto"/>
                <w:kern w:val="0"/>
                <w:sz w:val="24"/>
                <w:szCs w:val="24"/>
                <w:highlight w:val="none"/>
              </w:rPr>
            </w:pPr>
          </w:p>
          <w:p w14:paraId="0C85B1C2">
            <w:pPr>
              <w:pStyle w:val="2"/>
              <w:rPr>
                <w:rFonts w:hint="default" w:ascii="Times New Roman" w:hAnsi="Times New Roman" w:eastAsia="宋体" w:cs="Times New Roman"/>
                <w:color w:val="auto"/>
                <w:kern w:val="0"/>
                <w:sz w:val="24"/>
                <w:szCs w:val="24"/>
                <w:highlight w:val="none"/>
              </w:rPr>
            </w:pPr>
          </w:p>
          <w:p w14:paraId="1FD017F2">
            <w:pPr>
              <w:pStyle w:val="3"/>
              <w:rPr>
                <w:rFonts w:hint="default" w:ascii="Times New Roman" w:hAnsi="Times New Roman" w:eastAsia="宋体" w:cs="Times New Roman"/>
                <w:color w:val="auto"/>
                <w:kern w:val="0"/>
                <w:sz w:val="24"/>
                <w:szCs w:val="24"/>
                <w:highlight w:val="none"/>
              </w:rPr>
            </w:pPr>
          </w:p>
          <w:p w14:paraId="1B5052F9">
            <w:pPr>
              <w:rPr>
                <w:rFonts w:hint="default" w:ascii="Times New Roman" w:hAnsi="Times New Roman" w:eastAsia="宋体" w:cs="Times New Roman"/>
                <w:color w:val="auto"/>
                <w:kern w:val="0"/>
                <w:sz w:val="24"/>
                <w:szCs w:val="24"/>
                <w:highlight w:val="none"/>
              </w:rPr>
            </w:pPr>
          </w:p>
          <w:p w14:paraId="55A79202">
            <w:pPr>
              <w:pStyle w:val="2"/>
              <w:rPr>
                <w:rFonts w:hint="default" w:ascii="Times New Roman" w:hAnsi="Times New Roman" w:eastAsia="宋体" w:cs="Times New Roman"/>
                <w:color w:val="auto"/>
                <w:kern w:val="0"/>
                <w:sz w:val="24"/>
                <w:szCs w:val="24"/>
                <w:highlight w:val="none"/>
              </w:rPr>
            </w:pPr>
          </w:p>
          <w:p w14:paraId="27520150">
            <w:pPr>
              <w:adjustRightInd w:val="0"/>
              <w:snapToGrid w:val="0"/>
              <w:spacing w:line="360" w:lineRule="auto"/>
              <w:jc w:val="both"/>
              <w:rPr>
                <w:rFonts w:hint="default" w:ascii="Times New Roman" w:hAnsi="Times New Roman" w:eastAsia="宋体" w:cs="Times New Roman"/>
                <w:color w:val="auto"/>
                <w:kern w:val="0"/>
                <w:sz w:val="24"/>
                <w:szCs w:val="24"/>
                <w:highlight w:val="none"/>
              </w:rPr>
            </w:pPr>
          </w:p>
        </w:tc>
      </w:tr>
    </w:tbl>
    <w:p w14:paraId="2D77693B">
      <w:pPr>
        <w:pStyle w:val="21"/>
        <w:adjustRightInd w:val="0"/>
        <w:snapToGrid w:val="0"/>
        <w:spacing w:before="0" w:beforeAutospacing="0" w:after="0" w:afterAutospacing="0" w:line="14" w:lineRule="auto"/>
        <w:jc w:val="center"/>
        <w:rPr>
          <w:rFonts w:ascii="Times New Roman" w:hAnsi="Times New Roman" w:eastAsia="黑体" w:cs="Times New Roman"/>
          <w:snapToGrid w:val="0"/>
          <w:color w:val="auto"/>
          <w:kern w:val="2"/>
          <w:sz w:val="36"/>
          <w:szCs w:val="36"/>
          <w:highlight w:val="none"/>
        </w:rPr>
      </w:pPr>
    </w:p>
    <w:p w14:paraId="3C88B29C">
      <w:pPr>
        <w:pStyle w:val="21"/>
        <w:jc w:val="center"/>
        <w:outlineLvl w:val="0"/>
        <w:rPr>
          <w:rFonts w:ascii="Times New Roman" w:hAnsi="Times New Roman" w:eastAsia="黑体" w:cs="Times New Roman"/>
          <w:snapToGrid w:val="0"/>
          <w:color w:val="auto"/>
          <w:sz w:val="30"/>
          <w:szCs w:val="30"/>
          <w:highlight w:val="none"/>
        </w:rPr>
      </w:pPr>
      <w:r>
        <w:rPr>
          <w:rFonts w:ascii="Times New Roman" w:hAnsi="Times New Roman" w:eastAsia="黑体" w:cs="Times New Roman"/>
          <w:snapToGrid w:val="0"/>
          <w:color w:val="auto"/>
          <w:kern w:val="2"/>
          <w:sz w:val="36"/>
          <w:szCs w:val="36"/>
          <w:highlight w:val="none"/>
        </w:rPr>
        <w:br w:type="page"/>
      </w:r>
      <w:r>
        <w:rPr>
          <w:rFonts w:ascii="Times New Roman" w:hAnsi="Times New Roman" w:eastAsia="黑体" w:cs="Times New Roman"/>
          <w:snapToGrid w:val="0"/>
          <w:color w:val="auto"/>
          <w:sz w:val="30"/>
          <w:szCs w:val="30"/>
          <w:highlight w:val="none"/>
        </w:rPr>
        <w:t>四、生态环境影响分析</w:t>
      </w:r>
    </w:p>
    <w:tbl>
      <w:tblPr>
        <w:tblStyle w:val="24"/>
        <w:tblW w:w="96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9124"/>
      </w:tblGrid>
      <w:tr w14:paraId="24CC23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108" w:hRule="atLeast"/>
          <w:jc w:val="center"/>
        </w:trPr>
        <w:tc>
          <w:tcPr>
            <w:tcW w:w="476" w:type="dxa"/>
            <w:noWrap w:val="0"/>
            <w:tcMar>
              <w:left w:w="28" w:type="dxa"/>
              <w:right w:w="28" w:type="dxa"/>
            </w:tcMar>
            <w:vAlign w:val="center"/>
          </w:tcPr>
          <w:p w14:paraId="32FB303E">
            <w:pPr>
              <w:pStyle w:val="21"/>
              <w:adjustRightInd w:val="0"/>
              <w:snapToGrid w:val="0"/>
              <w:spacing w:before="0" w:beforeAutospacing="0" w:after="0" w:afterAutospacing="0"/>
              <w:jc w:val="center"/>
              <w:rPr>
                <w:rFonts w:ascii="Times New Roman" w:hAnsi="Times New Roman" w:eastAsia="宋体" w:cs="Times New Roman"/>
                <w:bCs/>
                <w:color w:val="auto"/>
                <w:kern w:val="2"/>
                <w:sz w:val="21"/>
                <w:szCs w:val="21"/>
                <w:highlight w:val="none"/>
              </w:rPr>
            </w:pPr>
            <w:bookmarkStart w:id="3" w:name="_Hlk49796138"/>
            <w:r>
              <w:rPr>
                <w:rFonts w:ascii="Times New Roman" w:hAnsi="Times New Roman" w:eastAsia="宋体" w:cs="Times New Roman"/>
                <w:bCs/>
                <w:color w:val="auto"/>
                <w:spacing w:val="10"/>
                <w:kern w:val="2"/>
                <w:sz w:val="24"/>
                <w:szCs w:val="24"/>
                <w:highlight w:val="none"/>
              </w:rPr>
              <w:t>施工期生态环境影响分析</w:t>
            </w:r>
            <w:bookmarkEnd w:id="3"/>
          </w:p>
        </w:tc>
        <w:tc>
          <w:tcPr>
            <w:tcW w:w="9124" w:type="dxa"/>
            <w:noWrap w:val="0"/>
            <w:vAlign w:val="top"/>
          </w:tcPr>
          <w:p w14:paraId="3367B4FF">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 xml:space="preserve">、光伏场区施工 </w:t>
            </w:r>
          </w:p>
          <w:p w14:paraId="292DBFD4">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本项目光伏场区施工期包括施工准备、基础施工、设备安装调试、施工清理等环 节。主要环境影响为土地占用、植被破坏等生态环境影响以及施工产生的噪声、扬尘、 汽车尾气等。施工期工艺流程及产污环节见图</w:t>
            </w:r>
            <w:r>
              <w:rPr>
                <w:rFonts w:hint="default" w:ascii="Times New Roman" w:hAnsi="Times New Roman" w:eastAsia="宋体" w:cs="Times New Roman"/>
                <w:color w:val="auto"/>
                <w:sz w:val="24"/>
                <w:szCs w:val="24"/>
                <w:lang w:val="en-US" w:eastAsia="zh-CN"/>
              </w:rPr>
              <w:t>4-1</w:t>
            </w:r>
            <w:r>
              <w:rPr>
                <w:rFonts w:hint="eastAsia" w:ascii="Times New Roman" w:hAnsi="Times New Roman" w:eastAsia="宋体" w:cs="Times New Roman"/>
                <w:color w:val="auto"/>
                <w:sz w:val="24"/>
                <w:szCs w:val="24"/>
                <w:lang w:val="en-US" w:eastAsia="zh-CN"/>
              </w:rPr>
              <w:t xml:space="preserve">。 </w:t>
            </w:r>
          </w:p>
          <w:p w14:paraId="523FA8C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auto"/>
                <w:sz w:val="24"/>
                <w:szCs w:val="24"/>
                <w:lang w:val="en-US" w:eastAsia="zh-CN"/>
              </w:rPr>
            </w:pPr>
            <w:r>
              <w:rPr>
                <w:color w:val="auto"/>
              </w:rPr>
              <w:drawing>
                <wp:inline distT="0" distB="0" distL="114300" distR="114300">
                  <wp:extent cx="5374005" cy="1655445"/>
                  <wp:effectExtent l="0" t="0" r="17145" b="1905"/>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15"/>
                          <a:stretch>
                            <a:fillRect/>
                          </a:stretch>
                        </pic:blipFill>
                        <pic:spPr>
                          <a:xfrm>
                            <a:off x="0" y="0"/>
                            <a:ext cx="5374005" cy="1655445"/>
                          </a:xfrm>
                          <a:prstGeom prst="rect">
                            <a:avLst/>
                          </a:prstGeom>
                          <a:noFill/>
                          <a:ln>
                            <a:noFill/>
                          </a:ln>
                        </pic:spPr>
                      </pic:pic>
                    </a:graphicData>
                  </a:graphic>
                </wp:inline>
              </w:drawing>
            </w:r>
          </w:p>
          <w:p w14:paraId="1D0EE57C">
            <w:pPr>
              <w:keepNext w:val="0"/>
              <w:keepLines w:val="0"/>
              <w:pageBreakBefore w:val="0"/>
              <w:widowControl w:val="0"/>
              <w:kinsoku/>
              <w:wordWrap/>
              <w:overflowPunct/>
              <w:topLinePunct w:val="0"/>
              <w:autoSpaceDE/>
              <w:autoSpaceDN/>
              <w:bidi w:val="0"/>
              <w:adjustRightInd w:val="0"/>
              <w:snapToGrid w:val="0"/>
              <w:spacing w:line="360" w:lineRule="auto"/>
              <w:ind w:left="0" w:firstLine="422" w:firstLineChars="200"/>
              <w:jc w:val="center"/>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b/>
                <w:bCs/>
                <w:color w:val="auto"/>
                <w:sz w:val="21"/>
                <w:szCs w:val="21"/>
                <w:lang w:val="en-US" w:eastAsia="zh-CN"/>
              </w:rPr>
              <w:t xml:space="preserve">图 </w:t>
            </w:r>
            <w:r>
              <w:rPr>
                <w:rFonts w:hint="default" w:ascii="Times New Roman" w:hAnsi="Times New Roman" w:eastAsia="宋体" w:cs="Times New Roman"/>
                <w:b/>
                <w:bCs/>
                <w:color w:val="auto"/>
                <w:sz w:val="21"/>
                <w:szCs w:val="21"/>
                <w:lang w:val="en-US" w:eastAsia="zh-CN"/>
              </w:rPr>
              <w:t xml:space="preserve">4-1 </w:t>
            </w:r>
            <w:r>
              <w:rPr>
                <w:rFonts w:hint="eastAsia" w:ascii="Times New Roman" w:hAnsi="Times New Roman" w:eastAsia="宋体" w:cs="Times New Roman"/>
                <w:b/>
                <w:bCs/>
                <w:color w:val="auto"/>
                <w:sz w:val="21"/>
                <w:szCs w:val="21"/>
                <w:lang w:val="en-US" w:eastAsia="zh-CN"/>
              </w:rPr>
              <w:t>光伏场区施工期工艺流程及产污环节示意图</w:t>
            </w:r>
          </w:p>
          <w:p w14:paraId="1283BD20">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 xml:space="preserve">35kV </w:t>
            </w:r>
            <w:r>
              <w:rPr>
                <w:rFonts w:hint="eastAsia" w:ascii="Times New Roman" w:hAnsi="Times New Roman" w:eastAsia="宋体" w:cs="Times New Roman"/>
                <w:b/>
                <w:bCs/>
                <w:color w:val="auto"/>
                <w:sz w:val="24"/>
                <w:szCs w:val="24"/>
                <w:highlight w:val="none"/>
                <w:lang w:val="en-US" w:eastAsia="zh-CN"/>
              </w:rPr>
              <w:t xml:space="preserve">集电线路 </w:t>
            </w:r>
          </w:p>
          <w:p w14:paraId="364DEA3C">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35kV</w:t>
            </w:r>
            <w:r>
              <w:rPr>
                <w:rFonts w:hint="eastAsia" w:ascii="Times New Roman" w:hAnsi="Times New Roman" w:eastAsia="宋体" w:cs="Times New Roman"/>
                <w:color w:val="auto"/>
                <w:sz w:val="24"/>
                <w:szCs w:val="24"/>
                <w:lang w:val="en-US" w:eastAsia="zh-CN"/>
              </w:rPr>
              <w:t>集电线路电缆段施工期主要包括新建电缆沟27.3</w:t>
            </w:r>
            <w:r>
              <w:rPr>
                <w:rFonts w:hint="default" w:ascii="Times New Roman" w:hAnsi="Times New Roman" w:eastAsia="宋体" w:cs="Times New Roman"/>
                <w:color w:val="auto"/>
                <w:sz w:val="24"/>
                <w:szCs w:val="24"/>
                <w:lang w:val="en-US" w:eastAsia="zh-CN"/>
              </w:rPr>
              <w:t>km</w:t>
            </w:r>
            <w:r>
              <w:rPr>
                <w:rFonts w:hint="eastAsia" w:ascii="Times New Roman" w:hAnsi="Times New Roman" w:eastAsia="宋体" w:cs="Times New Roman"/>
                <w:color w:val="auto"/>
                <w:sz w:val="24"/>
                <w:szCs w:val="24"/>
                <w:lang w:val="en-US" w:eastAsia="zh-CN"/>
              </w:rPr>
              <w:t xml:space="preserve">。施工期主要环境影响为扬尘、机械废气、噪声、固废、水土流失等影响。电缆线路施工期工艺流程及产污环节见图 </w:t>
            </w:r>
            <w:r>
              <w:rPr>
                <w:rFonts w:hint="default"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2。</w:t>
            </w:r>
          </w:p>
          <w:p w14:paraId="432ED7D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4"/>
                <w:szCs w:val="24"/>
                <w:lang w:val="en-US" w:eastAsia="zh-CN"/>
              </w:rPr>
            </w:pPr>
            <w:r>
              <w:rPr>
                <w:color w:val="auto"/>
              </w:rPr>
              <w:drawing>
                <wp:inline distT="0" distB="0" distL="114300" distR="114300">
                  <wp:extent cx="4472940" cy="959485"/>
                  <wp:effectExtent l="0" t="0" r="3810" b="12065"/>
                  <wp:docPr id="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pic:cNvPicPr>
                            <a:picLocks noChangeAspect="1"/>
                          </pic:cNvPicPr>
                        </pic:nvPicPr>
                        <pic:blipFill>
                          <a:blip r:embed="rId16"/>
                          <a:stretch>
                            <a:fillRect/>
                          </a:stretch>
                        </pic:blipFill>
                        <pic:spPr>
                          <a:xfrm>
                            <a:off x="0" y="0"/>
                            <a:ext cx="4472940" cy="959485"/>
                          </a:xfrm>
                          <a:prstGeom prst="rect">
                            <a:avLst/>
                          </a:prstGeom>
                          <a:noFill/>
                          <a:ln>
                            <a:noFill/>
                          </a:ln>
                        </pic:spPr>
                      </pic:pic>
                    </a:graphicData>
                  </a:graphic>
                </wp:inline>
              </w:drawing>
            </w:r>
          </w:p>
          <w:p w14:paraId="72E78E24">
            <w:pPr>
              <w:keepNext w:val="0"/>
              <w:keepLines w:val="0"/>
              <w:pageBreakBefore w:val="0"/>
              <w:widowControl w:val="0"/>
              <w:kinsoku/>
              <w:wordWrap/>
              <w:overflowPunct/>
              <w:topLinePunct w:val="0"/>
              <w:autoSpaceDE/>
              <w:autoSpaceDN/>
              <w:bidi w:val="0"/>
              <w:adjustRightInd w:val="0"/>
              <w:snapToGrid w:val="0"/>
              <w:spacing w:line="360" w:lineRule="auto"/>
              <w:ind w:left="0" w:firstLine="422" w:firstLineChars="200"/>
              <w:jc w:val="center"/>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b/>
                <w:bCs/>
                <w:color w:val="auto"/>
                <w:sz w:val="21"/>
                <w:szCs w:val="21"/>
                <w:lang w:val="en-US" w:eastAsia="zh-CN"/>
              </w:rPr>
              <w:t xml:space="preserve">图 </w:t>
            </w:r>
            <w:r>
              <w:rPr>
                <w:rFonts w:hint="default" w:ascii="Times New Roman" w:hAnsi="Times New Roman" w:eastAsia="宋体"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集电线路施工期工艺流程及产污环节示意图</w:t>
            </w:r>
          </w:p>
          <w:p w14:paraId="6B02435F">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生态</w:t>
            </w:r>
            <w:r>
              <w:rPr>
                <w:rFonts w:hint="eastAsia" w:ascii="Times New Roman" w:hAnsi="Times New Roman" w:eastAsia="宋体" w:cs="Times New Roman"/>
                <w:b/>
                <w:bCs/>
                <w:color w:val="auto"/>
                <w:sz w:val="24"/>
                <w:szCs w:val="24"/>
                <w:highlight w:val="none"/>
                <w:lang w:val="en-US" w:eastAsia="zh-CN"/>
              </w:rPr>
              <w:t>影响</w:t>
            </w:r>
          </w:p>
          <w:p w14:paraId="5D539CA3">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工程施工过程中将进行土石方的填挖，包括太阳能电池组件支架</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箱变</w:t>
            </w:r>
            <w:r>
              <w:rPr>
                <w:rFonts w:hint="default" w:ascii="Times New Roman" w:hAnsi="Times New Roman" w:eastAsia="宋体" w:cs="Times New Roman"/>
                <w:color w:val="auto"/>
                <w:sz w:val="24"/>
                <w:szCs w:val="24"/>
              </w:rPr>
              <w:t>基础施工施工等工程，不仅需要动用土石方，而且有施工机械及人员活动。施工期对区域生态环境的影响主要表现在土壤扰动后，随着地表植被的破坏</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可能造成土壤的侵蚀及水土流失；施工噪声对当地野生动物特别是鸟类栖息环境造成影响。</w:t>
            </w:r>
          </w:p>
          <w:p w14:paraId="25AD7D1E">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lang w:eastAsia="zh-CN"/>
              </w:rPr>
              <w:t>）</w:t>
            </w:r>
            <w:r>
              <w:rPr>
                <w:rFonts w:hint="eastAsia" w:ascii="Times New Roman" w:hAnsi="Times New Roman" w:eastAsia="宋体" w:cs="Times New Roman"/>
                <w:b/>
                <w:color w:val="auto"/>
                <w:sz w:val="24"/>
                <w:szCs w:val="24"/>
                <w:highlight w:val="none"/>
                <w:lang w:val="en-US" w:eastAsia="zh-CN"/>
              </w:rPr>
              <w:t xml:space="preserve">对土壤的影响 </w:t>
            </w:r>
          </w:p>
          <w:p w14:paraId="3EF253A8">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项目施工期对土壤的影响主要是挖损、占压造成土壤破坏，由于挖方堆放、填方取土、土层扰乱以及对土壤肥力和性质的破坏，使占地区土壤失去其原有植物生长能力。进场道路、集电线路塔基等对土壤影响较大；临时占地通过待用地结束后可逐步恢复为原有土地功能，对土壤影响相对较小。</w:t>
            </w:r>
          </w:p>
          <w:p w14:paraId="3202AA25">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eastAsia="zh-CN"/>
              </w:rPr>
              <w:t>（</w:t>
            </w:r>
            <w:r>
              <w:rPr>
                <w:rFonts w:hint="eastAsia" w:ascii="Times New Roman" w:hAnsi="Times New Roman" w:eastAsia="宋体" w:cs="Times New Roman"/>
                <w:b/>
                <w:color w:val="auto"/>
                <w:sz w:val="24"/>
                <w:szCs w:val="24"/>
                <w:highlight w:val="none"/>
                <w:lang w:val="en-US" w:eastAsia="zh-CN"/>
              </w:rPr>
              <w:t>2</w:t>
            </w:r>
            <w:r>
              <w:rPr>
                <w:rFonts w:hint="eastAsia"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 xml:space="preserve">植被影响分析 </w:t>
            </w:r>
          </w:p>
          <w:p w14:paraId="0A62B0E7">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工程建设包括以下内容：埋设</w:t>
            </w:r>
            <w:r>
              <w:rPr>
                <w:rFonts w:hint="eastAsia" w:ascii="Times New Roman" w:hAnsi="Times New Roman" w:eastAsia="宋体" w:cs="Times New Roman"/>
                <w:color w:val="auto"/>
                <w:sz w:val="24"/>
                <w:szCs w:val="24"/>
                <w:highlight w:val="none"/>
                <w:lang w:eastAsia="zh-CN"/>
              </w:rPr>
              <w:t>电气线路</w:t>
            </w:r>
            <w:r>
              <w:rPr>
                <w:rFonts w:hint="default" w:ascii="Times New Roman" w:hAnsi="Times New Roman" w:eastAsia="宋体" w:cs="Times New Roman"/>
                <w:color w:val="auto"/>
                <w:sz w:val="24"/>
                <w:szCs w:val="24"/>
                <w:highlight w:val="none"/>
              </w:rPr>
              <w:t>、电池组件支架</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箱变建设</w:t>
            </w:r>
            <w:r>
              <w:rPr>
                <w:rFonts w:hint="default" w:ascii="Times New Roman" w:hAnsi="Times New Roman" w:eastAsia="宋体" w:cs="Times New Roman"/>
                <w:color w:val="auto"/>
                <w:sz w:val="24"/>
                <w:szCs w:val="24"/>
                <w:highlight w:val="none"/>
              </w:rPr>
              <w:t>以及材料运输等人为活动，将会造成施工区域内的植被破坏，影响区域内的植被覆盖率、植物群落种类组成和数量分布，使区域植物生产能力降低。</w:t>
            </w:r>
          </w:p>
          <w:p w14:paraId="5ACF4E6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①永久占地对植被的影响</w:t>
            </w:r>
          </w:p>
          <w:p w14:paraId="25E303B3">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项目拟建区域的植被系统类型较为单一</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属于经济作物，主要有杏树、梨树、苹果树等</w:t>
            </w:r>
            <w:r>
              <w:rPr>
                <w:rFonts w:hint="eastAsia" w:ascii="Times New Roman" w:hAnsi="Times New Roman" w:eastAsia="宋体" w:cs="Times New Roman"/>
                <w:color w:val="auto"/>
                <w:sz w:val="24"/>
                <w:szCs w:val="24"/>
                <w:highlight w:val="none"/>
                <w:lang w:eastAsia="zh-CN"/>
              </w:rPr>
              <w:t>，植被覆盖率</w:t>
            </w:r>
            <w:r>
              <w:rPr>
                <w:rFonts w:hint="eastAsia" w:ascii="Times New Roman" w:hAnsi="Times New Roman" w:eastAsia="宋体" w:cs="Times New Roman"/>
                <w:color w:val="auto"/>
                <w:sz w:val="24"/>
                <w:szCs w:val="24"/>
                <w:highlight w:val="none"/>
                <w:lang w:val="en-US" w:eastAsia="zh-CN"/>
              </w:rPr>
              <w:t>高</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电场运营后，光伏阵列场区内会形成若干阴影区，从而对阴影范围内植被生长产生影响</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项目建成后，计划在太阳能电池板阵列之间种植耐阴草本植物，可使永久性占地造成的植被破坏得到补偿，同时实现对原有</w:t>
            </w:r>
            <w:r>
              <w:rPr>
                <w:rFonts w:hint="eastAsia" w:ascii="Times New Roman" w:hAnsi="Times New Roman" w:eastAsia="宋体" w:cs="Times New Roman"/>
                <w:color w:val="auto"/>
                <w:sz w:val="24"/>
                <w:szCs w:val="24"/>
                <w:highlight w:val="none"/>
                <w:lang w:eastAsia="zh-CN"/>
              </w:rPr>
              <w:t>场地</w:t>
            </w:r>
            <w:r>
              <w:rPr>
                <w:rFonts w:hint="default" w:ascii="Times New Roman" w:hAnsi="Times New Roman" w:eastAsia="宋体" w:cs="Times New Roman"/>
                <w:color w:val="auto"/>
                <w:sz w:val="24"/>
                <w:szCs w:val="24"/>
                <w:highlight w:val="none"/>
              </w:rPr>
              <w:t>的改造优化。</w:t>
            </w:r>
          </w:p>
          <w:p w14:paraId="53BA415B">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color w:val="auto"/>
              </w:rPr>
            </w:pPr>
            <w:r>
              <w:rPr>
                <w:rFonts w:hint="default" w:ascii="Times New Roman" w:hAnsi="Times New Roman" w:eastAsia="宋体" w:cs="Times New Roman"/>
                <w:color w:val="auto"/>
                <w:sz w:val="24"/>
                <w:szCs w:val="24"/>
                <w:highlight w:val="none"/>
              </w:rPr>
              <w:t>综上所述，项目区永久占地通过对原有植被的改造，改变了植物种类，植被生物量发生变化，</w:t>
            </w:r>
            <w:r>
              <w:rPr>
                <w:rFonts w:hint="default" w:ascii="Times New Roman" w:hAnsi="Times New Roman" w:eastAsia="宋体" w:cs="Times New Roman"/>
                <w:color w:val="auto"/>
                <w:sz w:val="24"/>
                <w:szCs w:val="24"/>
                <w:highlight w:val="none"/>
                <w:lang w:eastAsia="zh-CN"/>
              </w:rPr>
              <w:t>项目实施后</w:t>
            </w:r>
            <w:r>
              <w:rPr>
                <w:rFonts w:hint="eastAsia" w:ascii="Times New Roman" w:hAnsi="Times New Roman" w:eastAsia="宋体" w:cs="Times New Roman"/>
                <w:color w:val="auto"/>
                <w:sz w:val="24"/>
                <w:szCs w:val="24"/>
                <w:highlight w:val="none"/>
                <w:lang w:val="en-US" w:eastAsia="zh-CN"/>
              </w:rPr>
              <w:t>原有植被</w:t>
            </w:r>
            <w:r>
              <w:rPr>
                <w:rFonts w:hint="eastAsia" w:ascii="Times New Roman" w:hAnsi="Times New Roman" w:eastAsia="宋体" w:cs="Times New Roman"/>
                <w:color w:val="auto"/>
                <w:sz w:val="24"/>
                <w:szCs w:val="24"/>
                <w:highlight w:val="none"/>
                <w:lang w:eastAsia="zh-CN"/>
              </w:rPr>
              <w:t>改变成</w:t>
            </w:r>
            <w:r>
              <w:rPr>
                <w:rFonts w:hint="default" w:ascii="Times New Roman" w:hAnsi="Times New Roman" w:eastAsia="宋体" w:cs="Times New Roman"/>
                <w:color w:val="auto"/>
                <w:sz w:val="24"/>
                <w:szCs w:val="24"/>
                <w:highlight w:val="none"/>
                <w:lang w:eastAsia="zh-CN"/>
              </w:rPr>
              <w:t>为人工种植作物，因此项目实施对</w:t>
            </w:r>
            <w:r>
              <w:rPr>
                <w:rFonts w:hint="default" w:ascii="Times New Roman" w:hAnsi="Times New Roman" w:eastAsia="宋体" w:cs="Times New Roman"/>
                <w:color w:val="auto"/>
                <w:sz w:val="24"/>
                <w:szCs w:val="24"/>
                <w:highlight w:val="none"/>
              </w:rPr>
              <w:t>项目区植被生态环境影响较小。</w:t>
            </w:r>
          </w:p>
          <w:p w14:paraId="78808F7F">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②</w:t>
            </w:r>
            <w:r>
              <w:rPr>
                <w:rFonts w:hint="default" w:ascii="Times New Roman" w:hAnsi="Times New Roman" w:eastAsia="宋体" w:cs="Times New Roman"/>
                <w:color w:val="auto"/>
                <w:sz w:val="24"/>
                <w:szCs w:val="24"/>
                <w:highlight w:val="none"/>
              </w:rPr>
              <w:t>施工扬尘对植被的影响</w:t>
            </w:r>
          </w:p>
          <w:p w14:paraId="28895AB4">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工程施工过程中扬尘主要来自材料运输过程</w:t>
            </w:r>
            <w:r>
              <w:rPr>
                <w:rFonts w:hint="eastAsia" w:ascii="Times New Roman" w:hAnsi="Times New Roman" w:eastAsia="宋体" w:cs="Times New Roman"/>
                <w:color w:val="auto"/>
                <w:sz w:val="24"/>
                <w:szCs w:val="24"/>
                <w:highlight w:val="none"/>
                <w:lang w:eastAsia="zh-CN"/>
              </w:rPr>
              <w:t>和土方开挖过程</w:t>
            </w:r>
            <w:r>
              <w:rPr>
                <w:rFonts w:hint="default" w:ascii="Times New Roman" w:hAnsi="Times New Roman" w:eastAsia="宋体" w:cs="Times New Roman"/>
                <w:color w:val="auto"/>
                <w:sz w:val="24"/>
                <w:szCs w:val="24"/>
                <w:highlight w:val="none"/>
              </w:rPr>
              <w:t>。</w:t>
            </w:r>
          </w:p>
          <w:p w14:paraId="6212387D">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扬尘会造成局部地段降尘量增多，扬尘对植物的不利影响主要表现为扬尘降落在植物叶面上吸收水分形成深灰色的一层薄壳，降低叶面的光合作用，堵塞叶片气孔，阻碍其呼吸作用；阻碍水分蒸发，降低蒸腾作用，影响水分吸收，破坏有机代谢功能，造成叶片失水、干枯、落叶，最终导致生物量降低，从而使其生长能力衰退，植物抗逆性下降。</w:t>
            </w:r>
          </w:p>
          <w:p w14:paraId="4C9671E8">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实际情况，本项目工程施工期较短，扬尘对项目区及其周围植被的影响是局部的、短期的，工程完成之后这种影响就会消失，工程可通过对施工场地洒水抑尘、物料运送采用密闭遮盖等措施将其影响程度降至最低。</w:t>
            </w:r>
          </w:p>
          <w:p w14:paraId="24A5F37A">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根据现场调查，项目施工区植被类型为</w:t>
            </w:r>
            <w:r>
              <w:rPr>
                <w:rFonts w:hint="eastAsia" w:ascii="Times New Roman" w:hAnsi="Times New Roman" w:eastAsia="宋体" w:cs="Times New Roman"/>
                <w:color w:val="auto"/>
                <w:sz w:val="24"/>
                <w:szCs w:val="24"/>
                <w:highlight w:val="none"/>
                <w:lang w:val="en-US" w:eastAsia="zh-CN"/>
              </w:rPr>
              <w:t>经济作物</w:t>
            </w:r>
            <w:r>
              <w:rPr>
                <w:rFonts w:hint="default" w:ascii="Times New Roman" w:hAnsi="Times New Roman" w:eastAsia="宋体" w:cs="Times New Roman"/>
                <w:color w:val="auto"/>
                <w:sz w:val="24"/>
                <w:szCs w:val="24"/>
                <w:highlight w:val="none"/>
              </w:rPr>
              <w:t>，没有较珍稀的植物</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因此</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根据上述分析可知，本项目建设对当地植被的总体影响并不大。因施工造成的部分植被损害不会导致评价区植物群落的改变、生物多样性</w:t>
            </w:r>
            <w:r>
              <w:rPr>
                <w:rFonts w:hint="eastAsia" w:ascii="Times New Roman" w:hAnsi="Times New Roman" w:eastAsia="宋体" w:cs="Times New Roman"/>
                <w:color w:val="auto"/>
                <w:sz w:val="24"/>
                <w:szCs w:val="24"/>
                <w:highlight w:val="none"/>
                <w:lang w:eastAsia="zh-CN"/>
              </w:rPr>
              <w:t>降低</w:t>
            </w:r>
            <w:r>
              <w:rPr>
                <w:rFonts w:hint="default" w:ascii="Times New Roman" w:hAnsi="Times New Roman" w:eastAsia="宋体" w:cs="Times New Roman"/>
                <w:color w:val="auto"/>
                <w:sz w:val="24"/>
                <w:szCs w:val="24"/>
                <w:highlight w:val="none"/>
              </w:rPr>
              <w:t>等不良后果。</w:t>
            </w:r>
          </w:p>
          <w:p w14:paraId="6C6B7CEE">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w:t>
            </w:r>
            <w:r>
              <w:rPr>
                <w:rFonts w:hint="eastAsia"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野生动物影响分析</w:t>
            </w:r>
          </w:p>
          <w:p w14:paraId="3C364BDB">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施工机械噪声和人类活动噪声是影响野生动物的主要因素，各种施工机械如运输车辆、</w:t>
            </w:r>
            <w:r>
              <w:rPr>
                <w:rFonts w:hint="default" w:ascii="Times New Roman" w:hAnsi="Times New Roman" w:eastAsia="宋体" w:cs="Times New Roman"/>
                <w:color w:val="auto"/>
                <w:sz w:val="24"/>
                <w:szCs w:val="24"/>
                <w:highlight w:val="none"/>
                <w:lang w:val="en-US" w:eastAsia="zh-CN"/>
              </w:rPr>
              <w:t>机械</w:t>
            </w:r>
            <w:r>
              <w:rPr>
                <w:rFonts w:hint="default" w:ascii="Times New Roman" w:hAnsi="Times New Roman" w:eastAsia="宋体" w:cs="Times New Roman"/>
                <w:color w:val="auto"/>
                <w:sz w:val="24"/>
                <w:szCs w:val="24"/>
                <w:highlight w:val="none"/>
              </w:rPr>
              <w:t>等均可能产生较强的噪声。虽然这些施工机械属非连续性间歇排放，但由于噪声源相对集中，且多为裸露声源，故其有一定辐射范围。</w:t>
            </w:r>
          </w:p>
          <w:p w14:paraId="1AE2F35D">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预计在施工期，</w:t>
            </w:r>
            <w:r>
              <w:rPr>
                <w:rFonts w:hint="eastAsia" w:ascii="Times New Roman" w:hAnsi="Times New Roman" w:eastAsia="宋体" w:cs="Times New Roman"/>
                <w:color w:val="auto"/>
                <w:sz w:val="24"/>
                <w:szCs w:val="24"/>
                <w:highlight w:val="none"/>
                <w:lang w:eastAsia="zh-CN"/>
              </w:rPr>
              <w:t>区域内</w:t>
            </w:r>
            <w:r>
              <w:rPr>
                <w:rFonts w:hint="default" w:ascii="Times New Roman" w:hAnsi="Times New Roman" w:eastAsia="宋体" w:cs="Times New Roman"/>
                <w:color w:val="auto"/>
                <w:sz w:val="24"/>
                <w:szCs w:val="24"/>
                <w:highlight w:val="none"/>
              </w:rPr>
              <w:t>的鸟类会受到一定影响。根据当地居民反映，项目区主要野生鸟类为喜鹊、麻雀、乌鸦等鸟类</w:t>
            </w:r>
            <w:r>
              <w:rPr>
                <w:rFonts w:hint="eastAsia" w:ascii="Times New Roman" w:hAnsi="Times New Roman" w:eastAsia="宋体" w:cs="Times New Roman"/>
                <w:color w:val="auto"/>
                <w:sz w:val="24"/>
                <w:szCs w:val="24"/>
                <w:highlight w:val="none"/>
                <w:lang w:eastAsia="zh-CN"/>
              </w:rPr>
              <w:t>，为区域常见鸟类</w:t>
            </w:r>
            <w:r>
              <w:rPr>
                <w:rFonts w:hint="default" w:ascii="Times New Roman" w:hAnsi="Times New Roman" w:eastAsia="宋体" w:cs="Times New Roman"/>
                <w:color w:val="auto"/>
                <w:sz w:val="24"/>
                <w:szCs w:val="24"/>
                <w:highlight w:val="none"/>
              </w:rPr>
              <w:t>。哺乳动物主要是鼠、兔等小型动物。因此，施工期对</w:t>
            </w:r>
            <w:r>
              <w:rPr>
                <w:rFonts w:hint="eastAsia" w:ascii="Times New Roman" w:hAnsi="Times New Roman" w:eastAsia="宋体" w:cs="Times New Roman"/>
                <w:color w:val="auto"/>
                <w:sz w:val="24"/>
                <w:szCs w:val="24"/>
                <w:highlight w:val="none"/>
                <w:lang w:eastAsia="zh-CN"/>
              </w:rPr>
              <w:t>项目地的</w:t>
            </w:r>
            <w:r>
              <w:rPr>
                <w:rFonts w:hint="default" w:ascii="Times New Roman" w:hAnsi="Times New Roman" w:eastAsia="宋体" w:cs="Times New Roman"/>
                <w:color w:val="auto"/>
                <w:sz w:val="24"/>
                <w:szCs w:val="24"/>
                <w:highlight w:val="none"/>
              </w:rPr>
              <w:t>野生动物影响</w:t>
            </w:r>
            <w:r>
              <w:rPr>
                <w:rFonts w:hint="default" w:ascii="Times New Roman" w:hAnsi="Times New Roman" w:eastAsia="宋体" w:cs="Times New Roman"/>
                <w:color w:val="auto"/>
                <w:sz w:val="24"/>
                <w:szCs w:val="24"/>
                <w:highlight w:val="none"/>
                <w:lang w:val="en-US" w:eastAsia="zh-CN"/>
              </w:rPr>
              <w:t>相对较小</w:t>
            </w:r>
            <w:r>
              <w:rPr>
                <w:rFonts w:hint="default" w:ascii="Times New Roman" w:hAnsi="Times New Roman" w:eastAsia="宋体" w:cs="Times New Roman"/>
                <w:color w:val="auto"/>
                <w:sz w:val="24"/>
                <w:szCs w:val="24"/>
                <w:highlight w:val="none"/>
              </w:rPr>
              <w:t>。</w:t>
            </w:r>
          </w:p>
          <w:p w14:paraId="530A4BE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olor w:val="auto"/>
                <w:highlight w:val="none"/>
              </w:rPr>
            </w:pPr>
            <w:r>
              <w:rPr>
                <w:rFonts w:hint="eastAsia" w:ascii="Times New Roman"/>
                <w:b w:val="0"/>
                <w:bCs w:val="0"/>
                <w:color w:val="auto"/>
                <w:sz w:val="24"/>
                <w:szCs w:val="24"/>
                <w:highlight w:val="none"/>
              </w:rPr>
              <w:t>项目</w:t>
            </w:r>
            <w:r>
              <w:rPr>
                <w:rFonts w:hint="eastAsia" w:ascii="Times New Roman"/>
                <w:b w:val="0"/>
                <w:bCs w:val="0"/>
                <w:color w:val="auto"/>
                <w:sz w:val="24"/>
                <w:szCs w:val="24"/>
                <w:highlight w:val="none"/>
                <w:lang w:eastAsia="zh-CN"/>
              </w:rPr>
              <w:t>北侧</w:t>
            </w:r>
            <w:r>
              <w:rPr>
                <w:rFonts w:hint="eastAsia" w:ascii="Times New Roman"/>
                <w:b w:val="0"/>
                <w:bCs w:val="0"/>
                <w:color w:val="auto"/>
                <w:sz w:val="24"/>
                <w:szCs w:val="24"/>
                <w:highlight w:val="none"/>
                <w:lang w:val="en-US" w:eastAsia="zh-CN"/>
              </w:rPr>
              <w:t>580m处</w:t>
            </w:r>
            <w:r>
              <w:rPr>
                <w:rFonts w:hint="eastAsia" w:ascii="Times New Roman"/>
                <w:b w:val="0"/>
                <w:bCs w:val="0"/>
                <w:color w:val="auto"/>
                <w:sz w:val="24"/>
                <w:szCs w:val="24"/>
                <w:highlight w:val="none"/>
              </w:rPr>
              <w:t>主要为陕西汉中朱鹮国家级自然保护区，是朱鹮的游荡区，不属于栖息地和繁殖区；企业</w:t>
            </w:r>
            <w:r>
              <w:rPr>
                <w:b w:val="0"/>
                <w:bCs w:val="0"/>
                <w:color w:val="auto"/>
                <w:sz w:val="24"/>
                <w:szCs w:val="24"/>
                <w:highlight w:val="none"/>
              </w:rPr>
              <w:t>通过采取</w:t>
            </w:r>
            <w:r>
              <w:rPr>
                <w:rFonts w:hint="eastAsia"/>
                <w:b w:val="0"/>
                <w:bCs w:val="0"/>
                <w:color w:val="auto"/>
                <w:sz w:val="24"/>
                <w:szCs w:val="24"/>
                <w:highlight w:val="none"/>
                <w:lang w:eastAsia="zh-CN"/>
              </w:rPr>
              <w:t>植被恢复、</w:t>
            </w:r>
            <w:r>
              <w:rPr>
                <w:b w:val="0"/>
                <w:bCs w:val="0"/>
                <w:color w:val="auto"/>
                <w:sz w:val="24"/>
                <w:szCs w:val="24"/>
                <w:highlight w:val="none"/>
              </w:rPr>
              <w:t>厂区绿化等措施后，</w:t>
            </w:r>
            <w:r>
              <w:rPr>
                <w:rFonts w:ascii="Times New Roman"/>
                <w:b w:val="0"/>
                <w:bCs w:val="0"/>
                <w:color w:val="auto"/>
                <w:sz w:val="24"/>
                <w:szCs w:val="24"/>
                <w:highlight w:val="none"/>
              </w:rPr>
              <w:t>不会对</w:t>
            </w:r>
            <w:r>
              <w:rPr>
                <w:rFonts w:hint="eastAsia" w:ascii="Times New Roman"/>
                <w:b w:val="0"/>
                <w:bCs w:val="0"/>
                <w:color w:val="auto"/>
                <w:sz w:val="24"/>
                <w:szCs w:val="24"/>
                <w:highlight w:val="none"/>
              </w:rPr>
              <w:t>陕西汉中朱鹮国家级自然保护区</w:t>
            </w:r>
            <w:r>
              <w:rPr>
                <w:rFonts w:ascii="Times New Roman"/>
                <w:b w:val="0"/>
                <w:bCs w:val="0"/>
                <w:color w:val="auto"/>
                <w:sz w:val="24"/>
                <w:szCs w:val="24"/>
                <w:highlight w:val="none"/>
              </w:rPr>
              <w:t>产生影响</w:t>
            </w:r>
            <w:r>
              <w:rPr>
                <w:rFonts w:hint="eastAsia" w:ascii="Times New Roman"/>
                <w:b w:val="0"/>
                <w:bCs w:val="0"/>
                <w:color w:val="auto"/>
                <w:sz w:val="24"/>
                <w:szCs w:val="24"/>
                <w:highlight w:val="none"/>
              </w:rPr>
              <w:t>。</w:t>
            </w:r>
          </w:p>
          <w:p w14:paraId="629190C7">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w:t>
            </w:r>
            <w:r>
              <w:rPr>
                <w:rFonts w:hint="eastAsia"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水土流失影响分析</w:t>
            </w:r>
          </w:p>
          <w:p w14:paraId="407D285F">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项目建设过程水土流失主要表现在组件阵列所在区域场地施工过程造成的土壤扰动及</w:t>
            </w:r>
            <w:r>
              <w:rPr>
                <w:rFonts w:hint="eastAsia" w:ascii="Times New Roman" w:hAnsi="Times New Roman" w:eastAsia="宋体" w:cs="Times New Roman"/>
                <w:color w:val="auto"/>
                <w:sz w:val="24"/>
                <w:szCs w:val="24"/>
                <w:highlight w:val="none"/>
                <w:lang w:val="en-US" w:eastAsia="zh-CN"/>
              </w:rPr>
              <w:t>光伏</w:t>
            </w:r>
            <w:r>
              <w:rPr>
                <w:rFonts w:hint="default" w:ascii="Times New Roman" w:hAnsi="Times New Roman" w:eastAsia="宋体" w:cs="Times New Roman"/>
                <w:color w:val="auto"/>
                <w:sz w:val="24"/>
                <w:szCs w:val="24"/>
                <w:highlight w:val="none"/>
              </w:rPr>
              <w:t>阵列单元支架和线缆的埋设过程中所产生的水土流失。</w:t>
            </w:r>
          </w:p>
          <w:p w14:paraId="5D054014">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项目建设区域</w:t>
            </w:r>
            <w:r>
              <w:rPr>
                <w:rFonts w:hint="eastAsia" w:ascii="Times New Roman" w:hAnsi="Times New Roman" w:eastAsia="宋体" w:cs="Times New Roman"/>
                <w:color w:val="auto"/>
                <w:sz w:val="24"/>
                <w:szCs w:val="24"/>
                <w:highlight w:val="none"/>
                <w:lang w:val="en-US" w:eastAsia="zh-CN"/>
              </w:rPr>
              <w:t>主</w:t>
            </w:r>
            <w:r>
              <w:rPr>
                <w:rFonts w:hint="default" w:ascii="Times New Roman" w:hAnsi="Times New Roman" w:eastAsia="宋体" w:cs="Times New Roman"/>
                <w:color w:val="auto"/>
                <w:sz w:val="24"/>
                <w:szCs w:val="24"/>
                <w:highlight w:val="none"/>
              </w:rPr>
              <w:t>要为</w:t>
            </w:r>
            <w:r>
              <w:rPr>
                <w:rFonts w:hint="eastAsia" w:ascii="Times New Roman" w:hAnsi="Times New Roman" w:eastAsia="宋体" w:cs="Times New Roman"/>
                <w:color w:val="auto"/>
                <w:sz w:val="24"/>
                <w:szCs w:val="24"/>
                <w:highlight w:val="none"/>
                <w:lang w:val="en-US" w:eastAsia="zh-CN"/>
              </w:rPr>
              <w:t>园地及建设用地</w:t>
            </w:r>
            <w:r>
              <w:rPr>
                <w:rFonts w:hint="default" w:ascii="Times New Roman" w:hAnsi="Times New Roman" w:eastAsia="宋体" w:cs="Times New Roman"/>
                <w:color w:val="auto"/>
                <w:sz w:val="24"/>
                <w:szCs w:val="24"/>
                <w:highlight w:val="none"/>
              </w:rPr>
              <w:t>。在土建施工过程中，场区内部扰动地表，采取无纺布进行苫盖保护已扰动的裸露地表，减少施工期的水土流失。</w:t>
            </w:r>
          </w:p>
          <w:p w14:paraId="1654FE04">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为了防止临时堆土由于风蚀产生新的水土流失，堆土</w:t>
            </w:r>
            <w:r>
              <w:rPr>
                <w:rFonts w:hint="eastAsia" w:ascii="Times New Roman" w:hAnsi="Times New Roman" w:eastAsia="宋体" w:cs="Times New Roman"/>
                <w:color w:val="auto"/>
                <w:sz w:val="24"/>
                <w:szCs w:val="24"/>
                <w:highlight w:val="none"/>
                <w:lang w:eastAsia="zh-CN"/>
              </w:rPr>
              <w:t>地</w:t>
            </w:r>
            <w:r>
              <w:rPr>
                <w:rFonts w:hint="default" w:ascii="Times New Roman" w:hAnsi="Times New Roman" w:eastAsia="宋体" w:cs="Times New Roman"/>
                <w:color w:val="auto"/>
                <w:sz w:val="24"/>
                <w:szCs w:val="24"/>
                <w:highlight w:val="none"/>
              </w:rPr>
              <w:t>周围进行简易防护，采用彩钢板防护的措施，在堆土周围进行部分拦挡，彩钢板高度为2m，钢板底部埋入地表以下0.2m，地表以上拦挡高度为1.8m，挡板外侧采取钢支架支撑措施。另外，在大风天气在场区临时堆土表面覆盖防尘网。为防止临时堆土风蚀产生水土流失，对堆土场表面及时进行洒水，使表面自然固化。要求施工时的挖方要及时回填，尽量减少堆土场的堆土量。施工结束后，施工单位必须对施工场地进行土地整治，拆除临时建筑物，并将建筑垃圾可回用部分全部回用，不可回用部分及时运往城建部门指定的建筑垃圾处理场统一处置，避免产生新的水土流失和固废产生的二次污染。</w:t>
            </w:r>
          </w:p>
          <w:p w14:paraId="1D72E926">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施工期土石方开挖阶段最好避开雨季，若雨季施工，要有排水沟、挡土墙、土工布围遮挡等措施，以防水土流失。电缆沟及管道开挖等临时占地，在工程结束后要及时恢复植被。</w:t>
            </w:r>
          </w:p>
          <w:p w14:paraId="6AB4B12F">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hint="default" w:ascii="Times New Roman" w:hAnsi="Times New Roman" w:eastAsia="宋体" w:cs="Times New Roman"/>
                <w:b/>
                <w:color w:val="auto"/>
                <w:sz w:val="24"/>
                <w:szCs w:val="24"/>
                <w:highlight w:val="none"/>
                <w:lang w:eastAsia="zh-CN"/>
              </w:rPr>
            </w:pPr>
            <w:r>
              <w:rPr>
                <w:rFonts w:hint="eastAsia" w:ascii="Times New Roman" w:hAnsi="Times New Roman" w:eastAsia="宋体" w:cs="Times New Roman"/>
                <w:b/>
                <w:color w:val="auto"/>
                <w:sz w:val="24"/>
                <w:szCs w:val="24"/>
                <w:highlight w:val="none"/>
                <w:lang w:val="en-US" w:eastAsia="zh-CN"/>
              </w:rPr>
              <w:t>（5）生态系统完整性影响分析</w:t>
            </w:r>
          </w:p>
          <w:p w14:paraId="230D1FBC">
            <w:pPr>
              <w:pStyle w:val="5"/>
              <w:keepNext/>
              <w:keepLines/>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lang w:val="en-US" w:eastAsia="zh-CN"/>
              </w:rPr>
              <w:t>项目施工期破坏地表植被，加剧区域水土流失，打破了工程区已建立的相对稳定的生态系统平衡，形成新的人工生态系统，建立新的系统结构。从以下两方面分析对区域生态系统完整性的影响。</w:t>
            </w:r>
          </w:p>
          <w:p w14:paraId="533384A8">
            <w:pPr>
              <w:pStyle w:val="5"/>
              <w:keepNext/>
              <w:keepLines/>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lang w:val="en-US" w:eastAsia="zh-CN"/>
              </w:rPr>
              <w:t>①恢复稳定性分析</w:t>
            </w:r>
          </w:p>
          <w:p w14:paraId="20DB9225">
            <w:pPr>
              <w:pStyle w:val="5"/>
              <w:keepNext/>
              <w:keepLines/>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lang w:val="en-US" w:eastAsia="zh-CN"/>
              </w:rPr>
              <w:t>项目对区内生物生产力的影响主要来自碾压、扰动地貌、土地利用性质的改变破坏植被，从而使项目区内的生物生产力降低。项目实施后光伏板下可以种植植被，在施工结束后及时恢复植被后，项目区内因工程实施造成的生物生产力变化较小，总体上生物生产力基本仍处于原有水平，对项目区生态体系恢复稳定性影响较小。</w:t>
            </w:r>
          </w:p>
          <w:p w14:paraId="59F6D952">
            <w:pPr>
              <w:pStyle w:val="5"/>
              <w:keepNext/>
              <w:keepLines/>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lang w:val="en-US" w:eastAsia="zh-CN"/>
              </w:rPr>
              <w:t>②阻抗稳定性分析</w:t>
            </w:r>
          </w:p>
          <w:p w14:paraId="5715EDEC">
            <w:pPr>
              <w:pStyle w:val="5"/>
              <w:keepNext/>
              <w:keepLines/>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lang w:val="en-US" w:eastAsia="zh-CN"/>
              </w:rPr>
              <w:t>从生物多样性来讲，工程区无需保护的珍稀动植物资源，动植物类型均为区域常见物种，本项目的建设基本不会对生物多样性产生影响。</w:t>
            </w:r>
          </w:p>
          <w:p w14:paraId="2E6BDC87">
            <w:pPr>
              <w:pStyle w:val="5"/>
              <w:keepNext/>
              <w:keepLines/>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lang w:val="en-US" w:eastAsia="zh-CN"/>
              </w:rPr>
              <w:t>工程建设将改变原有的土地利用方式，但评价区物种多样性不高，且实际建设占地仅占总用地面积较小比例，工程建设基本不会改变原有陆生生物生境，物种数目不会有减少的可能，总体上生物多样性水平仍将维持原状，对生态系统的阻抗稳定性影响小。</w:t>
            </w:r>
          </w:p>
          <w:p w14:paraId="7EBE0924">
            <w:pPr>
              <w:pStyle w:val="5"/>
              <w:keepNext/>
              <w:keepLines/>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lang w:val="en-US" w:eastAsia="zh-CN"/>
              </w:rPr>
              <w:t>综上所述，本工程建设不会导致物种的丧失，对天然植被、物种影响小，对整个生态体系的稳定性不构成显著影响。项目区生态体系阻抗稳定性仍将维持现状，对区域自然系统生态完整性和稳定性的影响较小。</w:t>
            </w:r>
          </w:p>
          <w:p w14:paraId="57D7AF01">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（6）景观格局影响分析</w:t>
            </w:r>
          </w:p>
          <w:p w14:paraId="3FEADC16">
            <w:pPr>
              <w:pStyle w:val="5"/>
              <w:keepNext/>
              <w:keepLines/>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b w:val="0"/>
                <w:bCs w:val="0"/>
                <w:color w:val="auto"/>
                <w:kern w:val="0"/>
                <w:sz w:val="24"/>
                <w:lang w:val="en-US" w:eastAsia="zh-CN"/>
              </w:rPr>
            </w:pPr>
            <w:r>
              <w:rPr>
                <w:rFonts w:hint="eastAsia" w:ascii="Times New Roman" w:hAnsi="Times New Roman" w:eastAsia="宋体" w:cs="Times New Roman"/>
                <w:b w:val="0"/>
                <w:bCs w:val="0"/>
                <w:color w:val="auto"/>
                <w:kern w:val="0"/>
                <w:sz w:val="24"/>
                <w:lang w:val="en-US" w:eastAsia="zh-CN"/>
              </w:rPr>
              <w:t>工程建设的各种工程行为会对区域自然景观产生一定的不利影响，工程开挖、施工用料和土方的堆存、施工营地设置及施工后迹地处理若未全面及时进行，可能出现土石乱弃、植被枯死、一片狼藉的景象，破坏原有自然景观的美感与和谐性。由于项目施工期较短，在施工结束后及时采取对受损地貌进行妥善恢复的情况下，项目施工期对区域景观生态的影响是暂时的。</w:t>
            </w:r>
          </w:p>
          <w:p w14:paraId="5AFB7DAE">
            <w:pPr>
              <w:keepNext w:val="0"/>
              <w:keepLines w:val="0"/>
              <w:pageBreakBefore w:val="0"/>
              <w:widowControl w:val="0"/>
              <w:kinsoku/>
              <w:wordWrap/>
              <w:overflowPunct/>
              <w:topLinePunct w:val="0"/>
              <w:autoSpaceDE/>
              <w:autoSpaceDN/>
              <w:bidi w:val="0"/>
              <w:adjustRightInd w:val="0"/>
              <w:snapToGrid w:val="0"/>
              <w:spacing w:line="360" w:lineRule="auto"/>
              <w:ind w:firstLine="573"/>
              <w:textAlignment w:val="auto"/>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大气污染物</w:t>
            </w:r>
          </w:p>
          <w:p w14:paraId="7FCE11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施工期大气污染主要是</w:t>
            </w:r>
            <w:r>
              <w:rPr>
                <w:rFonts w:hint="eastAsia" w:ascii="Times New Roman" w:hAnsi="Times New Roman" w:eastAsia="宋体" w:cs="Times New Roman"/>
                <w:color w:val="auto"/>
                <w:sz w:val="24"/>
                <w:szCs w:val="24"/>
                <w:lang w:val="en-US" w:eastAsia="zh-CN"/>
              </w:rPr>
              <w:t>光伏阵列布设过程中</w:t>
            </w:r>
            <w:r>
              <w:rPr>
                <w:rFonts w:hint="default" w:ascii="Times New Roman" w:hAnsi="Times New Roman" w:eastAsia="宋体" w:cs="Times New Roman"/>
                <w:color w:val="auto"/>
                <w:sz w:val="24"/>
                <w:szCs w:val="24"/>
              </w:rPr>
              <w:t>施工扬尘和施工机械废气。</w:t>
            </w:r>
          </w:p>
          <w:p w14:paraId="70414BE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Style w:val="49"/>
                <w:rFonts w:hint="default" w:ascii="Times New Roman" w:hAnsi="Times New Roman" w:eastAsia="宋体" w:cs="Times New Roman"/>
                <w:b w:val="0"/>
                <w:snapToGrid w:val="0"/>
                <w:color w:val="auto"/>
                <w:sz w:val="24"/>
                <w:szCs w:val="24"/>
              </w:rPr>
            </w:pPr>
            <w:r>
              <w:rPr>
                <w:rStyle w:val="49"/>
                <w:rFonts w:hint="eastAsia" w:ascii="Times New Roman" w:hAnsi="Times New Roman" w:eastAsia="宋体" w:cs="Times New Roman"/>
                <w:b w:val="0"/>
                <w:snapToGrid w:val="0"/>
                <w:color w:val="auto"/>
                <w:sz w:val="24"/>
                <w:szCs w:val="24"/>
                <w:lang w:eastAsia="zh-CN"/>
              </w:rPr>
              <w:t>（</w:t>
            </w:r>
            <w:r>
              <w:rPr>
                <w:rStyle w:val="49"/>
                <w:rFonts w:hint="eastAsia" w:ascii="Times New Roman" w:hAnsi="Times New Roman" w:eastAsia="宋体" w:cs="Times New Roman"/>
                <w:b w:val="0"/>
                <w:snapToGrid w:val="0"/>
                <w:color w:val="auto"/>
                <w:sz w:val="24"/>
                <w:szCs w:val="24"/>
                <w:lang w:val="en-US" w:eastAsia="zh-CN"/>
              </w:rPr>
              <w:t>1</w:t>
            </w:r>
            <w:r>
              <w:rPr>
                <w:rStyle w:val="49"/>
                <w:rFonts w:hint="eastAsia" w:ascii="Times New Roman" w:hAnsi="Times New Roman" w:eastAsia="宋体" w:cs="Times New Roman"/>
                <w:b w:val="0"/>
                <w:snapToGrid w:val="0"/>
                <w:color w:val="auto"/>
                <w:sz w:val="24"/>
                <w:szCs w:val="24"/>
                <w:lang w:eastAsia="zh-CN"/>
              </w:rPr>
              <w:t>）</w:t>
            </w:r>
            <w:r>
              <w:rPr>
                <w:rStyle w:val="49"/>
                <w:rFonts w:hint="default" w:ascii="Times New Roman" w:hAnsi="Times New Roman" w:eastAsia="宋体" w:cs="Times New Roman"/>
                <w:b w:val="0"/>
                <w:snapToGrid w:val="0"/>
                <w:color w:val="auto"/>
                <w:sz w:val="24"/>
                <w:szCs w:val="24"/>
              </w:rPr>
              <w:t>施工扬尘</w:t>
            </w:r>
          </w:p>
          <w:p w14:paraId="106B1A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Style w:val="49"/>
                <w:rFonts w:hint="default" w:ascii="Times New Roman" w:hAnsi="Times New Roman" w:eastAsia="宋体" w:cs="Times New Roman"/>
                <w:b w:val="0"/>
                <w:snapToGrid w:val="0"/>
                <w:color w:val="auto"/>
                <w:sz w:val="24"/>
                <w:szCs w:val="24"/>
              </w:rPr>
            </w:pPr>
            <w:r>
              <w:rPr>
                <w:rStyle w:val="49"/>
                <w:rFonts w:hint="eastAsia" w:ascii="Times New Roman" w:hAnsi="Times New Roman" w:eastAsia="宋体" w:cs="Times New Roman"/>
                <w:b w:val="0"/>
                <w:snapToGrid w:val="0"/>
                <w:color w:val="auto"/>
                <w:sz w:val="24"/>
                <w:szCs w:val="24"/>
                <w:lang w:val="en-US" w:eastAsia="zh-CN"/>
              </w:rPr>
              <w:t xml:space="preserve">施工扬尘主要来自于土方开挖、回填、运输，以及建筑材料的运输、卸载和道路扬尘等。场地扬尘属无组织排放，其产生强度与施工范围、施工方法、土壤湿度、气象条件等诸多因素有关。由于施工扬尘粒径较大，并具有沉降快等特点，因此一般影响范围较小。 </w:t>
            </w:r>
          </w:p>
          <w:p w14:paraId="6E38985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Style w:val="49"/>
                <w:rFonts w:hint="default" w:ascii="Times New Roman" w:hAnsi="Times New Roman" w:eastAsia="宋体" w:cs="Times New Roman"/>
                <w:b w:val="0"/>
                <w:snapToGrid w:val="0"/>
                <w:color w:val="auto"/>
                <w:sz w:val="24"/>
                <w:szCs w:val="24"/>
              </w:rPr>
            </w:pPr>
            <w:r>
              <w:rPr>
                <w:rStyle w:val="49"/>
                <w:rFonts w:hint="eastAsia" w:ascii="Times New Roman" w:hAnsi="Times New Roman" w:eastAsia="宋体" w:cs="Times New Roman"/>
                <w:b w:val="0"/>
                <w:snapToGrid w:val="0"/>
                <w:color w:val="auto"/>
                <w:sz w:val="24"/>
                <w:szCs w:val="24"/>
                <w:lang w:eastAsia="zh-CN"/>
              </w:rPr>
              <w:t>（</w:t>
            </w:r>
            <w:r>
              <w:rPr>
                <w:rStyle w:val="49"/>
                <w:rFonts w:hint="eastAsia" w:ascii="Times New Roman" w:hAnsi="Times New Roman" w:eastAsia="宋体" w:cs="Times New Roman"/>
                <w:b w:val="0"/>
                <w:snapToGrid w:val="0"/>
                <w:color w:val="auto"/>
                <w:sz w:val="24"/>
                <w:szCs w:val="24"/>
                <w:lang w:val="en-US" w:eastAsia="zh-CN"/>
              </w:rPr>
              <w:t>2</w:t>
            </w:r>
            <w:r>
              <w:rPr>
                <w:rStyle w:val="49"/>
                <w:rFonts w:hint="eastAsia" w:ascii="Times New Roman" w:hAnsi="Times New Roman" w:eastAsia="宋体" w:cs="Times New Roman"/>
                <w:b w:val="0"/>
                <w:snapToGrid w:val="0"/>
                <w:color w:val="auto"/>
                <w:sz w:val="24"/>
                <w:szCs w:val="24"/>
                <w:lang w:eastAsia="zh-CN"/>
              </w:rPr>
              <w:t>）</w:t>
            </w:r>
            <w:r>
              <w:rPr>
                <w:rStyle w:val="49"/>
                <w:rFonts w:hint="default" w:ascii="Times New Roman" w:hAnsi="Times New Roman" w:eastAsia="宋体" w:cs="Times New Roman"/>
                <w:b w:val="0"/>
                <w:snapToGrid w:val="0"/>
                <w:color w:val="auto"/>
                <w:sz w:val="24"/>
                <w:szCs w:val="24"/>
              </w:rPr>
              <w:t>工机械废气</w:t>
            </w:r>
          </w:p>
          <w:p w14:paraId="086695F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Style w:val="49"/>
                <w:rFonts w:hint="eastAsia" w:ascii="Times New Roman" w:hAnsi="Times New Roman" w:eastAsia="宋体" w:cs="Times New Roman"/>
                <w:b w:val="0"/>
                <w:snapToGrid w:val="0"/>
                <w:color w:val="auto"/>
                <w:sz w:val="24"/>
                <w:szCs w:val="24"/>
                <w:lang w:val="en-US" w:eastAsia="zh-CN"/>
              </w:rPr>
              <w:t xml:space="preserve">项目施工期废气主要为施工机械废气，包括施工机械废气和运输车辆废气，施工机械废气中含有的污染物主要是 </w:t>
            </w:r>
            <w:r>
              <w:rPr>
                <w:rStyle w:val="49"/>
                <w:rFonts w:hint="default" w:ascii="Times New Roman" w:hAnsi="Times New Roman" w:eastAsia="宋体" w:cs="Times New Roman"/>
                <w:b w:val="0"/>
                <w:snapToGrid w:val="0"/>
                <w:color w:val="auto"/>
                <w:sz w:val="24"/>
                <w:szCs w:val="24"/>
                <w:lang w:val="en-US" w:eastAsia="zh-CN"/>
              </w:rPr>
              <w:t>NOX</w:t>
            </w:r>
            <w:r>
              <w:rPr>
                <w:rStyle w:val="49"/>
                <w:rFonts w:hint="eastAsia" w:ascii="Times New Roman" w:hAnsi="Times New Roman" w:eastAsia="宋体" w:cs="Times New Roman"/>
                <w:b w:val="0"/>
                <w:snapToGrid w:val="0"/>
                <w:color w:val="auto"/>
                <w:sz w:val="24"/>
                <w:szCs w:val="24"/>
                <w:lang w:val="en-US" w:eastAsia="zh-CN"/>
              </w:rPr>
              <w:t>、</w:t>
            </w:r>
            <w:r>
              <w:rPr>
                <w:rStyle w:val="49"/>
                <w:rFonts w:hint="default" w:ascii="Times New Roman" w:hAnsi="Times New Roman" w:eastAsia="宋体" w:cs="Times New Roman"/>
                <w:b w:val="0"/>
                <w:snapToGrid w:val="0"/>
                <w:color w:val="auto"/>
                <w:sz w:val="24"/>
                <w:szCs w:val="24"/>
                <w:lang w:val="en-US" w:eastAsia="zh-CN"/>
              </w:rPr>
              <w:t>CO</w:t>
            </w:r>
            <w:r>
              <w:rPr>
                <w:rStyle w:val="49"/>
                <w:rFonts w:hint="eastAsia" w:ascii="Times New Roman" w:hAnsi="Times New Roman" w:eastAsia="宋体" w:cs="Times New Roman"/>
                <w:b w:val="0"/>
                <w:snapToGrid w:val="0"/>
                <w:color w:val="auto"/>
                <w:sz w:val="24"/>
                <w:szCs w:val="24"/>
                <w:lang w:val="en-US" w:eastAsia="zh-CN"/>
              </w:rPr>
              <w:t>、</w:t>
            </w:r>
            <w:r>
              <w:rPr>
                <w:rStyle w:val="49"/>
                <w:rFonts w:hint="default" w:ascii="Times New Roman" w:hAnsi="Times New Roman" w:eastAsia="宋体" w:cs="Times New Roman"/>
                <w:b w:val="0"/>
                <w:snapToGrid w:val="0"/>
                <w:color w:val="auto"/>
                <w:sz w:val="24"/>
                <w:szCs w:val="24"/>
                <w:lang w:val="en-US" w:eastAsia="zh-CN"/>
              </w:rPr>
              <w:t xml:space="preserve">HC </w:t>
            </w:r>
            <w:r>
              <w:rPr>
                <w:rStyle w:val="49"/>
                <w:rFonts w:hint="eastAsia" w:ascii="Times New Roman" w:hAnsi="Times New Roman" w:eastAsia="宋体" w:cs="Times New Roman"/>
                <w:b w:val="0"/>
                <w:snapToGrid w:val="0"/>
                <w:color w:val="auto"/>
                <w:sz w:val="24"/>
                <w:szCs w:val="24"/>
                <w:lang w:val="en-US" w:eastAsia="zh-CN"/>
              </w:rPr>
              <w:t>等，其产生量及废气中污染物浓度视其使用频率及发动机对燃料的燃烧情况而异。施工机械废气属低架点源无组织排放性质，具有间断性产生、产生量较小、产生点相对分散、易被稀释扩散等特点，由于项目所在地较空旷、且产生量不大，影响范围有限，对环境影响较小。</w:t>
            </w:r>
          </w:p>
          <w:p w14:paraId="797144C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）交通运输扬尘</w:t>
            </w:r>
          </w:p>
          <w:p w14:paraId="056CDE9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交通运输扬尘主要来自两方面，一方面是汽车行驶产生的扬尘；另一方面是装载土石方等多尘物料运输时，汽车在行进中如防护不当易导致物料失落和飘散，使运输道路沿线空气中的粉尘浓度增加，影响范围主要是施工区运输道路沿线区域。</w:t>
            </w:r>
          </w:p>
          <w:p w14:paraId="28A84902">
            <w:pPr>
              <w:keepNext w:val="0"/>
              <w:keepLines w:val="0"/>
              <w:pageBreakBefore w:val="0"/>
              <w:widowControl w:val="0"/>
              <w:kinsoku/>
              <w:wordWrap/>
              <w:overflowPunct/>
              <w:topLinePunct w:val="0"/>
              <w:autoSpaceDE/>
              <w:autoSpaceDN/>
              <w:bidi w:val="0"/>
              <w:adjustRightInd w:val="0"/>
              <w:snapToGrid w:val="0"/>
              <w:spacing w:line="360" w:lineRule="auto"/>
              <w:ind w:firstLine="573"/>
              <w:textAlignment w:val="auto"/>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6、</w:t>
            </w:r>
            <w:r>
              <w:rPr>
                <w:rFonts w:ascii="Times New Roman" w:hAnsi="Times New Roman" w:eastAsia="宋体" w:cs="Times New Roman"/>
                <w:b/>
                <w:bCs/>
                <w:color w:val="auto"/>
                <w:sz w:val="24"/>
                <w:szCs w:val="24"/>
                <w:highlight w:val="none"/>
              </w:rPr>
              <w:t>废水污染物</w:t>
            </w:r>
          </w:p>
          <w:p w14:paraId="1603D76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施工期废水主要来自</w:t>
            </w:r>
            <w:r>
              <w:rPr>
                <w:rFonts w:hint="eastAsia" w:ascii="Times New Roman" w:hAnsi="Times New Roman" w:eastAsia="宋体" w:cs="Times New Roman"/>
                <w:color w:val="auto"/>
                <w:sz w:val="24"/>
                <w:szCs w:val="24"/>
                <w:lang w:val="en-US" w:eastAsia="zh-CN"/>
              </w:rPr>
              <w:t>光伏阵列布设等建构筑物建设过程中</w:t>
            </w:r>
            <w:r>
              <w:rPr>
                <w:rFonts w:hint="default" w:ascii="Times New Roman" w:hAnsi="Times New Roman" w:eastAsia="宋体" w:cs="Times New Roman"/>
                <w:color w:val="auto"/>
                <w:sz w:val="24"/>
                <w:szCs w:val="24"/>
              </w:rPr>
              <w:t>施工人员的生活污水以及施工过程中少量的机械冲洗废水等施工废水。施工废水主要含有泥沙等物质，不含其它杂质；施工生活污水仅为日常生活排水。</w:t>
            </w:r>
          </w:p>
          <w:p w14:paraId="7AD6A2E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施工废水：施工生产废水主要为施工机械冲洗废水，用水量约为2m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/d，废水产生量约为用水量的</w:t>
            </w:r>
            <w:r>
              <w:rPr>
                <w:rFonts w:hint="default" w:ascii="Times New Roman" w:hAnsi="Times New Roman" w:eastAsia="宋体" w:cs="Times New Roman"/>
                <w:color w:val="auto"/>
                <w:sz w:val="24"/>
                <w:szCs w:val="24"/>
                <w:lang w:val="en-US" w:eastAsia="zh-CN"/>
              </w:rPr>
              <w:t>80</w:t>
            </w:r>
            <w:r>
              <w:rPr>
                <w:rFonts w:hint="default" w:ascii="Times New Roman" w:hAnsi="Times New Roman" w:eastAsia="宋体" w:cs="Times New Roman"/>
                <w:color w:val="auto"/>
                <w:sz w:val="24"/>
                <w:szCs w:val="24"/>
              </w:rPr>
              <w:t>%，即</w:t>
            </w:r>
            <w:r>
              <w:rPr>
                <w:rFonts w:hint="default" w:ascii="Times New Roman" w:hAnsi="Times New Roman" w:eastAsia="宋体" w:cs="Times New Roman"/>
                <w:color w:val="auto"/>
                <w:sz w:val="24"/>
                <w:szCs w:val="24"/>
                <w:lang w:val="en-US" w:eastAsia="zh-CN"/>
              </w:rPr>
              <w:t>1.6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/d，施工期约</w:t>
            </w:r>
            <w:r>
              <w:rPr>
                <w:rFonts w:hint="eastAsia" w:ascii="Times New Roman" w:hAnsi="Times New Roman" w:eastAsia="宋体" w:cs="Times New Roman"/>
                <w:color w:val="auto"/>
                <w:sz w:val="24"/>
                <w:szCs w:val="24"/>
                <w:lang w:val="en-US" w:eastAsia="zh-CN"/>
              </w:rPr>
              <w:t>180</w:t>
            </w:r>
            <w:r>
              <w:rPr>
                <w:rFonts w:hint="default" w:ascii="Times New Roman" w:hAnsi="Times New Roman" w:eastAsia="宋体" w:cs="Times New Roman"/>
                <w:color w:val="auto"/>
                <w:sz w:val="24"/>
                <w:szCs w:val="24"/>
              </w:rPr>
              <w:t>天，施工期间废水总量约</w:t>
            </w:r>
            <w:r>
              <w:rPr>
                <w:rFonts w:hint="eastAsia" w:ascii="Times New Roman" w:hAnsi="Times New Roman" w:eastAsia="宋体" w:cs="Times New Roman"/>
                <w:color w:val="auto"/>
                <w:sz w:val="24"/>
                <w:szCs w:val="24"/>
                <w:lang w:val="en-US" w:eastAsia="zh-CN"/>
              </w:rPr>
              <w:t>288</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，施工废水中的主要污染物为SS（1000~2000）mg/L。本项目施工时在项目区进出口设置洗车平台，并设沉淀池收集施工废水并循环利用。</w:t>
            </w:r>
          </w:p>
          <w:p w14:paraId="0B47503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生活污水：本项目施工期工人为当地民工</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本工程施工</w:t>
            </w:r>
            <w:r>
              <w:rPr>
                <w:rFonts w:hint="eastAsia" w:ascii="Times New Roman" w:hAnsi="Times New Roman" w:eastAsia="宋体" w:cs="Times New Roman"/>
                <w:color w:val="auto"/>
                <w:sz w:val="24"/>
                <w:szCs w:val="24"/>
                <w:lang w:val="en-US" w:eastAsia="zh-CN"/>
              </w:rPr>
              <w:t>高峰期人员</w:t>
            </w:r>
            <w:r>
              <w:rPr>
                <w:rFonts w:hint="default" w:ascii="Times New Roman" w:hAnsi="Times New Roman" w:eastAsia="宋体" w:cs="Times New Roman"/>
                <w:color w:val="auto"/>
                <w:sz w:val="24"/>
                <w:szCs w:val="24"/>
              </w:rPr>
              <w:t>每天按</w:t>
            </w:r>
            <w:r>
              <w:rPr>
                <w:rFonts w:hint="eastAsia" w:ascii="Times New Roman" w:hAnsi="Times New Roman" w:eastAsia="宋体" w:cs="Times New Roman"/>
                <w:color w:val="auto"/>
                <w:sz w:val="24"/>
                <w:szCs w:val="24"/>
                <w:lang w:val="en-US" w:eastAsia="zh-CN"/>
              </w:rPr>
              <w:t>200</w:t>
            </w:r>
            <w:r>
              <w:rPr>
                <w:rFonts w:hint="default" w:ascii="Times New Roman" w:hAnsi="Times New Roman" w:eastAsia="宋体" w:cs="Times New Roman"/>
                <w:color w:val="auto"/>
                <w:sz w:val="24"/>
                <w:szCs w:val="24"/>
              </w:rPr>
              <w:t>人计，施工期约</w:t>
            </w:r>
            <w:r>
              <w:rPr>
                <w:rFonts w:hint="eastAsia" w:ascii="Times New Roman" w:hAnsi="Times New Roman" w:eastAsia="宋体" w:cs="Times New Roman"/>
                <w:color w:val="auto"/>
                <w:sz w:val="24"/>
                <w:szCs w:val="24"/>
                <w:lang w:val="en-US" w:eastAsia="zh-CN"/>
              </w:rPr>
              <w:t>180</w:t>
            </w:r>
            <w:r>
              <w:rPr>
                <w:rFonts w:hint="default" w:ascii="Times New Roman" w:hAnsi="Times New Roman" w:eastAsia="宋体" w:cs="Times New Roman"/>
                <w:color w:val="auto"/>
                <w:sz w:val="24"/>
                <w:szCs w:val="24"/>
              </w:rPr>
              <w:t>天，每人每日的生活用水量以50L进行估算，生活用水量为</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/d，排污系数取0.8，生活污水量产生量约</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/d，生活污水中主要污染因子为COD、NH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-N，类比一般生活污水产生浓度，分别按350mg/L、25mg/L计，则污染物产生量分别为</w:t>
            </w:r>
            <w:r>
              <w:rPr>
                <w:rFonts w:hint="eastAsia" w:ascii="Times New Roman" w:hAnsi="Times New Roman" w:eastAsia="宋体" w:cs="Times New Roman"/>
                <w:color w:val="auto"/>
                <w:sz w:val="24"/>
                <w:szCs w:val="24"/>
                <w:lang w:val="en-US" w:eastAsia="zh-CN"/>
              </w:rPr>
              <w:t>2.8</w:t>
            </w:r>
            <w:r>
              <w:rPr>
                <w:rFonts w:hint="default" w:ascii="Times New Roman" w:hAnsi="Times New Roman" w:eastAsia="宋体" w:cs="Times New Roman"/>
                <w:color w:val="auto"/>
                <w:sz w:val="24"/>
                <w:szCs w:val="24"/>
              </w:rPr>
              <w:t>kg/d、</w:t>
            </w:r>
            <w:r>
              <w:rPr>
                <w:rFonts w:hint="eastAsia" w:ascii="Times New Roman" w:hAnsi="Times New Roman" w:eastAsia="宋体" w:cs="Times New Roman"/>
                <w:color w:val="auto"/>
                <w:sz w:val="24"/>
                <w:szCs w:val="24"/>
                <w:lang w:val="en-US" w:eastAsia="zh-CN"/>
              </w:rPr>
              <w:t>0.2</w:t>
            </w:r>
            <w:r>
              <w:rPr>
                <w:rFonts w:hint="default" w:ascii="Times New Roman" w:hAnsi="Times New Roman" w:eastAsia="宋体" w:cs="Times New Roman"/>
                <w:color w:val="auto"/>
                <w:sz w:val="24"/>
                <w:szCs w:val="24"/>
              </w:rPr>
              <w:t>kg/d。则施工期内生活污水产生总量约</w:t>
            </w:r>
            <w:r>
              <w:rPr>
                <w:rFonts w:hint="eastAsia" w:ascii="Times New Roman" w:hAnsi="Times New Roman" w:eastAsia="宋体" w:cs="Times New Roman"/>
                <w:color w:val="auto"/>
                <w:sz w:val="24"/>
                <w:szCs w:val="24"/>
                <w:lang w:val="en-US" w:eastAsia="zh-CN"/>
              </w:rPr>
              <w:t>1440</w:t>
            </w:r>
            <w:r>
              <w:rPr>
                <w:rFonts w:hint="default" w:ascii="Times New Roman" w:hAnsi="Times New Roman" w:eastAsia="宋体" w:cs="Times New Roman"/>
                <w:color w:val="auto"/>
                <w:sz w:val="24"/>
                <w:szCs w:val="24"/>
              </w:rPr>
              <w:t>t，COD</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-N产生量分别为</w:t>
            </w:r>
            <w:r>
              <w:rPr>
                <w:rFonts w:hint="eastAsia" w:ascii="Times New Roman" w:hAnsi="Times New Roman" w:eastAsia="宋体" w:cs="Times New Roman"/>
                <w:color w:val="auto"/>
                <w:sz w:val="24"/>
                <w:szCs w:val="24"/>
                <w:lang w:val="en-US" w:eastAsia="zh-CN"/>
              </w:rPr>
              <w:t>504</w:t>
            </w:r>
            <w:r>
              <w:rPr>
                <w:rFonts w:hint="default" w:ascii="Times New Roman" w:hAnsi="Times New Roman" w:eastAsia="宋体" w:cs="Times New Roman"/>
                <w:color w:val="auto"/>
                <w:sz w:val="24"/>
                <w:szCs w:val="24"/>
              </w:rPr>
              <w:t>kg</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36</w:t>
            </w:r>
            <w:r>
              <w:rPr>
                <w:rFonts w:hint="default" w:ascii="Times New Roman" w:hAnsi="Times New Roman" w:eastAsia="宋体" w:cs="Times New Roman"/>
                <w:color w:val="auto"/>
                <w:sz w:val="24"/>
                <w:szCs w:val="24"/>
              </w:rPr>
              <w:t>kg。</w:t>
            </w:r>
          </w:p>
          <w:p w14:paraId="3E375A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bCs/>
                <w:color w:val="auto"/>
                <w:sz w:val="24"/>
                <w:szCs w:val="32"/>
                <w:highlight w:val="none"/>
                <w:lang w:val="en-US" w:eastAsia="zh-CN"/>
              </w:rPr>
            </w:pPr>
            <w:r>
              <w:rPr>
                <w:rFonts w:hint="default" w:ascii="Times New Roman" w:hAnsi="Times New Roman" w:eastAsia="宋体" w:cs="Times New Roman"/>
                <w:color w:val="auto"/>
                <w:sz w:val="24"/>
                <w:szCs w:val="24"/>
              </w:rPr>
              <w:t>施工期生活污水</w:t>
            </w:r>
            <w:r>
              <w:rPr>
                <w:rFonts w:hint="eastAsia" w:ascii="Times New Roman" w:hAnsi="Times New Roman" w:eastAsia="宋体" w:cs="Times New Roman"/>
                <w:color w:val="auto"/>
                <w:sz w:val="24"/>
                <w:szCs w:val="24"/>
                <w:lang w:val="en-US" w:eastAsia="zh-CN"/>
              </w:rPr>
              <w:t>依托周边民居环保厕所处置</w:t>
            </w:r>
            <w:r>
              <w:rPr>
                <w:rFonts w:hint="default" w:ascii="Times New Roman" w:hAnsi="Times New Roman" w:eastAsia="宋体" w:cs="Times New Roman"/>
                <w:color w:val="auto"/>
                <w:sz w:val="24"/>
                <w:szCs w:val="24"/>
              </w:rPr>
              <w:t>。</w:t>
            </w:r>
          </w:p>
          <w:p w14:paraId="5BED8E4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lang w:val="en-US" w:eastAsia="zh-CN"/>
              </w:rPr>
              <w:t>7、</w:t>
            </w:r>
            <w:r>
              <w:rPr>
                <w:rFonts w:hint="default" w:ascii="Times New Roman" w:hAnsi="Times New Roman" w:eastAsia="宋体" w:cs="Times New Roman"/>
                <w:b/>
                <w:bCs/>
                <w:color w:val="auto"/>
                <w:sz w:val="24"/>
                <w:szCs w:val="32"/>
                <w:highlight w:val="none"/>
              </w:rPr>
              <w:t>噪声</w:t>
            </w:r>
          </w:p>
          <w:p w14:paraId="6C17CA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Cs w:val="21"/>
                <w:lang w:val="en-US" w:eastAsia="zh-CN"/>
              </w:rPr>
            </w:pPr>
            <w:r>
              <w:rPr>
                <w:rStyle w:val="49"/>
                <w:rFonts w:hint="default" w:ascii="Times New Roman" w:hAnsi="Times New Roman" w:eastAsia="宋体" w:cs="Times New Roman"/>
                <w:b w:val="0"/>
                <w:snapToGrid w:val="0"/>
                <w:color w:val="auto"/>
                <w:sz w:val="24"/>
                <w:szCs w:val="24"/>
              </w:rPr>
              <w:t>施工噪声主要是由各种不同性能的动力机械在运转时产生的，如平整清理场地、打桩、建材运输等，噪声值在65~95dB（A）之间</w:t>
            </w:r>
            <w:r>
              <w:rPr>
                <w:rStyle w:val="49"/>
                <w:rFonts w:hint="eastAsia" w:ascii="Times New Roman" w:hAnsi="Times New Roman" w:eastAsia="宋体" w:cs="Times New Roman"/>
                <w:b w:val="0"/>
                <w:snapToGrid w:val="0"/>
                <w:color w:val="auto"/>
                <w:sz w:val="24"/>
                <w:szCs w:val="24"/>
                <w:lang w:eastAsia="zh-CN"/>
              </w:rPr>
              <w:t>。</w:t>
            </w:r>
          </w:p>
          <w:p w14:paraId="6B323A49">
            <w:pPr>
              <w:pStyle w:val="11"/>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Cs w:val="21"/>
                <w:lang w:val="en-US" w:eastAsia="zh-CN"/>
              </w:rPr>
            </w:pPr>
          </w:p>
          <w:p w14:paraId="06449257">
            <w:pPr>
              <w:pStyle w:val="11"/>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Cs w:val="21"/>
                <w:lang w:val="en-US" w:eastAsia="zh-CN"/>
              </w:rPr>
            </w:pPr>
          </w:p>
          <w:p w14:paraId="237CE9F8">
            <w:pPr>
              <w:pStyle w:val="11"/>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Cs w:val="21"/>
                <w:lang w:val="en-US" w:eastAsia="zh-CN"/>
              </w:rPr>
            </w:pPr>
          </w:p>
          <w:p w14:paraId="07BE5823">
            <w:pPr>
              <w:pStyle w:val="11"/>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Cs w:val="21"/>
                <w:lang w:val="en-US" w:eastAsia="zh-CN"/>
              </w:rPr>
            </w:pPr>
          </w:p>
          <w:p w14:paraId="072D5F42">
            <w:pPr>
              <w:pStyle w:val="11"/>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表</w:t>
            </w:r>
            <w:r>
              <w:rPr>
                <w:rFonts w:hint="eastAsia" w:ascii="Times New Roman" w:hAnsi="Times New Roman" w:eastAsia="宋体" w:cs="Times New Roman"/>
                <w:b/>
                <w:bCs/>
                <w:color w:val="auto"/>
                <w:szCs w:val="21"/>
                <w:lang w:val="en-US" w:eastAsia="zh-CN"/>
              </w:rPr>
              <w:t>4-2</w:t>
            </w:r>
            <w:r>
              <w:rPr>
                <w:rFonts w:hint="default" w:ascii="Times New Roman" w:hAnsi="Times New Roman" w:eastAsia="宋体" w:cs="Times New Roman"/>
                <w:b/>
                <w:bCs/>
                <w:color w:val="auto"/>
                <w:szCs w:val="21"/>
                <w:lang w:val="en-US" w:eastAsia="zh-CN"/>
              </w:rPr>
              <w:t xml:space="preserve">  主要施工机械噪声源强表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9"/>
              <w:gridCol w:w="3844"/>
              <w:gridCol w:w="3461"/>
            </w:tblGrid>
            <w:tr w14:paraId="0605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93" w:type="pct"/>
                  <w:tcBorders>
                    <w:tl2br w:val="nil"/>
                    <w:tr2bl w:val="nil"/>
                  </w:tcBorders>
                  <w:noWrap/>
                  <w:vAlign w:val="center"/>
                </w:tcPr>
                <w:p w14:paraId="7CEB84F6">
                  <w:pPr>
                    <w:pStyle w:val="50"/>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b/>
                      <w:snapToGrid w:val="0"/>
                      <w:color w:val="auto"/>
                      <w:sz w:val="21"/>
                    </w:rPr>
                  </w:pPr>
                  <w:r>
                    <w:rPr>
                      <w:rFonts w:hint="default" w:ascii="Times New Roman" w:hAnsi="Times New Roman" w:eastAsia="宋体" w:cs="Times New Roman"/>
                      <w:b/>
                      <w:snapToGrid w:val="0"/>
                      <w:color w:val="auto"/>
                      <w:sz w:val="21"/>
                    </w:rPr>
                    <w:t>序号</w:t>
                  </w:r>
                </w:p>
              </w:tc>
              <w:tc>
                <w:tcPr>
                  <w:tcW w:w="2160" w:type="pct"/>
                  <w:tcBorders>
                    <w:tl2br w:val="nil"/>
                    <w:tr2bl w:val="nil"/>
                  </w:tcBorders>
                  <w:noWrap/>
                  <w:vAlign w:val="center"/>
                </w:tcPr>
                <w:p w14:paraId="0A824888">
                  <w:pPr>
                    <w:pStyle w:val="50"/>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b/>
                      <w:snapToGrid w:val="0"/>
                      <w:color w:val="auto"/>
                      <w:sz w:val="21"/>
                    </w:rPr>
                  </w:pPr>
                  <w:r>
                    <w:rPr>
                      <w:rFonts w:hint="default" w:ascii="Times New Roman" w:hAnsi="Times New Roman" w:eastAsia="宋体" w:cs="Times New Roman"/>
                      <w:b/>
                      <w:snapToGrid w:val="0"/>
                      <w:color w:val="auto"/>
                      <w:sz w:val="21"/>
                    </w:rPr>
                    <w:t>机械设备名称</w:t>
                  </w:r>
                </w:p>
              </w:tc>
              <w:tc>
                <w:tcPr>
                  <w:tcW w:w="1945" w:type="pct"/>
                  <w:tcBorders>
                    <w:tl2br w:val="nil"/>
                    <w:tr2bl w:val="nil"/>
                  </w:tcBorders>
                  <w:noWrap w:val="0"/>
                  <w:vAlign w:val="center"/>
                </w:tcPr>
                <w:p w14:paraId="4444E19B">
                  <w:pPr>
                    <w:pStyle w:val="50"/>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b/>
                      <w:snapToGrid w:val="0"/>
                      <w:color w:val="auto"/>
                      <w:sz w:val="21"/>
                    </w:rPr>
                  </w:pPr>
                  <w:r>
                    <w:rPr>
                      <w:rFonts w:hint="default" w:ascii="Times New Roman" w:hAnsi="Times New Roman" w:eastAsia="宋体" w:cs="Times New Roman"/>
                      <w:b/>
                      <w:snapToGrid w:val="0"/>
                      <w:color w:val="auto"/>
                      <w:sz w:val="21"/>
                    </w:rPr>
                    <w:t>距离声源5m处源强（dB(A)）</w:t>
                  </w:r>
                </w:p>
              </w:tc>
            </w:tr>
            <w:tr w14:paraId="34D6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93" w:type="pct"/>
                  <w:tcBorders>
                    <w:tl2br w:val="nil"/>
                    <w:tr2bl w:val="nil"/>
                  </w:tcBorders>
                  <w:noWrap/>
                  <w:vAlign w:val="top"/>
                </w:tcPr>
                <w:p w14:paraId="2224A049">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val="0"/>
                      <w:color w:val="auto"/>
                      <w:sz w:val="21"/>
                    </w:rPr>
                  </w:pPr>
                  <w:r>
                    <w:rPr>
                      <w:rFonts w:hint="default" w:ascii="Times New Roman" w:hAnsi="Times New Roman" w:cs="Times New Roman" w:eastAsiaTheme="minorEastAsia"/>
                      <w:snapToGrid/>
                      <w:color w:val="auto"/>
                      <w:kern w:val="2"/>
                      <w:szCs w:val="21"/>
                      <w:lang w:eastAsia="zh-CN"/>
                    </w:rPr>
                    <w:t>1</w:t>
                  </w:r>
                </w:p>
              </w:tc>
              <w:tc>
                <w:tcPr>
                  <w:tcW w:w="2160" w:type="pct"/>
                  <w:tcBorders>
                    <w:tl2br w:val="nil"/>
                    <w:tr2bl w:val="nil"/>
                  </w:tcBorders>
                  <w:noWrap/>
                  <w:vAlign w:val="top"/>
                </w:tcPr>
                <w:p w14:paraId="365E10B7">
                  <w:pPr>
                    <w:widowControl w:val="0"/>
                    <w:kinsoku/>
                    <w:autoSpaceDE/>
                    <w:autoSpaceDN/>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eastAsiaTheme="minorEastAsia"/>
                      <w:snapToGrid/>
                      <w:color w:val="auto"/>
                      <w:kern w:val="2"/>
                      <w:szCs w:val="21"/>
                      <w:lang w:eastAsia="zh-CN"/>
                    </w:rPr>
                    <w:t>汽车吊</w:t>
                  </w:r>
                </w:p>
              </w:tc>
              <w:tc>
                <w:tcPr>
                  <w:tcW w:w="1945" w:type="pct"/>
                  <w:tcBorders>
                    <w:tl2br w:val="nil"/>
                    <w:tr2bl w:val="nil"/>
                  </w:tcBorders>
                  <w:noWrap w:val="0"/>
                  <w:vAlign w:val="center"/>
                </w:tcPr>
                <w:p w14:paraId="6442FD2C">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90</w:t>
                  </w:r>
                </w:p>
              </w:tc>
            </w:tr>
            <w:tr w14:paraId="1CA9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93" w:type="pct"/>
                  <w:tcBorders>
                    <w:tl2br w:val="nil"/>
                    <w:tr2bl w:val="nil"/>
                  </w:tcBorders>
                  <w:noWrap/>
                  <w:vAlign w:val="top"/>
                </w:tcPr>
                <w:p w14:paraId="351A0C74">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val="0"/>
                      <w:color w:val="auto"/>
                      <w:sz w:val="21"/>
                    </w:rPr>
                  </w:pPr>
                  <w:r>
                    <w:rPr>
                      <w:rFonts w:hint="default" w:ascii="Times New Roman" w:hAnsi="Times New Roman" w:cs="Times New Roman" w:eastAsiaTheme="minorEastAsia"/>
                      <w:snapToGrid/>
                      <w:color w:val="auto"/>
                      <w:kern w:val="2"/>
                      <w:szCs w:val="21"/>
                      <w:lang w:eastAsia="zh-CN"/>
                    </w:rPr>
                    <w:t>2</w:t>
                  </w:r>
                </w:p>
              </w:tc>
              <w:tc>
                <w:tcPr>
                  <w:tcW w:w="2160" w:type="pct"/>
                  <w:tcBorders>
                    <w:tl2br w:val="nil"/>
                    <w:tr2bl w:val="nil"/>
                  </w:tcBorders>
                  <w:noWrap/>
                  <w:vAlign w:val="top"/>
                </w:tcPr>
                <w:p w14:paraId="2BEA0DA2">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val="0"/>
                      <w:color w:val="auto"/>
                      <w:kern w:val="2"/>
                      <w:sz w:val="21"/>
                      <w:szCs w:val="21"/>
                      <w:lang w:eastAsia="zh-CN"/>
                    </w:rPr>
                  </w:pPr>
                  <w:r>
                    <w:rPr>
                      <w:rFonts w:hint="default" w:ascii="Times New Roman" w:hAnsi="Times New Roman" w:cs="Times New Roman" w:eastAsiaTheme="minorEastAsia"/>
                      <w:snapToGrid/>
                      <w:color w:val="auto"/>
                      <w:kern w:val="2"/>
                      <w:szCs w:val="21"/>
                      <w:lang w:eastAsia="zh-CN"/>
                    </w:rPr>
                    <w:t>蛙式打夯机</w:t>
                  </w:r>
                </w:p>
              </w:tc>
              <w:tc>
                <w:tcPr>
                  <w:tcW w:w="1945" w:type="pct"/>
                  <w:tcBorders>
                    <w:tl2br w:val="nil"/>
                    <w:tr2bl w:val="nil"/>
                  </w:tcBorders>
                  <w:noWrap w:val="0"/>
                  <w:vAlign w:val="center"/>
                </w:tcPr>
                <w:p w14:paraId="09311B6F">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90</w:t>
                  </w:r>
                </w:p>
              </w:tc>
            </w:tr>
            <w:tr w14:paraId="01A0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93" w:type="pct"/>
                  <w:tcBorders>
                    <w:tl2br w:val="nil"/>
                    <w:tr2bl w:val="nil"/>
                  </w:tcBorders>
                  <w:noWrap/>
                  <w:vAlign w:val="top"/>
                </w:tcPr>
                <w:p w14:paraId="2743CEA5">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val="0"/>
                      <w:color w:val="auto"/>
                      <w:sz w:val="21"/>
                    </w:rPr>
                  </w:pPr>
                  <w:r>
                    <w:rPr>
                      <w:rFonts w:hint="default" w:ascii="Times New Roman" w:hAnsi="Times New Roman" w:cs="Times New Roman" w:eastAsiaTheme="minorEastAsia"/>
                      <w:snapToGrid/>
                      <w:color w:val="auto"/>
                      <w:kern w:val="2"/>
                      <w:szCs w:val="21"/>
                      <w:lang w:eastAsia="zh-CN"/>
                    </w:rPr>
                    <w:t>3</w:t>
                  </w:r>
                </w:p>
              </w:tc>
              <w:tc>
                <w:tcPr>
                  <w:tcW w:w="2160" w:type="pct"/>
                  <w:tcBorders>
                    <w:tl2br w:val="nil"/>
                    <w:tr2bl w:val="nil"/>
                  </w:tcBorders>
                  <w:noWrap/>
                  <w:vAlign w:val="top"/>
                </w:tcPr>
                <w:p w14:paraId="20001811">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val="0"/>
                      <w:color w:val="auto"/>
                      <w:kern w:val="2"/>
                      <w:sz w:val="21"/>
                      <w:szCs w:val="21"/>
                      <w:lang w:val="en-US" w:eastAsia="zh-CN"/>
                    </w:rPr>
                  </w:pPr>
                  <w:r>
                    <w:rPr>
                      <w:rFonts w:hint="default" w:ascii="Times New Roman" w:hAnsi="Times New Roman" w:cs="Times New Roman" w:eastAsiaTheme="minorEastAsia"/>
                      <w:snapToGrid/>
                      <w:color w:val="auto"/>
                      <w:kern w:val="2"/>
                      <w:szCs w:val="21"/>
                      <w:lang w:eastAsia="zh-CN"/>
                    </w:rPr>
                    <w:t>履带式推土机</w:t>
                  </w:r>
                </w:p>
              </w:tc>
              <w:tc>
                <w:tcPr>
                  <w:tcW w:w="1945" w:type="pct"/>
                  <w:tcBorders>
                    <w:tl2br w:val="nil"/>
                    <w:tr2bl w:val="nil"/>
                  </w:tcBorders>
                  <w:noWrap w:val="0"/>
                  <w:vAlign w:val="center"/>
                </w:tcPr>
                <w:p w14:paraId="5288B25B">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88</w:t>
                  </w:r>
                </w:p>
              </w:tc>
            </w:tr>
            <w:tr w14:paraId="6BB92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93" w:type="pct"/>
                  <w:tcBorders>
                    <w:tl2br w:val="nil"/>
                    <w:tr2bl w:val="nil"/>
                  </w:tcBorders>
                  <w:noWrap/>
                  <w:vAlign w:val="top"/>
                </w:tcPr>
                <w:p w14:paraId="7B7A54D2">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val="0"/>
                      <w:color w:val="auto"/>
                      <w:sz w:val="21"/>
                    </w:rPr>
                  </w:pPr>
                  <w:r>
                    <w:rPr>
                      <w:rFonts w:hint="default" w:ascii="Times New Roman" w:hAnsi="Times New Roman" w:cs="Times New Roman" w:eastAsiaTheme="minorEastAsia"/>
                      <w:snapToGrid/>
                      <w:color w:val="auto"/>
                      <w:kern w:val="2"/>
                      <w:szCs w:val="21"/>
                      <w:lang w:eastAsia="zh-CN"/>
                    </w:rPr>
                    <w:t>4</w:t>
                  </w:r>
                </w:p>
              </w:tc>
              <w:tc>
                <w:tcPr>
                  <w:tcW w:w="2160" w:type="pct"/>
                  <w:tcBorders>
                    <w:tl2br w:val="nil"/>
                    <w:tr2bl w:val="nil"/>
                  </w:tcBorders>
                  <w:noWrap/>
                  <w:vAlign w:val="top"/>
                </w:tcPr>
                <w:p w14:paraId="43DBBACB">
                  <w:pPr>
                    <w:widowControl w:val="0"/>
                    <w:kinsoku/>
                    <w:autoSpaceDE/>
                    <w:autoSpaceDN/>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eastAsiaTheme="minorEastAsia"/>
                      <w:snapToGrid/>
                      <w:color w:val="auto"/>
                      <w:kern w:val="2"/>
                      <w:szCs w:val="21"/>
                      <w:lang w:eastAsia="zh-CN"/>
                    </w:rPr>
                    <w:t>混凝土搅拌机</w:t>
                  </w:r>
                </w:p>
              </w:tc>
              <w:tc>
                <w:tcPr>
                  <w:tcW w:w="1945" w:type="pct"/>
                  <w:tcBorders>
                    <w:tl2br w:val="nil"/>
                    <w:tr2bl w:val="nil"/>
                  </w:tcBorders>
                  <w:noWrap w:val="0"/>
                  <w:vAlign w:val="center"/>
                </w:tcPr>
                <w:p w14:paraId="23229538">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90</w:t>
                  </w:r>
                </w:p>
              </w:tc>
            </w:tr>
            <w:tr w14:paraId="5355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93" w:type="pct"/>
                  <w:tcBorders>
                    <w:tl2br w:val="nil"/>
                    <w:tr2bl w:val="nil"/>
                  </w:tcBorders>
                  <w:noWrap/>
                  <w:vAlign w:val="top"/>
                </w:tcPr>
                <w:p w14:paraId="63720975">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val="0"/>
                      <w:color w:val="auto"/>
                      <w:sz w:val="21"/>
                    </w:rPr>
                  </w:pPr>
                  <w:r>
                    <w:rPr>
                      <w:rFonts w:hint="default" w:ascii="Times New Roman" w:hAnsi="Times New Roman" w:cs="Times New Roman" w:eastAsiaTheme="minorEastAsia"/>
                      <w:snapToGrid/>
                      <w:color w:val="auto"/>
                      <w:kern w:val="2"/>
                      <w:szCs w:val="21"/>
                      <w:lang w:eastAsia="zh-CN"/>
                    </w:rPr>
                    <w:t>5</w:t>
                  </w:r>
                </w:p>
              </w:tc>
              <w:tc>
                <w:tcPr>
                  <w:tcW w:w="2160" w:type="pct"/>
                  <w:tcBorders>
                    <w:tl2br w:val="nil"/>
                    <w:tr2bl w:val="nil"/>
                  </w:tcBorders>
                  <w:noWrap/>
                  <w:vAlign w:val="top"/>
                </w:tcPr>
                <w:p w14:paraId="4AC384A4">
                  <w:pPr>
                    <w:widowControl w:val="0"/>
                    <w:kinsoku/>
                    <w:autoSpaceDE/>
                    <w:autoSpaceDN/>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snapToGrid/>
                      <w:color w:val="auto"/>
                      <w:kern w:val="2"/>
                      <w:szCs w:val="21"/>
                      <w:lang w:eastAsia="zh-CN"/>
                    </w:rPr>
                    <w:t>小型自卸汽车</w:t>
                  </w:r>
                </w:p>
              </w:tc>
              <w:tc>
                <w:tcPr>
                  <w:tcW w:w="1945" w:type="pct"/>
                  <w:tcBorders>
                    <w:tl2br w:val="nil"/>
                    <w:tr2bl w:val="nil"/>
                  </w:tcBorders>
                  <w:noWrap w:val="0"/>
                  <w:vAlign w:val="center"/>
                </w:tcPr>
                <w:p w14:paraId="5BC46C07">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80</w:t>
                  </w:r>
                </w:p>
              </w:tc>
            </w:tr>
            <w:tr w14:paraId="36E7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93" w:type="pct"/>
                  <w:tcBorders>
                    <w:tl2br w:val="nil"/>
                    <w:tr2bl w:val="nil"/>
                  </w:tcBorders>
                  <w:noWrap/>
                  <w:vAlign w:val="top"/>
                </w:tcPr>
                <w:p w14:paraId="4BFE1717">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val="0"/>
                      <w:color w:val="auto"/>
                      <w:sz w:val="21"/>
                    </w:rPr>
                  </w:pPr>
                  <w:r>
                    <w:rPr>
                      <w:rFonts w:hint="default" w:ascii="Times New Roman" w:hAnsi="Times New Roman" w:cs="Times New Roman" w:eastAsiaTheme="minorEastAsia"/>
                      <w:snapToGrid/>
                      <w:color w:val="auto"/>
                      <w:kern w:val="2"/>
                      <w:szCs w:val="21"/>
                      <w:lang w:eastAsia="zh-CN"/>
                    </w:rPr>
                    <w:t>6</w:t>
                  </w:r>
                </w:p>
              </w:tc>
              <w:tc>
                <w:tcPr>
                  <w:tcW w:w="2160" w:type="pct"/>
                  <w:tcBorders>
                    <w:tl2br w:val="nil"/>
                    <w:tr2bl w:val="nil"/>
                  </w:tcBorders>
                  <w:noWrap/>
                  <w:vAlign w:val="top"/>
                </w:tcPr>
                <w:p w14:paraId="5B64A0E3">
                  <w:pPr>
                    <w:widowControl w:val="0"/>
                    <w:kinsoku/>
                    <w:autoSpaceDE/>
                    <w:autoSpaceDN/>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eastAsiaTheme="minorEastAsia"/>
                      <w:snapToGrid/>
                      <w:color w:val="auto"/>
                      <w:kern w:val="2"/>
                      <w:szCs w:val="21"/>
                      <w:lang w:eastAsia="zh-CN"/>
                    </w:rPr>
                    <w:t>提升机</w:t>
                  </w:r>
                </w:p>
              </w:tc>
              <w:tc>
                <w:tcPr>
                  <w:tcW w:w="1945" w:type="pct"/>
                  <w:tcBorders>
                    <w:tl2br w:val="nil"/>
                    <w:tr2bl w:val="nil"/>
                  </w:tcBorders>
                  <w:noWrap w:val="0"/>
                  <w:vAlign w:val="center"/>
                </w:tcPr>
                <w:p w14:paraId="4078E452">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80</w:t>
                  </w:r>
                </w:p>
              </w:tc>
            </w:tr>
            <w:tr w14:paraId="3733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93" w:type="pct"/>
                  <w:tcBorders>
                    <w:tl2br w:val="nil"/>
                    <w:tr2bl w:val="nil"/>
                  </w:tcBorders>
                  <w:noWrap/>
                  <w:vAlign w:val="top"/>
                </w:tcPr>
                <w:p w14:paraId="6594676E">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val="0"/>
                      <w:color w:val="auto"/>
                      <w:sz w:val="21"/>
                    </w:rPr>
                  </w:pPr>
                  <w:r>
                    <w:rPr>
                      <w:rFonts w:hint="default" w:ascii="Times New Roman" w:hAnsi="Times New Roman" w:cs="Times New Roman" w:eastAsiaTheme="minorEastAsia"/>
                      <w:snapToGrid/>
                      <w:color w:val="auto"/>
                      <w:kern w:val="2"/>
                      <w:szCs w:val="21"/>
                      <w:lang w:eastAsia="zh-CN"/>
                    </w:rPr>
                    <w:t>7</w:t>
                  </w:r>
                </w:p>
              </w:tc>
              <w:tc>
                <w:tcPr>
                  <w:tcW w:w="2160" w:type="pct"/>
                  <w:tcBorders>
                    <w:tl2br w:val="nil"/>
                    <w:tr2bl w:val="nil"/>
                  </w:tcBorders>
                  <w:noWrap/>
                  <w:vAlign w:val="top"/>
                </w:tcPr>
                <w:p w14:paraId="05B254F6">
                  <w:pPr>
                    <w:widowControl w:val="0"/>
                    <w:kinsoku/>
                    <w:autoSpaceDE/>
                    <w:autoSpaceDN/>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eastAsiaTheme="minorEastAsia"/>
                      <w:snapToGrid/>
                      <w:color w:val="auto"/>
                      <w:kern w:val="2"/>
                      <w:szCs w:val="21"/>
                      <w:lang w:eastAsia="zh-CN"/>
                    </w:rPr>
                    <w:t>压路机</w:t>
                  </w:r>
                </w:p>
              </w:tc>
              <w:tc>
                <w:tcPr>
                  <w:tcW w:w="1945" w:type="pct"/>
                  <w:tcBorders>
                    <w:tl2br w:val="nil"/>
                    <w:tr2bl w:val="nil"/>
                  </w:tcBorders>
                  <w:noWrap w:val="0"/>
                  <w:vAlign w:val="center"/>
                </w:tcPr>
                <w:p w14:paraId="3F07E4F7">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80</w:t>
                  </w:r>
                </w:p>
              </w:tc>
            </w:tr>
            <w:tr w14:paraId="69786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93" w:type="pct"/>
                  <w:tcBorders>
                    <w:tl2br w:val="nil"/>
                    <w:tr2bl w:val="nil"/>
                  </w:tcBorders>
                  <w:noWrap/>
                  <w:vAlign w:val="top"/>
                </w:tcPr>
                <w:p w14:paraId="1513F8A1">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val="0"/>
                      <w:color w:val="auto"/>
                      <w:sz w:val="21"/>
                    </w:rPr>
                  </w:pPr>
                  <w:r>
                    <w:rPr>
                      <w:rFonts w:hint="default" w:ascii="Times New Roman" w:hAnsi="Times New Roman" w:cs="Times New Roman" w:eastAsiaTheme="minorEastAsia"/>
                      <w:snapToGrid/>
                      <w:color w:val="auto"/>
                      <w:kern w:val="2"/>
                      <w:szCs w:val="21"/>
                      <w:lang w:eastAsia="zh-CN"/>
                    </w:rPr>
                    <w:t>8</w:t>
                  </w:r>
                </w:p>
              </w:tc>
              <w:tc>
                <w:tcPr>
                  <w:tcW w:w="2160" w:type="pct"/>
                  <w:tcBorders>
                    <w:tl2br w:val="nil"/>
                    <w:tr2bl w:val="nil"/>
                  </w:tcBorders>
                  <w:noWrap/>
                  <w:vAlign w:val="top"/>
                </w:tcPr>
                <w:p w14:paraId="16FD0447">
                  <w:pPr>
                    <w:widowControl w:val="0"/>
                    <w:kinsoku/>
                    <w:autoSpaceDE/>
                    <w:autoSpaceDN/>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eastAsiaTheme="minorEastAsia"/>
                      <w:snapToGrid/>
                      <w:color w:val="auto"/>
                      <w:kern w:val="2"/>
                      <w:szCs w:val="21"/>
                      <w:lang w:eastAsia="zh-CN"/>
                    </w:rPr>
                    <w:t>钢筋调直机</w:t>
                  </w:r>
                </w:p>
              </w:tc>
              <w:tc>
                <w:tcPr>
                  <w:tcW w:w="1945" w:type="pct"/>
                  <w:tcBorders>
                    <w:tl2br w:val="nil"/>
                    <w:tr2bl w:val="nil"/>
                  </w:tcBorders>
                  <w:noWrap w:val="0"/>
                  <w:vAlign w:val="center"/>
                </w:tcPr>
                <w:p w14:paraId="2008E65C">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90</w:t>
                  </w:r>
                </w:p>
              </w:tc>
            </w:tr>
            <w:tr w14:paraId="1C50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93" w:type="pct"/>
                  <w:tcBorders>
                    <w:tl2br w:val="nil"/>
                    <w:tr2bl w:val="nil"/>
                  </w:tcBorders>
                  <w:noWrap/>
                  <w:vAlign w:val="top"/>
                </w:tcPr>
                <w:p w14:paraId="2DFD6E16">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val="0"/>
                      <w:color w:val="auto"/>
                      <w:sz w:val="21"/>
                    </w:rPr>
                  </w:pPr>
                  <w:r>
                    <w:rPr>
                      <w:rFonts w:hint="default" w:ascii="Times New Roman" w:hAnsi="Times New Roman" w:cs="Times New Roman" w:eastAsiaTheme="minorEastAsia"/>
                      <w:snapToGrid/>
                      <w:color w:val="auto"/>
                      <w:kern w:val="2"/>
                      <w:szCs w:val="21"/>
                      <w:lang w:eastAsia="zh-CN"/>
                    </w:rPr>
                    <w:t>9</w:t>
                  </w:r>
                </w:p>
              </w:tc>
              <w:tc>
                <w:tcPr>
                  <w:tcW w:w="2160" w:type="pct"/>
                  <w:tcBorders>
                    <w:tl2br w:val="nil"/>
                    <w:tr2bl w:val="nil"/>
                  </w:tcBorders>
                  <w:noWrap/>
                  <w:vAlign w:val="top"/>
                </w:tcPr>
                <w:p w14:paraId="7B0C1ECA">
                  <w:pPr>
                    <w:widowControl w:val="0"/>
                    <w:kinsoku/>
                    <w:autoSpaceDE/>
                    <w:autoSpaceDN/>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eastAsiaTheme="minorEastAsia"/>
                      <w:snapToGrid/>
                      <w:color w:val="auto"/>
                      <w:kern w:val="2"/>
                      <w:szCs w:val="21"/>
                      <w:lang w:eastAsia="zh-CN"/>
                    </w:rPr>
                    <w:t>钢筋切断机</w:t>
                  </w:r>
                </w:p>
              </w:tc>
              <w:tc>
                <w:tcPr>
                  <w:tcW w:w="1945" w:type="pct"/>
                  <w:tcBorders>
                    <w:tl2br w:val="nil"/>
                    <w:tr2bl w:val="nil"/>
                  </w:tcBorders>
                  <w:noWrap w:val="0"/>
                  <w:vAlign w:val="center"/>
                </w:tcPr>
                <w:p w14:paraId="7B17DF35">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90</w:t>
                  </w:r>
                </w:p>
              </w:tc>
            </w:tr>
            <w:tr w14:paraId="6CAB1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93" w:type="pct"/>
                  <w:tcBorders>
                    <w:tl2br w:val="nil"/>
                    <w:tr2bl w:val="nil"/>
                  </w:tcBorders>
                  <w:noWrap/>
                  <w:vAlign w:val="top"/>
                </w:tcPr>
                <w:p w14:paraId="32B27DD6">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val="0"/>
                      <w:color w:val="auto"/>
                      <w:sz w:val="21"/>
                    </w:rPr>
                  </w:pPr>
                  <w:r>
                    <w:rPr>
                      <w:rFonts w:hint="default" w:ascii="Times New Roman" w:hAnsi="Times New Roman" w:cs="Times New Roman" w:eastAsiaTheme="minorEastAsia"/>
                      <w:snapToGrid/>
                      <w:color w:val="auto"/>
                      <w:kern w:val="2"/>
                      <w:szCs w:val="21"/>
                      <w:lang w:eastAsia="zh-CN"/>
                    </w:rPr>
                    <w:t>10</w:t>
                  </w:r>
                </w:p>
              </w:tc>
              <w:tc>
                <w:tcPr>
                  <w:tcW w:w="2160" w:type="pct"/>
                  <w:tcBorders>
                    <w:tl2br w:val="nil"/>
                    <w:tr2bl w:val="nil"/>
                  </w:tcBorders>
                  <w:noWrap/>
                  <w:vAlign w:val="top"/>
                </w:tcPr>
                <w:p w14:paraId="5C17EA1F">
                  <w:pPr>
                    <w:widowControl w:val="0"/>
                    <w:kinsoku/>
                    <w:autoSpaceDE/>
                    <w:autoSpaceDN/>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eastAsiaTheme="minorEastAsia"/>
                      <w:snapToGrid/>
                      <w:color w:val="auto"/>
                      <w:kern w:val="2"/>
                      <w:szCs w:val="21"/>
                      <w:lang w:eastAsia="zh-CN"/>
                    </w:rPr>
                    <w:t>钢筋弯曲机</w:t>
                  </w:r>
                </w:p>
              </w:tc>
              <w:tc>
                <w:tcPr>
                  <w:tcW w:w="1945" w:type="pct"/>
                  <w:tcBorders>
                    <w:tl2br w:val="nil"/>
                    <w:tr2bl w:val="nil"/>
                  </w:tcBorders>
                  <w:noWrap w:val="0"/>
                  <w:vAlign w:val="center"/>
                </w:tcPr>
                <w:p w14:paraId="7179434F">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90</w:t>
                  </w:r>
                </w:p>
              </w:tc>
            </w:tr>
            <w:tr w14:paraId="4086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93" w:type="pct"/>
                  <w:tcBorders>
                    <w:tl2br w:val="nil"/>
                    <w:tr2bl w:val="nil"/>
                  </w:tcBorders>
                  <w:noWrap/>
                  <w:vAlign w:val="top"/>
                </w:tcPr>
                <w:p w14:paraId="5AC054F7">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val="0"/>
                      <w:color w:val="auto"/>
                      <w:sz w:val="21"/>
                    </w:rPr>
                  </w:pPr>
                  <w:r>
                    <w:rPr>
                      <w:rFonts w:hint="default" w:ascii="Times New Roman" w:hAnsi="Times New Roman" w:cs="Times New Roman" w:eastAsiaTheme="minorEastAsia"/>
                      <w:snapToGrid/>
                      <w:color w:val="auto"/>
                      <w:kern w:val="2"/>
                      <w:szCs w:val="21"/>
                      <w:lang w:eastAsia="zh-CN"/>
                    </w:rPr>
                    <w:t>11</w:t>
                  </w:r>
                </w:p>
              </w:tc>
              <w:tc>
                <w:tcPr>
                  <w:tcW w:w="2160" w:type="pct"/>
                  <w:tcBorders>
                    <w:tl2br w:val="nil"/>
                    <w:tr2bl w:val="nil"/>
                  </w:tcBorders>
                  <w:noWrap/>
                  <w:vAlign w:val="top"/>
                </w:tcPr>
                <w:p w14:paraId="1F85B065">
                  <w:pPr>
                    <w:widowControl w:val="0"/>
                    <w:kinsoku/>
                    <w:autoSpaceDE/>
                    <w:autoSpaceDN/>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eastAsiaTheme="minorEastAsia"/>
                      <w:snapToGrid/>
                      <w:color w:val="auto"/>
                      <w:kern w:val="2"/>
                      <w:szCs w:val="21"/>
                      <w:lang w:eastAsia="zh-CN"/>
                    </w:rPr>
                    <w:t>钢筋电渣焊机</w:t>
                  </w:r>
                </w:p>
              </w:tc>
              <w:tc>
                <w:tcPr>
                  <w:tcW w:w="1945" w:type="pct"/>
                  <w:tcBorders>
                    <w:tl2br w:val="nil"/>
                    <w:tr2bl w:val="nil"/>
                  </w:tcBorders>
                  <w:noWrap w:val="0"/>
                  <w:vAlign w:val="center"/>
                </w:tcPr>
                <w:p w14:paraId="75313C6A">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90</w:t>
                  </w:r>
                </w:p>
              </w:tc>
            </w:tr>
            <w:tr w14:paraId="1E208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93" w:type="pct"/>
                  <w:tcBorders>
                    <w:tl2br w:val="nil"/>
                    <w:tr2bl w:val="nil"/>
                  </w:tcBorders>
                  <w:noWrap/>
                  <w:vAlign w:val="top"/>
                </w:tcPr>
                <w:p w14:paraId="29AC5A36">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val="0"/>
                      <w:color w:val="auto"/>
                      <w:sz w:val="21"/>
                    </w:rPr>
                  </w:pPr>
                  <w:r>
                    <w:rPr>
                      <w:rFonts w:hint="default" w:ascii="Times New Roman" w:hAnsi="Times New Roman" w:cs="Times New Roman" w:eastAsiaTheme="minorEastAsia"/>
                      <w:snapToGrid/>
                      <w:color w:val="auto"/>
                      <w:kern w:val="2"/>
                      <w:szCs w:val="21"/>
                      <w:lang w:eastAsia="zh-CN"/>
                    </w:rPr>
                    <w:t>12</w:t>
                  </w:r>
                </w:p>
              </w:tc>
              <w:tc>
                <w:tcPr>
                  <w:tcW w:w="2160" w:type="pct"/>
                  <w:tcBorders>
                    <w:tl2br w:val="nil"/>
                    <w:tr2bl w:val="nil"/>
                  </w:tcBorders>
                  <w:noWrap/>
                  <w:vAlign w:val="top"/>
                </w:tcPr>
                <w:p w14:paraId="29E5B8A4">
                  <w:pPr>
                    <w:widowControl w:val="0"/>
                    <w:kinsoku/>
                    <w:autoSpaceDE/>
                    <w:autoSpaceDN/>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eastAsiaTheme="minorEastAsia"/>
                      <w:snapToGrid/>
                      <w:color w:val="auto"/>
                      <w:kern w:val="2"/>
                      <w:szCs w:val="21"/>
                      <w:lang w:eastAsia="zh-CN"/>
                    </w:rPr>
                    <w:t>钢筋对焊机</w:t>
                  </w:r>
                </w:p>
              </w:tc>
              <w:tc>
                <w:tcPr>
                  <w:tcW w:w="1945" w:type="pct"/>
                  <w:tcBorders>
                    <w:tl2br w:val="nil"/>
                    <w:tr2bl w:val="nil"/>
                  </w:tcBorders>
                  <w:noWrap w:val="0"/>
                  <w:vAlign w:val="center"/>
                </w:tcPr>
                <w:p w14:paraId="46F1CBEF">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90</w:t>
                  </w:r>
                </w:p>
              </w:tc>
            </w:tr>
            <w:tr w14:paraId="41F4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93" w:type="pct"/>
                  <w:tcBorders>
                    <w:tl2br w:val="nil"/>
                    <w:tr2bl w:val="nil"/>
                  </w:tcBorders>
                  <w:noWrap/>
                  <w:vAlign w:val="top"/>
                </w:tcPr>
                <w:p w14:paraId="4D1C4894">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val="0"/>
                      <w:color w:val="auto"/>
                      <w:sz w:val="21"/>
                    </w:rPr>
                  </w:pPr>
                  <w:r>
                    <w:rPr>
                      <w:rFonts w:hint="default" w:ascii="Times New Roman" w:hAnsi="Times New Roman" w:cs="Times New Roman" w:eastAsiaTheme="minorEastAsia"/>
                      <w:snapToGrid/>
                      <w:color w:val="auto"/>
                      <w:kern w:val="2"/>
                      <w:szCs w:val="21"/>
                      <w:lang w:eastAsia="zh-CN"/>
                    </w:rPr>
                    <w:t>13</w:t>
                  </w:r>
                </w:p>
              </w:tc>
              <w:tc>
                <w:tcPr>
                  <w:tcW w:w="2160" w:type="pct"/>
                  <w:tcBorders>
                    <w:tl2br w:val="nil"/>
                    <w:tr2bl w:val="nil"/>
                  </w:tcBorders>
                  <w:noWrap/>
                  <w:vAlign w:val="top"/>
                </w:tcPr>
                <w:p w14:paraId="211E2750">
                  <w:pPr>
                    <w:widowControl w:val="0"/>
                    <w:kinsoku/>
                    <w:autoSpaceDE/>
                    <w:autoSpaceDN/>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eastAsiaTheme="minorEastAsia"/>
                      <w:snapToGrid/>
                      <w:color w:val="auto"/>
                      <w:kern w:val="2"/>
                      <w:szCs w:val="21"/>
                      <w:lang w:eastAsia="zh-CN"/>
                    </w:rPr>
                    <w:t>电焊机</w:t>
                  </w:r>
                </w:p>
              </w:tc>
              <w:tc>
                <w:tcPr>
                  <w:tcW w:w="1945" w:type="pct"/>
                  <w:tcBorders>
                    <w:tl2br w:val="nil"/>
                    <w:tr2bl w:val="nil"/>
                  </w:tcBorders>
                  <w:noWrap w:val="0"/>
                  <w:vAlign w:val="center"/>
                </w:tcPr>
                <w:p w14:paraId="33489B9B">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90</w:t>
                  </w:r>
                </w:p>
              </w:tc>
            </w:tr>
            <w:tr w14:paraId="2420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93" w:type="pct"/>
                  <w:tcBorders>
                    <w:tl2br w:val="nil"/>
                    <w:tr2bl w:val="nil"/>
                  </w:tcBorders>
                  <w:noWrap/>
                  <w:vAlign w:val="top"/>
                </w:tcPr>
                <w:p w14:paraId="3C225E48">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val="0"/>
                      <w:color w:val="auto"/>
                      <w:sz w:val="21"/>
                    </w:rPr>
                  </w:pPr>
                  <w:r>
                    <w:rPr>
                      <w:rFonts w:hint="default" w:ascii="Times New Roman" w:hAnsi="Times New Roman" w:cs="Times New Roman" w:eastAsiaTheme="minorEastAsia"/>
                      <w:snapToGrid/>
                      <w:color w:val="auto"/>
                      <w:kern w:val="2"/>
                      <w:szCs w:val="21"/>
                      <w:lang w:eastAsia="zh-CN"/>
                    </w:rPr>
                    <w:t>14</w:t>
                  </w:r>
                </w:p>
              </w:tc>
              <w:tc>
                <w:tcPr>
                  <w:tcW w:w="2160" w:type="pct"/>
                  <w:tcBorders>
                    <w:tl2br w:val="nil"/>
                    <w:tr2bl w:val="nil"/>
                  </w:tcBorders>
                  <w:noWrap/>
                  <w:vAlign w:val="top"/>
                </w:tcPr>
                <w:p w14:paraId="1AFA86C3">
                  <w:pPr>
                    <w:widowControl w:val="0"/>
                    <w:kinsoku/>
                    <w:autoSpaceDE/>
                    <w:autoSpaceDN/>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eastAsiaTheme="minorEastAsia"/>
                      <w:snapToGrid/>
                      <w:color w:val="auto"/>
                      <w:kern w:val="2"/>
                      <w:szCs w:val="21"/>
                      <w:lang w:eastAsia="zh-CN"/>
                    </w:rPr>
                    <w:t>反铲挖掘机</w:t>
                  </w:r>
                </w:p>
              </w:tc>
              <w:tc>
                <w:tcPr>
                  <w:tcW w:w="1945" w:type="pct"/>
                  <w:tcBorders>
                    <w:tl2br w:val="nil"/>
                    <w:tr2bl w:val="nil"/>
                  </w:tcBorders>
                  <w:noWrap w:val="0"/>
                  <w:vAlign w:val="center"/>
                </w:tcPr>
                <w:p w14:paraId="4C664914">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85</w:t>
                  </w:r>
                </w:p>
              </w:tc>
            </w:tr>
            <w:tr w14:paraId="1ACD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93" w:type="pct"/>
                  <w:tcBorders>
                    <w:tl2br w:val="nil"/>
                    <w:tr2bl w:val="nil"/>
                  </w:tcBorders>
                  <w:noWrap/>
                  <w:vAlign w:val="top"/>
                </w:tcPr>
                <w:p w14:paraId="4C58A21A">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val="0"/>
                      <w:color w:val="auto"/>
                      <w:sz w:val="21"/>
                    </w:rPr>
                  </w:pPr>
                  <w:r>
                    <w:rPr>
                      <w:rFonts w:hint="default" w:ascii="Times New Roman" w:hAnsi="Times New Roman" w:cs="Times New Roman" w:eastAsiaTheme="minorEastAsia"/>
                      <w:snapToGrid/>
                      <w:color w:val="auto"/>
                      <w:kern w:val="2"/>
                      <w:szCs w:val="21"/>
                      <w:lang w:eastAsia="zh-CN"/>
                    </w:rPr>
                    <w:t>15</w:t>
                  </w:r>
                </w:p>
              </w:tc>
              <w:tc>
                <w:tcPr>
                  <w:tcW w:w="2160" w:type="pct"/>
                  <w:tcBorders>
                    <w:tl2br w:val="nil"/>
                    <w:tr2bl w:val="nil"/>
                  </w:tcBorders>
                  <w:noWrap/>
                  <w:vAlign w:val="top"/>
                </w:tcPr>
                <w:p w14:paraId="4BC92BE3">
                  <w:pPr>
                    <w:widowControl w:val="0"/>
                    <w:kinsoku/>
                    <w:autoSpaceDE/>
                    <w:autoSpaceDN/>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eastAsiaTheme="minorEastAsia"/>
                      <w:snapToGrid/>
                      <w:color w:val="auto"/>
                      <w:kern w:val="2"/>
                      <w:szCs w:val="21"/>
                      <w:lang w:eastAsia="zh-CN"/>
                    </w:rPr>
                    <w:t>插入式振捣器</w:t>
                  </w:r>
                </w:p>
              </w:tc>
              <w:tc>
                <w:tcPr>
                  <w:tcW w:w="1945" w:type="pct"/>
                  <w:tcBorders>
                    <w:tl2br w:val="nil"/>
                    <w:tr2bl w:val="nil"/>
                  </w:tcBorders>
                  <w:noWrap w:val="0"/>
                  <w:vAlign w:val="center"/>
                </w:tcPr>
                <w:p w14:paraId="4FEE283B">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90</w:t>
                  </w:r>
                </w:p>
              </w:tc>
            </w:tr>
            <w:tr w14:paraId="50638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93" w:type="pct"/>
                  <w:tcBorders>
                    <w:tl2br w:val="nil"/>
                    <w:tr2bl w:val="nil"/>
                  </w:tcBorders>
                  <w:noWrap/>
                  <w:vAlign w:val="top"/>
                </w:tcPr>
                <w:p w14:paraId="2EC588CB">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val="0"/>
                      <w:color w:val="auto"/>
                      <w:sz w:val="21"/>
                    </w:rPr>
                  </w:pPr>
                  <w:r>
                    <w:rPr>
                      <w:rFonts w:hint="default" w:ascii="Times New Roman" w:hAnsi="Times New Roman" w:cs="Times New Roman" w:eastAsiaTheme="minorEastAsia"/>
                      <w:snapToGrid/>
                      <w:color w:val="auto"/>
                      <w:kern w:val="2"/>
                      <w:szCs w:val="21"/>
                      <w:lang w:eastAsia="zh-CN"/>
                    </w:rPr>
                    <w:t>16</w:t>
                  </w:r>
                </w:p>
              </w:tc>
              <w:tc>
                <w:tcPr>
                  <w:tcW w:w="2160" w:type="pct"/>
                  <w:tcBorders>
                    <w:tl2br w:val="nil"/>
                    <w:tr2bl w:val="nil"/>
                  </w:tcBorders>
                  <w:noWrap/>
                  <w:vAlign w:val="top"/>
                </w:tcPr>
                <w:p w14:paraId="4F5D1521">
                  <w:pPr>
                    <w:widowControl w:val="0"/>
                    <w:kinsoku/>
                    <w:autoSpaceDE/>
                    <w:autoSpaceDN/>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eastAsiaTheme="minorEastAsia"/>
                      <w:snapToGrid/>
                      <w:color w:val="auto"/>
                      <w:kern w:val="2"/>
                      <w:szCs w:val="21"/>
                      <w:lang w:eastAsia="zh-CN"/>
                    </w:rPr>
                    <w:t>柴油发动机</w:t>
                  </w:r>
                </w:p>
              </w:tc>
              <w:tc>
                <w:tcPr>
                  <w:tcW w:w="1945" w:type="pct"/>
                  <w:tcBorders>
                    <w:tl2br w:val="nil"/>
                    <w:tr2bl w:val="nil"/>
                  </w:tcBorders>
                  <w:noWrap w:val="0"/>
                  <w:vAlign w:val="center"/>
                </w:tcPr>
                <w:p w14:paraId="61B9069B">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95</w:t>
                  </w:r>
                </w:p>
              </w:tc>
            </w:tr>
            <w:tr w14:paraId="18497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93" w:type="pct"/>
                  <w:tcBorders>
                    <w:tl2br w:val="nil"/>
                    <w:tr2bl w:val="nil"/>
                  </w:tcBorders>
                  <w:noWrap/>
                  <w:vAlign w:val="top"/>
                </w:tcPr>
                <w:p w14:paraId="09953881">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val="0"/>
                      <w:color w:val="auto"/>
                      <w:sz w:val="21"/>
                    </w:rPr>
                  </w:pPr>
                  <w:r>
                    <w:rPr>
                      <w:rFonts w:hint="default" w:ascii="Times New Roman" w:hAnsi="Times New Roman" w:cs="Times New Roman" w:eastAsiaTheme="minorEastAsia"/>
                      <w:snapToGrid/>
                      <w:color w:val="auto"/>
                      <w:kern w:val="2"/>
                      <w:szCs w:val="21"/>
                      <w:lang w:eastAsia="zh-CN"/>
                    </w:rPr>
                    <w:t>17</w:t>
                  </w:r>
                </w:p>
              </w:tc>
              <w:tc>
                <w:tcPr>
                  <w:tcW w:w="2160" w:type="pct"/>
                  <w:tcBorders>
                    <w:tl2br w:val="nil"/>
                    <w:tr2bl w:val="nil"/>
                  </w:tcBorders>
                  <w:noWrap/>
                  <w:vAlign w:val="top"/>
                </w:tcPr>
                <w:p w14:paraId="1D3339EF">
                  <w:pPr>
                    <w:widowControl w:val="0"/>
                    <w:kinsoku/>
                    <w:autoSpaceDE/>
                    <w:autoSpaceDN/>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eastAsiaTheme="minorEastAsia"/>
                      <w:snapToGrid/>
                      <w:color w:val="auto"/>
                      <w:kern w:val="2"/>
                      <w:szCs w:val="21"/>
                      <w:lang w:eastAsia="zh-CN"/>
                    </w:rPr>
                    <w:t>打孔机</w:t>
                  </w:r>
                </w:p>
              </w:tc>
              <w:tc>
                <w:tcPr>
                  <w:tcW w:w="1945" w:type="pct"/>
                  <w:tcBorders>
                    <w:tl2br w:val="nil"/>
                    <w:tr2bl w:val="nil"/>
                  </w:tcBorders>
                  <w:noWrap w:val="0"/>
                  <w:vAlign w:val="center"/>
                </w:tcPr>
                <w:p w14:paraId="1B811403">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90</w:t>
                  </w:r>
                </w:p>
              </w:tc>
            </w:tr>
          </w:tbl>
          <w:p w14:paraId="630500F5">
            <w:pPr>
              <w:spacing w:line="360" w:lineRule="auto"/>
              <w:ind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⑵影响预测</w:t>
            </w:r>
          </w:p>
          <w:p w14:paraId="1477F78A">
            <w:pPr>
              <w:spacing w:line="360" w:lineRule="auto"/>
              <w:ind w:firstLine="480" w:firstLineChars="200"/>
              <w:rPr>
                <w:rFonts w:hint="default" w:ascii="Times New Roman" w:hAnsi="Times New Roman" w:cs="Times New Roman"/>
                <w:color w:val="auto"/>
                <w:sz w:val="24"/>
                <w:szCs w:val="32"/>
              </w:rPr>
            </w:pPr>
            <w:r>
              <w:rPr>
                <w:rFonts w:hint="default" w:ascii="Times New Roman" w:hAnsi="Times New Roman" w:cs="Times New Roman"/>
                <w:color w:val="auto"/>
                <w:sz w:val="24"/>
                <w:szCs w:val="32"/>
              </w:rPr>
              <w:t>施工期声环境影响预测计算公式如下：</w:t>
            </w:r>
          </w:p>
          <w:p w14:paraId="3A935129">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Lp(r)=Lp(r</w:t>
            </w:r>
            <w:r>
              <w:rPr>
                <w:rFonts w:hint="default" w:ascii="Times New Roman" w:hAnsi="Times New Roman" w:eastAsia="宋体" w:cs="Times New Roman"/>
                <w:color w:val="auto"/>
                <w:kern w:val="2"/>
                <w:sz w:val="24"/>
                <w:szCs w:val="24"/>
                <w:vertAlign w:val="subscript"/>
                <w:lang w:val="en-US" w:eastAsia="zh-CN" w:bidi="ar-SA"/>
              </w:rPr>
              <w:t>0</w:t>
            </w:r>
            <w:r>
              <w:rPr>
                <w:rFonts w:hint="default" w:ascii="Times New Roman" w:hAnsi="Times New Roman" w:eastAsia="宋体" w:cs="Times New Roman"/>
                <w:color w:val="auto"/>
                <w:kern w:val="2"/>
                <w:sz w:val="24"/>
                <w:szCs w:val="24"/>
                <w:lang w:val="en-US" w:eastAsia="zh-CN" w:bidi="ar-SA"/>
              </w:rPr>
              <w:t>)-20lg（r/r</w:t>
            </w:r>
            <w:r>
              <w:rPr>
                <w:rFonts w:hint="default" w:ascii="Times New Roman" w:hAnsi="Times New Roman" w:eastAsia="宋体" w:cs="Times New Roman"/>
                <w:color w:val="auto"/>
                <w:kern w:val="2"/>
                <w:sz w:val="24"/>
                <w:szCs w:val="24"/>
                <w:vertAlign w:val="subscript"/>
                <w:lang w:val="en-US" w:eastAsia="zh-CN" w:bidi="ar-SA"/>
              </w:rPr>
              <w:t>0</w:t>
            </w:r>
            <w:r>
              <w:rPr>
                <w:rFonts w:hint="default" w:ascii="Times New Roman" w:hAnsi="Times New Roman" w:eastAsia="宋体" w:cs="Times New Roman"/>
                <w:color w:val="auto"/>
                <w:kern w:val="2"/>
                <w:sz w:val="24"/>
                <w:szCs w:val="24"/>
                <w:lang w:val="en-US" w:eastAsia="zh-CN" w:bidi="ar-SA"/>
              </w:rPr>
              <w:t>）</w:t>
            </w:r>
          </w:p>
          <w:p w14:paraId="1C30A1D9">
            <w:pPr>
              <w:spacing w:line="360" w:lineRule="auto"/>
              <w:ind w:firstLine="480" w:firstLineChars="200"/>
              <w:rPr>
                <w:rFonts w:hint="default" w:ascii="Times New Roman" w:hAnsi="Times New Roman" w:cs="Times New Roman"/>
                <w:color w:val="auto"/>
                <w:sz w:val="24"/>
                <w:szCs w:val="32"/>
              </w:rPr>
            </w:pPr>
            <w:r>
              <w:rPr>
                <w:rFonts w:hint="default" w:ascii="Times New Roman" w:hAnsi="Times New Roman" w:cs="Times New Roman"/>
                <w:color w:val="auto"/>
                <w:sz w:val="24"/>
                <w:szCs w:val="32"/>
              </w:rPr>
              <w:t>式中：Lp(r)—预测点处声压级，dB；</w:t>
            </w:r>
          </w:p>
          <w:p w14:paraId="2A00F0DC">
            <w:pPr>
              <w:spacing w:line="360" w:lineRule="auto"/>
              <w:ind w:firstLine="480" w:firstLineChars="200"/>
              <w:rPr>
                <w:rFonts w:hint="default" w:ascii="Times New Roman" w:hAnsi="Times New Roman" w:cs="Times New Roman"/>
                <w:color w:val="auto"/>
                <w:sz w:val="24"/>
                <w:szCs w:val="32"/>
              </w:rPr>
            </w:pPr>
            <w:r>
              <w:rPr>
                <w:rFonts w:hint="default" w:ascii="Times New Roman" w:hAnsi="Times New Roman" w:cs="Times New Roman"/>
                <w:color w:val="auto"/>
                <w:sz w:val="24"/>
                <w:szCs w:val="32"/>
              </w:rPr>
              <w:t>Lp(r</w:t>
            </w:r>
            <w:r>
              <w:rPr>
                <w:rFonts w:hint="default" w:ascii="Times New Roman" w:hAnsi="Times New Roman" w:cs="Times New Roman"/>
                <w:color w:val="auto"/>
                <w:sz w:val="24"/>
                <w:szCs w:val="32"/>
                <w:vertAlign w:val="subscript"/>
              </w:rPr>
              <w:t>0</w:t>
            </w:r>
            <w:r>
              <w:rPr>
                <w:rFonts w:hint="default" w:ascii="Times New Roman" w:hAnsi="Times New Roman" w:cs="Times New Roman"/>
                <w:color w:val="auto"/>
                <w:sz w:val="24"/>
                <w:szCs w:val="32"/>
              </w:rPr>
              <w:t>)—参考位置r</w:t>
            </w:r>
            <w:r>
              <w:rPr>
                <w:rFonts w:hint="default" w:ascii="Times New Roman" w:hAnsi="Times New Roman" w:cs="Times New Roman"/>
                <w:color w:val="auto"/>
                <w:sz w:val="24"/>
                <w:szCs w:val="32"/>
                <w:vertAlign w:val="subscript"/>
              </w:rPr>
              <w:t>0</w:t>
            </w:r>
            <w:r>
              <w:rPr>
                <w:rFonts w:hint="default" w:ascii="Times New Roman" w:hAnsi="Times New Roman" w:cs="Times New Roman"/>
                <w:color w:val="auto"/>
                <w:sz w:val="24"/>
                <w:szCs w:val="32"/>
              </w:rPr>
              <w:t>处的声压级，dB；</w:t>
            </w:r>
          </w:p>
          <w:p w14:paraId="54058EC8">
            <w:pPr>
              <w:spacing w:line="360" w:lineRule="auto"/>
              <w:ind w:firstLine="480" w:firstLineChars="200"/>
              <w:rPr>
                <w:rFonts w:hint="default" w:ascii="Times New Roman" w:hAnsi="Times New Roman" w:cs="Times New Roman"/>
                <w:color w:val="auto"/>
                <w:sz w:val="24"/>
                <w:szCs w:val="32"/>
              </w:rPr>
            </w:pPr>
            <w:r>
              <w:rPr>
                <w:rFonts w:hint="default" w:ascii="Times New Roman" w:hAnsi="Times New Roman" w:cs="Times New Roman"/>
                <w:color w:val="auto"/>
                <w:sz w:val="24"/>
                <w:szCs w:val="32"/>
              </w:rPr>
              <w:t>r—预测点距声源处的距离；</w:t>
            </w:r>
          </w:p>
          <w:p w14:paraId="2E0A275E">
            <w:pPr>
              <w:spacing w:line="360" w:lineRule="auto"/>
              <w:ind w:firstLine="480" w:firstLineChars="200"/>
              <w:rPr>
                <w:rFonts w:hint="default" w:ascii="Times New Roman" w:hAnsi="Times New Roman" w:cs="Times New Roman"/>
                <w:color w:val="auto"/>
                <w:sz w:val="24"/>
                <w:szCs w:val="32"/>
              </w:rPr>
            </w:pPr>
            <w:r>
              <w:rPr>
                <w:rFonts w:hint="default" w:ascii="Times New Roman" w:hAnsi="Times New Roman" w:cs="Times New Roman"/>
                <w:color w:val="auto"/>
                <w:sz w:val="24"/>
                <w:szCs w:val="32"/>
              </w:rPr>
              <w:t>r</w:t>
            </w:r>
            <w:r>
              <w:rPr>
                <w:rFonts w:hint="default" w:ascii="Times New Roman" w:hAnsi="Times New Roman" w:cs="Times New Roman"/>
                <w:color w:val="auto"/>
                <w:sz w:val="24"/>
                <w:szCs w:val="32"/>
                <w:vertAlign w:val="subscript"/>
              </w:rPr>
              <w:t>0</w:t>
            </w:r>
            <w:r>
              <w:rPr>
                <w:rFonts w:hint="default" w:ascii="Times New Roman" w:hAnsi="Times New Roman" w:cs="Times New Roman"/>
                <w:color w:val="auto"/>
                <w:sz w:val="24"/>
                <w:szCs w:val="32"/>
              </w:rPr>
              <w:t>—参考位置距声源的距离。</w:t>
            </w:r>
          </w:p>
          <w:p w14:paraId="1E973532">
            <w:pPr>
              <w:spacing w:line="360" w:lineRule="auto"/>
              <w:ind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本项目施工机械噪声以其最大源强预测在不同距离处的噪声值，具体噪声值见表4-</w:t>
            </w:r>
            <w:r>
              <w:rPr>
                <w:rFonts w:hint="eastAsia" w:ascii="Times New Roman" w:hAnsi="Times New Roman" w:eastAsia="宋体" w:cs="Times New Roman"/>
                <w:color w:val="auto"/>
                <w:sz w:val="24"/>
                <w:szCs w:val="32"/>
                <w:highlight w:val="none"/>
                <w:lang w:val="en-US" w:eastAsia="zh-CN"/>
              </w:rPr>
              <w:t>3</w:t>
            </w:r>
            <w:r>
              <w:rPr>
                <w:rFonts w:hint="default" w:ascii="Times New Roman" w:hAnsi="Times New Roman" w:eastAsia="宋体" w:cs="Times New Roman"/>
                <w:color w:val="auto"/>
                <w:sz w:val="24"/>
                <w:szCs w:val="32"/>
                <w:highlight w:val="none"/>
                <w:lang w:val="en-US" w:eastAsia="zh-CN"/>
              </w:rPr>
              <w:t>。</w:t>
            </w:r>
          </w:p>
          <w:p w14:paraId="338A5E5B">
            <w:pPr>
              <w:spacing w:line="360" w:lineRule="auto"/>
              <w:ind w:firstLine="422" w:firstLineChars="200"/>
              <w:jc w:val="center"/>
              <w:rPr>
                <w:rFonts w:hint="default" w:ascii="Times New Roman" w:hAnsi="Times New Roman" w:eastAsia="宋体" w:cs="Times New Roman"/>
                <w:b/>
                <w:bCs/>
                <w:color w:val="auto"/>
                <w:sz w:val="21"/>
                <w:szCs w:val="24"/>
                <w:highlight w:val="none"/>
                <w:lang w:val="en-US" w:eastAsia="zh-CN"/>
              </w:rPr>
            </w:pPr>
            <w:r>
              <w:rPr>
                <w:rFonts w:hint="default" w:ascii="Times New Roman" w:hAnsi="Times New Roman" w:eastAsia="宋体" w:cs="Times New Roman"/>
                <w:b/>
                <w:bCs/>
                <w:color w:val="auto"/>
                <w:sz w:val="21"/>
                <w:szCs w:val="24"/>
                <w:highlight w:val="none"/>
                <w:lang w:val="en-US" w:eastAsia="zh-CN"/>
              </w:rPr>
              <w:t>表4-</w:t>
            </w:r>
            <w:r>
              <w:rPr>
                <w:rFonts w:hint="eastAsia" w:ascii="Times New Roman" w:hAnsi="Times New Roman" w:eastAsia="宋体" w:cs="Times New Roman"/>
                <w:b/>
                <w:bCs/>
                <w:color w:val="auto"/>
                <w:sz w:val="21"/>
                <w:szCs w:val="24"/>
                <w:highlight w:val="none"/>
                <w:lang w:val="en-US" w:eastAsia="zh-CN"/>
              </w:rPr>
              <w:t xml:space="preserve">3 </w:t>
            </w:r>
            <w:r>
              <w:rPr>
                <w:rFonts w:hint="default" w:ascii="Times New Roman" w:hAnsi="Times New Roman" w:eastAsia="宋体" w:cs="Times New Roman"/>
                <w:b/>
                <w:bCs/>
                <w:color w:val="auto"/>
                <w:sz w:val="21"/>
                <w:szCs w:val="24"/>
                <w:highlight w:val="none"/>
                <w:lang w:val="en-US" w:eastAsia="zh-CN"/>
              </w:rPr>
              <w:t>施工机械在不同距离处的噪声值</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28" w:type="dxa"/>
                <w:left w:w="28" w:type="dxa"/>
                <w:bottom w:w="28" w:type="dxa"/>
                <w:right w:w="28" w:type="dxa"/>
              </w:tblCellMar>
            </w:tblPr>
            <w:tblGrid>
              <w:gridCol w:w="1593"/>
              <w:gridCol w:w="857"/>
              <w:gridCol w:w="615"/>
              <w:gridCol w:w="615"/>
              <w:gridCol w:w="616"/>
              <w:gridCol w:w="616"/>
              <w:gridCol w:w="616"/>
              <w:gridCol w:w="616"/>
              <w:gridCol w:w="616"/>
              <w:gridCol w:w="616"/>
              <w:gridCol w:w="616"/>
              <w:gridCol w:w="902"/>
            </w:tblGrid>
            <w:tr w14:paraId="6145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896" w:type="pct"/>
                  <w:vMerge w:val="restart"/>
                  <w:tcBorders>
                    <w:tl2br w:val="nil"/>
                    <w:tr2bl w:val="nil"/>
                  </w:tcBorders>
                  <w:shd w:val="clear" w:color="auto" w:fill="FFFFFF"/>
                  <w:noWrap w:val="0"/>
                  <w:vAlign w:val="center"/>
                </w:tcPr>
                <w:p w14:paraId="20D48C67">
                  <w:pPr>
                    <w:adjustRightInd w:val="0"/>
                    <w:snapToGrid w:val="0"/>
                    <w:spacing w:line="240" w:lineRule="exact"/>
                    <w:jc w:val="center"/>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施工机械</w:t>
                  </w:r>
                </w:p>
              </w:tc>
              <w:tc>
                <w:tcPr>
                  <w:tcW w:w="4103" w:type="pct"/>
                  <w:gridSpan w:val="11"/>
                  <w:tcBorders>
                    <w:tl2br w:val="nil"/>
                    <w:tr2bl w:val="nil"/>
                  </w:tcBorders>
                  <w:shd w:val="clear" w:color="auto" w:fill="FFFFFF"/>
                  <w:noWrap w:val="0"/>
                  <w:vAlign w:val="center"/>
                </w:tcPr>
                <w:p w14:paraId="324A3005">
                  <w:pPr>
                    <w:adjustRightInd w:val="0"/>
                    <w:snapToGrid w:val="0"/>
                    <w:spacing w:line="240" w:lineRule="exact"/>
                    <w:jc w:val="center"/>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X（m）处声压级dB（A）</w:t>
                  </w:r>
                </w:p>
              </w:tc>
            </w:tr>
            <w:tr w14:paraId="04069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896" w:type="pct"/>
                  <w:vMerge w:val="continue"/>
                  <w:tcBorders>
                    <w:tl2br w:val="nil"/>
                    <w:tr2bl w:val="nil"/>
                  </w:tcBorders>
                  <w:shd w:val="clear" w:color="auto" w:fill="FFFFFF"/>
                  <w:noWrap w:val="0"/>
                  <w:vAlign w:val="center"/>
                </w:tcPr>
                <w:p w14:paraId="680FA9D2">
                  <w:pPr>
                    <w:adjustRightInd w:val="0"/>
                    <w:snapToGrid w:val="0"/>
                    <w:spacing w:line="240" w:lineRule="exact"/>
                    <w:jc w:val="center"/>
                    <w:rPr>
                      <w:rFonts w:hint="default" w:ascii="Times New Roman" w:hAnsi="Times New Roman" w:cs="Times New Roman"/>
                      <w:b/>
                      <w:snapToGrid w:val="0"/>
                      <w:color w:val="auto"/>
                      <w:kern w:val="0"/>
                      <w:sz w:val="21"/>
                      <w:szCs w:val="21"/>
                    </w:rPr>
                  </w:pPr>
                </w:p>
              </w:tc>
              <w:tc>
                <w:tcPr>
                  <w:tcW w:w="482" w:type="pct"/>
                  <w:tcBorders>
                    <w:tl2br w:val="nil"/>
                    <w:tr2bl w:val="nil"/>
                  </w:tcBorders>
                  <w:shd w:val="clear" w:color="auto" w:fill="FFFFFF"/>
                  <w:noWrap w:val="0"/>
                  <w:vAlign w:val="center"/>
                </w:tcPr>
                <w:p w14:paraId="009AC0E4">
                  <w:pPr>
                    <w:adjustRightInd w:val="0"/>
                    <w:snapToGrid w:val="0"/>
                    <w:spacing w:line="240" w:lineRule="exact"/>
                    <w:jc w:val="center"/>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1</w:t>
                  </w:r>
                </w:p>
              </w:tc>
              <w:tc>
                <w:tcPr>
                  <w:tcW w:w="346" w:type="pct"/>
                  <w:tcBorders>
                    <w:tl2br w:val="nil"/>
                    <w:tr2bl w:val="nil"/>
                  </w:tcBorders>
                  <w:shd w:val="clear" w:color="auto" w:fill="FFFFFF"/>
                  <w:noWrap w:val="0"/>
                  <w:vAlign w:val="center"/>
                </w:tcPr>
                <w:p w14:paraId="769276C6">
                  <w:pPr>
                    <w:adjustRightInd w:val="0"/>
                    <w:snapToGrid w:val="0"/>
                    <w:spacing w:line="240" w:lineRule="exact"/>
                    <w:jc w:val="center"/>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10</w:t>
                  </w:r>
                </w:p>
              </w:tc>
              <w:tc>
                <w:tcPr>
                  <w:tcW w:w="346" w:type="pct"/>
                  <w:tcBorders>
                    <w:tl2br w:val="nil"/>
                    <w:tr2bl w:val="nil"/>
                  </w:tcBorders>
                  <w:shd w:val="clear" w:color="auto" w:fill="FFFFFF"/>
                  <w:noWrap w:val="0"/>
                  <w:vAlign w:val="center"/>
                </w:tcPr>
                <w:p w14:paraId="7E70840C">
                  <w:pPr>
                    <w:adjustRightInd w:val="0"/>
                    <w:snapToGrid w:val="0"/>
                    <w:spacing w:line="240" w:lineRule="exact"/>
                    <w:jc w:val="center"/>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20</w:t>
                  </w:r>
                </w:p>
              </w:tc>
              <w:tc>
                <w:tcPr>
                  <w:tcW w:w="346" w:type="pct"/>
                  <w:tcBorders>
                    <w:tl2br w:val="nil"/>
                    <w:tr2bl w:val="nil"/>
                  </w:tcBorders>
                  <w:shd w:val="clear" w:color="auto" w:fill="FFFFFF"/>
                  <w:noWrap w:val="0"/>
                  <w:vAlign w:val="center"/>
                </w:tcPr>
                <w:p w14:paraId="7B7514FD">
                  <w:pPr>
                    <w:adjustRightInd w:val="0"/>
                    <w:snapToGrid w:val="0"/>
                    <w:spacing w:line="240" w:lineRule="exact"/>
                    <w:jc w:val="center"/>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30</w:t>
                  </w:r>
                </w:p>
              </w:tc>
              <w:tc>
                <w:tcPr>
                  <w:tcW w:w="346" w:type="pct"/>
                  <w:tcBorders>
                    <w:tl2br w:val="nil"/>
                    <w:tr2bl w:val="nil"/>
                  </w:tcBorders>
                  <w:shd w:val="clear" w:color="auto" w:fill="FFFFFF"/>
                  <w:noWrap w:val="0"/>
                  <w:vAlign w:val="center"/>
                </w:tcPr>
                <w:p w14:paraId="5272965A">
                  <w:pPr>
                    <w:adjustRightInd w:val="0"/>
                    <w:snapToGrid w:val="0"/>
                    <w:spacing w:line="240" w:lineRule="exact"/>
                    <w:jc w:val="center"/>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40</w:t>
                  </w:r>
                </w:p>
              </w:tc>
              <w:tc>
                <w:tcPr>
                  <w:tcW w:w="346" w:type="pct"/>
                  <w:tcBorders>
                    <w:tl2br w:val="nil"/>
                    <w:tr2bl w:val="nil"/>
                  </w:tcBorders>
                  <w:shd w:val="clear" w:color="auto" w:fill="FFFFFF"/>
                  <w:noWrap w:val="0"/>
                  <w:vAlign w:val="center"/>
                </w:tcPr>
                <w:p w14:paraId="42BFAF79">
                  <w:pPr>
                    <w:adjustRightInd w:val="0"/>
                    <w:snapToGrid w:val="0"/>
                    <w:spacing w:line="240" w:lineRule="exact"/>
                    <w:jc w:val="center"/>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50</w:t>
                  </w:r>
                </w:p>
              </w:tc>
              <w:tc>
                <w:tcPr>
                  <w:tcW w:w="346" w:type="pct"/>
                  <w:tcBorders>
                    <w:tl2br w:val="nil"/>
                    <w:tr2bl w:val="nil"/>
                  </w:tcBorders>
                  <w:shd w:val="clear" w:color="auto" w:fill="FFFFFF"/>
                  <w:noWrap w:val="0"/>
                  <w:vAlign w:val="center"/>
                </w:tcPr>
                <w:p w14:paraId="7EF2EF72">
                  <w:pPr>
                    <w:adjustRightInd w:val="0"/>
                    <w:snapToGrid w:val="0"/>
                    <w:spacing w:line="240" w:lineRule="exact"/>
                    <w:jc w:val="center"/>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60</w:t>
                  </w:r>
                </w:p>
              </w:tc>
              <w:tc>
                <w:tcPr>
                  <w:tcW w:w="346" w:type="pct"/>
                  <w:tcBorders>
                    <w:tl2br w:val="nil"/>
                    <w:tr2bl w:val="nil"/>
                  </w:tcBorders>
                  <w:shd w:val="clear" w:color="auto" w:fill="FFFFFF"/>
                  <w:noWrap w:val="0"/>
                  <w:vAlign w:val="center"/>
                </w:tcPr>
                <w:p w14:paraId="1B8AAA17">
                  <w:pPr>
                    <w:adjustRightInd w:val="0"/>
                    <w:snapToGrid w:val="0"/>
                    <w:spacing w:line="240" w:lineRule="exact"/>
                    <w:jc w:val="center"/>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70</w:t>
                  </w:r>
                </w:p>
              </w:tc>
              <w:tc>
                <w:tcPr>
                  <w:tcW w:w="346" w:type="pct"/>
                  <w:tcBorders>
                    <w:tl2br w:val="nil"/>
                    <w:tr2bl w:val="nil"/>
                  </w:tcBorders>
                  <w:shd w:val="clear" w:color="auto" w:fill="FFFFFF"/>
                  <w:noWrap w:val="0"/>
                  <w:vAlign w:val="center"/>
                </w:tcPr>
                <w:p w14:paraId="108C22BE">
                  <w:pPr>
                    <w:adjustRightInd w:val="0"/>
                    <w:snapToGrid w:val="0"/>
                    <w:spacing w:line="240" w:lineRule="exact"/>
                    <w:jc w:val="center"/>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80</w:t>
                  </w:r>
                </w:p>
              </w:tc>
              <w:tc>
                <w:tcPr>
                  <w:tcW w:w="346" w:type="pct"/>
                  <w:tcBorders>
                    <w:tl2br w:val="nil"/>
                    <w:tr2bl w:val="nil"/>
                  </w:tcBorders>
                  <w:shd w:val="clear" w:color="auto" w:fill="FFFFFF"/>
                  <w:noWrap w:val="0"/>
                  <w:vAlign w:val="center"/>
                </w:tcPr>
                <w:p w14:paraId="63C85B84">
                  <w:pPr>
                    <w:adjustRightInd w:val="0"/>
                    <w:snapToGrid w:val="0"/>
                    <w:spacing w:line="240" w:lineRule="exact"/>
                    <w:jc w:val="center"/>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90</w:t>
                  </w:r>
                </w:p>
              </w:tc>
              <w:tc>
                <w:tcPr>
                  <w:tcW w:w="502" w:type="pct"/>
                  <w:tcBorders>
                    <w:tl2br w:val="nil"/>
                    <w:tr2bl w:val="nil"/>
                  </w:tcBorders>
                  <w:shd w:val="clear" w:color="auto" w:fill="FFFFFF"/>
                  <w:noWrap w:val="0"/>
                  <w:vAlign w:val="center"/>
                </w:tcPr>
                <w:p w14:paraId="7816E04F">
                  <w:pPr>
                    <w:adjustRightInd w:val="0"/>
                    <w:snapToGrid w:val="0"/>
                    <w:spacing w:line="240" w:lineRule="exact"/>
                    <w:jc w:val="center"/>
                    <w:rPr>
                      <w:rFonts w:hint="default" w:ascii="Times New Roman" w:hAnsi="Times New Roman" w:cs="Times New Roman"/>
                      <w:b/>
                      <w:snapToGrid w:val="0"/>
                      <w:color w:val="auto"/>
                      <w:kern w:val="0"/>
                      <w:sz w:val="21"/>
                      <w:szCs w:val="21"/>
                    </w:rPr>
                  </w:pPr>
                  <w:r>
                    <w:rPr>
                      <w:rFonts w:hint="default" w:ascii="Times New Roman" w:hAnsi="Times New Roman" w:cs="Times New Roman"/>
                      <w:b/>
                      <w:snapToGrid w:val="0"/>
                      <w:color w:val="auto"/>
                      <w:kern w:val="0"/>
                      <w:sz w:val="21"/>
                      <w:szCs w:val="21"/>
                    </w:rPr>
                    <w:t>100</w:t>
                  </w:r>
                </w:p>
              </w:tc>
            </w:tr>
            <w:tr w14:paraId="52B07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28" w:type="dxa"/>
                  <w:left w:w="28" w:type="dxa"/>
                  <w:bottom w:w="28" w:type="dxa"/>
                  <w:right w:w="28" w:type="dxa"/>
                </w:tblCellMar>
              </w:tblPrEx>
              <w:trPr>
                <w:trHeight w:val="90" w:hRule="atLeast"/>
                <w:jc w:val="center"/>
              </w:trPr>
              <w:tc>
                <w:tcPr>
                  <w:tcW w:w="896" w:type="pct"/>
                  <w:tcBorders>
                    <w:tl2br w:val="nil"/>
                    <w:tr2bl w:val="nil"/>
                  </w:tcBorders>
                  <w:shd w:val="clear" w:color="auto" w:fill="FFFFFF"/>
                  <w:noWrap w:val="0"/>
                  <w:vAlign w:val="top"/>
                </w:tcPr>
                <w:p w14:paraId="146866EA">
                  <w:pPr>
                    <w:widowControl w:val="0"/>
                    <w:kinsoku/>
                    <w:autoSpaceDE/>
                    <w:autoSpaceDN/>
                    <w:adjustRightInd w:val="0"/>
                    <w:snapToGrid w:val="0"/>
                    <w:spacing w:line="240" w:lineRule="auto"/>
                    <w:jc w:val="center"/>
                    <w:textAlignment w:val="auto"/>
                    <w:rPr>
                      <w:rFonts w:hint="default" w:ascii="Times New Roman" w:hAnsi="Times New Roman" w:cs="Times New Roman"/>
                      <w:snapToGrid w:val="0"/>
                      <w:color w:val="auto"/>
                      <w:kern w:val="0"/>
                      <w:sz w:val="21"/>
                      <w:szCs w:val="21"/>
                    </w:rPr>
                  </w:pPr>
                  <w:r>
                    <w:rPr>
                      <w:rFonts w:hint="default" w:ascii="Times New Roman" w:hAnsi="Times New Roman" w:cs="Times New Roman" w:eastAsiaTheme="minorEastAsia"/>
                      <w:snapToGrid/>
                      <w:color w:val="auto"/>
                      <w:kern w:val="2"/>
                      <w:szCs w:val="21"/>
                      <w:lang w:eastAsia="zh-CN"/>
                    </w:rPr>
                    <w:t>汽车吊</w:t>
                  </w:r>
                </w:p>
              </w:tc>
              <w:tc>
                <w:tcPr>
                  <w:tcW w:w="482" w:type="pct"/>
                  <w:tcBorders>
                    <w:tl2br w:val="nil"/>
                    <w:tr2bl w:val="nil"/>
                  </w:tcBorders>
                  <w:shd w:val="clear" w:color="auto" w:fill="FFFFFF"/>
                  <w:noWrap w:val="0"/>
                  <w:vAlign w:val="center"/>
                </w:tcPr>
                <w:p w14:paraId="13E3FB48">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90</w:t>
                  </w:r>
                </w:p>
              </w:tc>
              <w:tc>
                <w:tcPr>
                  <w:tcW w:w="346" w:type="pct"/>
                  <w:tcBorders>
                    <w:tl2br w:val="nil"/>
                    <w:tr2bl w:val="nil"/>
                  </w:tcBorders>
                  <w:shd w:val="clear" w:color="auto" w:fill="FFFFFF"/>
                  <w:noWrap w:val="0"/>
                  <w:vAlign w:val="center"/>
                </w:tcPr>
                <w:p w14:paraId="4D5A886E">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70</w:t>
                  </w:r>
                </w:p>
              </w:tc>
              <w:tc>
                <w:tcPr>
                  <w:tcW w:w="346" w:type="pct"/>
                  <w:tcBorders>
                    <w:tl2br w:val="nil"/>
                    <w:tr2bl w:val="nil"/>
                  </w:tcBorders>
                  <w:shd w:val="clear" w:color="auto" w:fill="FFFFFF"/>
                  <w:noWrap w:val="0"/>
                  <w:vAlign w:val="center"/>
                </w:tcPr>
                <w:p w14:paraId="6A318D08">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64</w:t>
                  </w:r>
                </w:p>
              </w:tc>
              <w:tc>
                <w:tcPr>
                  <w:tcW w:w="346" w:type="pct"/>
                  <w:tcBorders>
                    <w:tl2br w:val="nil"/>
                    <w:tr2bl w:val="nil"/>
                  </w:tcBorders>
                  <w:shd w:val="clear" w:color="auto" w:fill="FFFFFF"/>
                  <w:noWrap w:val="0"/>
                  <w:vAlign w:val="center"/>
                </w:tcPr>
                <w:p w14:paraId="16F1AFB0">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60</w:t>
                  </w:r>
                </w:p>
              </w:tc>
              <w:tc>
                <w:tcPr>
                  <w:tcW w:w="346" w:type="pct"/>
                  <w:tcBorders>
                    <w:tl2br w:val="nil"/>
                    <w:tr2bl w:val="nil"/>
                  </w:tcBorders>
                  <w:shd w:val="clear" w:color="auto" w:fill="FFFFFF"/>
                  <w:noWrap w:val="0"/>
                  <w:vAlign w:val="center"/>
                </w:tcPr>
                <w:p w14:paraId="16A8E2B0">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58</w:t>
                  </w:r>
                </w:p>
              </w:tc>
              <w:tc>
                <w:tcPr>
                  <w:tcW w:w="346" w:type="pct"/>
                  <w:tcBorders>
                    <w:tl2br w:val="nil"/>
                    <w:tr2bl w:val="nil"/>
                  </w:tcBorders>
                  <w:shd w:val="clear" w:color="auto" w:fill="FFFFFF"/>
                  <w:noWrap w:val="0"/>
                  <w:vAlign w:val="center"/>
                </w:tcPr>
                <w:p w14:paraId="4EC43037">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56</w:t>
                  </w:r>
                </w:p>
              </w:tc>
              <w:tc>
                <w:tcPr>
                  <w:tcW w:w="346" w:type="pct"/>
                  <w:tcBorders>
                    <w:tl2br w:val="nil"/>
                    <w:tr2bl w:val="nil"/>
                  </w:tcBorders>
                  <w:shd w:val="clear" w:color="auto" w:fill="FFFFFF"/>
                  <w:noWrap w:val="0"/>
                  <w:vAlign w:val="center"/>
                </w:tcPr>
                <w:p w14:paraId="7D56E4C4">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54</w:t>
                  </w:r>
                </w:p>
              </w:tc>
              <w:tc>
                <w:tcPr>
                  <w:tcW w:w="346" w:type="pct"/>
                  <w:tcBorders>
                    <w:tl2br w:val="nil"/>
                    <w:tr2bl w:val="nil"/>
                  </w:tcBorders>
                  <w:shd w:val="clear" w:color="auto" w:fill="FFFFFF"/>
                  <w:noWrap w:val="0"/>
                  <w:vAlign w:val="center"/>
                </w:tcPr>
                <w:p w14:paraId="42135BBF">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53</w:t>
                  </w:r>
                </w:p>
              </w:tc>
              <w:tc>
                <w:tcPr>
                  <w:tcW w:w="346" w:type="pct"/>
                  <w:tcBorders>
                    <w:tl2br w:val="nil"/>
                    <w:tr2bl w:val="nil"/>
                  </w:tcBorders>
                  <w:shd w:val="clear" w:color="auto" w:fill="FFFFFF"/>
                  <w:noWrap w:val="0"/>
                  <w:vAlign w:val="center"/>
                </w:tcPr>
                <w:p w14:paraId="15707070">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52</w:t>
                  </w:r>
                </w:p>
              </w:tc>
              <w:tc>
                <w:tcPr>
                  <w:tcW w:w="346" w:type="pct"/>
                  <w:tcBorders>
                    <w:tl2br w:val="nil"/>
                    <w:tr2bl w:val="nil"/>
                  </w:tcBorders>
                  <w:shd w:val="clear" w:color="auto" w:fill="FFFFFF"/>
                  <w:noWrap w:val="0"/>
                  <w:vAlign w:val="center"/>
                </w:tcPr>
                <w:p w14:paraId="58D0F166">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51</w:t>
                  </w:r>
                </w:p>
              </w:tc>
              <w:tc>
                <w:tcPr>
                  <w:tcW w:w="502" w:type="pct"/>
                  <w:tcBorders>
                    <w:tl2br w:val="nil"/>
                    <w:tr2bl w:val="nil"/>
                  </w:tcBorders>
                  <w:shd w:val="clear" w:color="auto" w:fill="FFFFFF"/>
                  <w:noWrap w:val="0"/>
                  <w:vAlign w:val="center"/>
                </w:tcPr>
                <w:p w14:paraId="7FD481DB">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50</w:t>
                  </w:r>
                </w:p>
              </w:tc>
            </w:tr>
            <w:tr w14:paraId="03FA7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896" w:type="pct"/>
                  <w:tcBorders>
                    <w:tl2br w:val="nil"/>
                    <w:tr2bl w:val="nil"/>
                  </w:tcBorders>
                  <w:shd w:val="clear" w:color="auto" w:fill="FFFFFF"/>
                  <w:noWrap w:val="0"/>
                  <w:vAlign w:val="top"/>
                </w:tcPr>
                <w:p w14:paraId="1BCA3843">
                  <w:pPr>
                    <w:widowControl w:val="0"/>
                    <w:kinsoku/>
                    <w:autoSpaceDE/>
                    <w:autoSpaceDN/>
                    <w:adjustRightInd w:val="0"/>
                    <w:snapToGrid w:val="0"/>
                    <w:spacing w:line="240" w:lineRule="auto"/>
                    <w:jc w:val="center"/>
                    <w:textAlignment w:val="auto"/>
                    <w:rPr>
                      <w:rFonts w:hint="default" w:ascii="Times New Roman" w:hAnsi="Times New Roman" w:cs="Times New Roman"/>
                      <w:snapToGrid w:val="0"/>
                      <w:color w:val="auto"/>
                      <w:kern w:val="0"/>
                      <w:sz w:val="21"/>
                      <w:szCs w:val="21"/>
                    </w:rPr>
                  </w:pPr>
                  <w:r>
                    <w:rPr>
                      <w:rFonts w:hint="default" w:ascii="Times New Roman" w:hAnsi="Times New Roman" w:cs="Times New Roman" w:eastAsiaTheme="minorEastAsia"/>
                      <w:snapToGrid/>
                      <w:color w:val="auto"/>
                      <w:kern w:val="2"/>
                      <w:szCs w:val="21"/>
                      <w:lang w:eastAsia="zh-CN"/>
                    </w:rPr>
                    <w:t>蛙式打夯机</w:t>
                  </w:r>
                </w:p>
              </w:tc>
              <w:tc>
                <w:tcPr>
                  <w:tcW w:w="482" w:type="pct"/>
                  <w:tcBorders>
                    <w:tl2br w:val="nil"/>
                    <w:tr2bl w:val="nil"/>
                  </w:tcBorders>
                  <w:shd w:val="clear" w:color="auto" w:fill="FFFFFF"/>
                  <w:noWrap w:val="0"/>
                  <w:vAlign w:val="center"/>
                </w:tcPr>
                <w:p w14:paraId="73CF2607">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90</w:t>
                  </w:r>
                </w:p>
              </w:tc>
              <w:tc>
                <w:tcPr>
                  <w:tcW w:w="346" w:type="pct"/>
                  <w:tcBorders>
                    <w:tl2br w:val="nil"/>
                    <w:tr2bl w:val="nil"/>
                  </w:tcBorders>
                  <w:shd w:val="clear" w:color="auto" w:fill="FFFFFF"/>
                  <w:noWrap w:val="0"/>
                  <w:vAlign w:val="center"/>
                </w:tcPr>
                <w:p w14:paraId="2CC25D3B">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70</w:t>
                  </w:r>
                </w:p>
              </w:tc>
              <w:tc>
                <w:tcPr>
                  <w:tcW w:w="346" w:type="pct"/>
                  <w:tcBorders>
                    <w:tl2br w:val="nil"/>
                    <w:tr2bl w:val="nil"/>
                  </w:tcBorders>
                  <w:shd w:val="clear" w:color="auto" w:fill="FFFFFF"/>
                  <w:noWrap w:val="0"/>
                  <w:vAlign w:val="center"/>
                </w:tcPr>
                <w:p w14:paraId="52B6C2E5">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64</w:t>
                  </w:r>
                </w:p>
              </w:tc>
              <w:tc>
                <w:tcPr>
                  <w:tcW w:w="346" w:type="pct"/>
                  <w:tcBorders>
                    <w:tl2br w:val="nil"/>
                    <w:tr2bl w:val="nil"/>
                  </w:tcBorders>
                  <w:shd w:val="clear" w:color="auto" w:fill="FFFFFF"/>
                  <w:noWrap w:val="0"/>
                  <w:vAlign w:val="center"/>
                </w:tcPr>
                <w:p w14:paraId="09632CC8">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60</w:t>
                  </w:r>
                </w:p>
              </w:tc>
              <w:tc>
                <w:tcPr>
                  <w:tcW w:w="346" w:type="pct"/>
                  <w:tcBorders>
                    <w:tl2br w:val="nil"/>
                    <w:tr2bl w:val="nil"/>
                  </w:tcBorders>
                  <w:shd w:val="clear" w:color="auto" w:fill="FFFFFF"/>
                  <w:noWrap w:val="0"/>
                  <w:vAlign w:val="center"/>
                </w:tcPr>
                <w:p w14:paraId="1DD71A0E">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58</w:t>
                  </w:r>
                </w:p>
              </w:tc>
              <w:tc>
                <w:tcPr>
                  <w:tcW w:w="346" w:type="pct"/>
                  <w:tcBorders>
                    <w:tl2br w:val="nil"/>
                    <w:tr2bl w:val="nil"/>
                  </w:tcBorders>
                  <w:shd w:val="clear" w:color="auto" w:fill="FFFFFF"/>
                  <w:noWrap w:val="0"/>
                  <w:vAlign w:val="center"/>
                </w:tcPr>
                <w:p w14:paraId="5E256716">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56</w:t>
                  </w:r>
                </w:p>
              </w:tc>
              <w:tc>
                <w:tcPr>
                  <w:tcW w:w="346" w:type="pct"/>
                  <w:tcBorders>
                    <w:tl2br w:val="nil"/>
                    <w:tr2bl w:val="nil"/>
                  </w:tcBorders>
                  <w:shd w:val="clear" w:color="auto" w:fill="FFFFFF"/>
                  <w:noWrap w:val="0"/>
                  <w:vAlign w:val="center"/>
                </w:tcPr>
                <w:p w14:paraId="632DD193">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54</w:t>
                  </w:r>
                </w:p>
              </w:tc>
              <w:tc>
                <w:tcPr>
                  <w:tcW w:w="346" w:type="pct"/>
                  <w:tcBorders>
                    <w:tl2br w:val="nil"/>
                    <w:tr2bl w:val="nil"/>
                  </w:tcBorders>
                  <w:shd w:val="clear" w:color="auto" w:fill="FFFFFF"/>
                  <w:noWrap w:val="0"/>
                  <w:vAlign w:val="center"/>
                </w:tcPr>
                <w:p w14:paraId="4BD91FF2">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53</w:t>
                  </w:r>
                </w:p>
              </w:tc>
              <w:tc>
                <w:tcPr>
                  <w:tcW w:w="346" w:type="pct"/>
                  <w:tcBorders>
                    <w:tl2br w:val="nil"/>
                    <w:tr2bl w:val="nil"/>
                  </w:tcBorders>
                  <w:shd w:val="clear" w:color="auto" w:fill="FFFFFF"/>
                  <w:noWrap w:val="0"/>
                  <w:vAlign w:val="center"/>
                </w:tcPr>
                <w:p w14:paraId="776012B3">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52</w:t>
                  </w:r>
                </w:p>
              </w:tc>
              <w:tc>
                <w:tcPr>
                  <w:tcW w:w="346" w:type="pct"/>
                  <w:tcBorders>
                    <w:tl2br w:val="nil"/>
                    <w:tr2bl w:val="nil"/>
                  </w:tcBorders>
                  <w:shd w:val="clear" w:color="auto" w:fill="FFFFFF"/>
                  <w:noWrap w:val="0"/>
                  <w:vAlign w:val="center"/>
                </w:tcPr>
                <w:p w14:paraId="6447D210">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51</w:t>
                  </w:r>
                </w:p>
              </w:tc>
              <w:tc>
                <w:tcPr>
                  <w:tcW w:w="502" w:type="pct"/>
                  <w:tcBorders>
                    <w:tl2br w:val="nil"/>
                    <w:tr2bl w:val="nil"/>
                  </w:tcBorders>
                  <w:shd w:val="clear" w:color="auto" w:fill="FFFFFF"/>
                  <w:noWrap w:val="0"/>
                  <w:vAlign w:val="center"/>
                </w:tcPr>
                <w:p w14:paraId="6E75B89E">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50</w:t>
                  </w:r>
                </w:p>
              </w:tc>
            </w:tr>
            <w:tr w14:paraId="56DE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896" w:type="pct"/>
                  <w:tcBorders>
                    <w:tl2br w:val="nil"/>
                    <w:tr2bl w:val="nil"/>
                  </w:tcBorders>
                  <w:shd w:val="clear" w:color="auto" w:fill="FFFFFF"/>
                  <w:noWrap w:val="0"/>
                  <w:vAlign w:val="top"/>
                </w:tcPr>
                <w:p w14:paraId="73A5BF1A">
                  <w:pPr>
                    <w:widowControl w:val="0"/>
                    <w:kinsoku/>
                    <w:autoSpaceDE/>
                    <w:autoSpaceDN/>
                    <w:adjustRightInd w:val="0"/>
                    <w:snapToGrid w:val="0"/>
                    <w:spacing w:line="240" w:lineRule="auto"/>
                    <w:jc w:val="center"/>
                    <w:textAlignment w:val="auto"/>
                    <w:rPr>
                      <w:rFonts w:hint="default" w:ascii="Times New Roman" w:hAnsi="Times New Roman" w:cs="Times New Roman"/>
                      <w:snapToGrid w:val="0"/>
                      <w:color w:val="auto"/>
                      <w:kern w:val="0"/>
                      <w:sz w:val="21"/>
                      <w:szCs w:val="21"/>
                    </w:rPr>
                  </w:pPr>
                  <w:r>
                    <w:rPr>
                      <w:rFonts w:hint="default" w:ascii="Times New Roman" w:hAnsi="Times New Roman" w:cs="Times New Roman" w:eastAsiaTheme="minorEastAsia"/>
                      <w:snapToGrid/>
                      <w:color w:val="auto"/>
                      <w:kern w:val="2"/>
                      <w:szCs w:val="21"/>
                      <w:lang w:eastAsia="zh-CN"/>
                    </w:rPr>
                    <w:t>履带式推土机</w:t>
                  </w:r>
                </w:p>
              </w:tc>
              <w:tc>
                <w:tcPr>
                  <w:tcW w:w="807" w:type="dxa"/>
                  <w:tcBorders>
                    <w:tl2br w:val="nil"/>
                    <w:tr2bl w:val="nil"/>
                  </w:tcBorders>
                  <w:shd w:val="clear" w:color="auto" w:fill="FFFFFF"/>
                  <w:noWrap w:val="0"/>
                  <w:vAlign w:val="center"/>
                </w:tcPr>
                <w:p w14:paraId="661F1A63">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68</w:t>
                  </w:r>
                </w:p>
              </w:tc>
              <w:tc>
                <w:tcPr>
                  <w:tcW w:w="579" w:type="dxa"/>
                  <w:tcBorders>
                    <w:tl2br w:val="nil"/>
                    <w:tr2bl w:val="nil"/>
                  </w:tcBorders>
                  <w:shd w:val="clear" w:color="auto" w:fill="FFFFFF"/>
                  <w:noWrap w:val="0"/>
                  <w:vAlign w:val="center"/>
                </w:tcPr>
                <w:p w14:paraId="318DB11E">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62</w:t>
                  </w:r>
                </w:p>
              </w:tc>
              <w:tc>
                <w:tcPr>
                  <w:tcW w:w="579" w:type="dxa"/>
                  <w:tcBorders>
                    <w:tl2br w:val="nil"/>
                    <w:tr2bl w:val="nil"/>
                  </w:tcBorders>
                  <w:shd w:val="clear" w:color="auto" w:fill="FFFFFF"/>
                  <w:noWrap w:val="0"/>
                  <w:vAlign w:val="center"/>
                </w:tcPr>
                <w:p w14:paraId="119F2DAD">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58</w:t>
                  </w:r>
                </w:p>
              </w:tc>
              <w:tc>
                <w:tcPr>
                  <w:tcW w:w="579" w:type="dxa"/>
                  <w:tcBorders>
                    <w:tl2br w:val="nil"/>
                    <w:tr2bl w:val="nil"/>
                  </w:tcBorders>
                  <w:shd w:val="clear" w:color="auto" w:fill="FFFFFF"/>
                  <w:noWrap w:val="0"/>
                  <w:vAlign w:val="center"/>
                </w:tcPr>
                <w:p w14:paraId="1D749709">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56</w:t>
                  </w:r>
                </w:p>
              </w:tc>
              <w:tc>
                <w:tcPr>
                  <w:tcW w:w="579" w:type="dxa"/>
                  <w:tcBorders>
                    <w:tl2br w:val="nil"/>
                    <w:tr2bl w:val="nil"/>
                  </w:tcBorders>
                  <w:shd w:val="clear" w:color="auto" w:fill="FFFFFF"/>
                  <w:noWrap w:val="0"/>
                  <w:vAlign w:val="center"/>
                </w:tcPr>
                <w:p w14:paraId="159C0D87">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54</w:t>
                  </w:r>
                </w:p>
              </w:tc>
              <w:tc>
                <w:tcPr>
                  <w:tcW w:w="579" w:type="dxa"/>
                  <w:tcBorders>
                    <w:tl2br w:val="nil"/>
                    <w:tr2bl w:val="nil"/>
                  </w:tcBorders>
                  <w:shd w:val="clear" w:color="auto" w:fill="FFFFFF"/>
                  <w:noWrap w:val="0"/>
                  <w:vAlign w:val="center"/>
                </w:tcPr>
                <w:p w14:paraId="47130029">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52</w:t>
                  </w:r>
                </w:p>
              </w:tc>
              <w:tc>
                <w:tcPr>
                  <w:tcW w:w="579" w:type="dxa"/>
                  <w:tcBorders>
                    <w:tl2br w:val="nil"/>
                    <w:tr2bl w:val="nil"/>
                  </w:tcBorders>
                  <w:shd w:val="clear" w:color="auto" w:fill="FFFFFF"/>
                  <w:noWrap w:val="0"/>
                  <w:vAlign w:val="center"/>
                </w:tcPr>
                <w:p w14:paraId="411066C7">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51</w:t>
                  </w:r>
                </w:p>
              </w:tc>
              <w:tc>
                <w:tcPr>
                  <w:tcW w:w="580" w:type="dxa"/>
                  <w:tcBorders>
                    <w:tl2br w:val="nil"/>
                    <w:tr2bl w:val="nil"/>
                  </w:tcBorders>
                  <w:shd w:val="clear" w:color="auto" w:fill="FFFFFF"/>
                  <w:noWrap w:val="0"/>
                  <w:vAlign w:val="center"/>
                </w:tcPr>
                <w:p w14:paraId="2C1EC02F">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50</w:t>
                  </w:r>
                </w:p>
              </w:tc>
              <w:tc>
                <w:tcPr>
                  <w:tcW w:w="580" w:type="dxa"/>
                  <w:tcBorders>
                    <w:tl2br w:val="nil"/>
                    <w:tr2bl w:val="nil"/>
                  </w:tcBorders>
                  <w:shd w:val="clear" w:color="auto" w:fill="FFFFFF"/>
                  <w:noWrap w:val="0"/>
                  <w:vAlign w:val="center"/>
                </w:tcPr>
                <w:p w14:paraId="23B957CE">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49</w:t>
                  </w:r>
                </w:p>
              </w:tc>
              <w:tc>
                <w:tcPr>
                  <w:tcW w:w="580" w:type="dxa"/>
                  <w:tcBorders>
                    <w:tl2br w:val="nil"/>
                    <w:tr2bl w:val="nil"/>
                  </w:tcBorders>
                  <w:shd w:val="clear" w:color="auto" w:fill="FFFFFF"/>
                  <w:noWrap w:val="0"/>
                  <w:vAlign w:val="center"/>
                </w:tcPr>
                <w:p w14:paraId="20E692F6">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48</w:t>
                  </w:r>
                </w:p>
              </w:tc>
              <w:tc>
                <w:tcPr>
                  <w:tcW w:w="840" w:type="dxa"/>
                  <w:tcBorders>
                    <w:tl2br w:val="nil"/>
                    <w:tr2bl w:val="nil"/>
                  </w:tcBorders>
                  <w:shd w:val="clear" w:color="auto" w:fill="FFFFFF"/>
                  <w:noWrap w:val="0"/>
                  <w:vAlign w:val="center"/>
                </w:tcPr>
                <w:p w14:paraId="6CC93ABA">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68</w:t>
                  </w:r>
                </w:p>
              </w:tc>
            </w:tr>
            <w:tr w14:paraId="761F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896" w:type="pct"/>
                  <w:tcBorders>
                    <w:tl2br w:val="nil"/>
                    <w:tr2bl w:val="nil"/>
                  </w:tcBorders>
                  <w:shd w:val="clear" w:color="auto" w:fill="FFFFFF"/>
                  <w:noWrap w:val="0"/>
                  <w:vAlign w:val="top"/>
                </w:tcPr>
                <w:p w14:paraId="23369FE0">
                  <w:pPr>
                    <w:widowControl w:val="0"/>
                    <w:kinsoku/>
                    <w:autoSpaceDE/>
                    <w:autoSpaceDN/>
                    <w:adjustRightInd w:val="0"/>
                    <w:snapToGrid w:val="0"/>
                    <w:spacing w:line="240" w:lineRule="auto"/>
                    <w:jc w:val="center"/>
                    <w:textAlignment w:val="auto"/>
                    <w:rPr>
                      <w:rFonts w:hint="default" w:ascii="Times New Roman" w:hAnsi="Times New Roman" w:cs="Times New Roman"/>
                      <w:snapToGrid w:val="0"/>
                      <w:color w:val="auto"/>
                      <w:kern w:val="0"/>
                      <w:sz w:val="21"/>
                      <w:szCs w:val="21"/>
                    </w:rPr>
                  </w:pPr>
                  <w:r>
                    <w:rPr>
                      <w:rFonts w:hint="default" w:ascii="Times New Roman" w:hAnsi="Times New Roman" w:cs="Times New Roman" w:eastAsiaTheme="minorEastAsia"/>
                      <w:snapToGrid/>
                      <w:color w:val="auto"/>
                      <w:kern w:val="2"/>
                      <w:szCs w:val="21"/>
                      <w:lang w:eastAsia="zh-CN"/>
                    </w:rPr>
                    <w:t>混凝土搅拌机</w:t>
                  </w:r>
                </w:p>
              </w:tc>
              <w:tc>
                <w:tcPr>
                  <w:tcW w:w="482" w:type="pct"/>
                  <w:tcBorders>
                    <w:tl2br w:val="nil"/>
                    <w:tr2bl w:val="nil"/>
                  </w:tcBorders>
                  <w:shd w:val="clear" w:color="auto" w:fill="FFFFFF"/>
                  <w:noWrap w:val="0"/>
                  <w:vAlign w:val="center"/>
                </w:tcPr>
                <w:p w14:paraId="2293E6DC">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90</w:t>
                  </w:r>
                </w:p>
              </w:tc>
              <w:tc>
                <w:tcPr>
                  <w:tcW w:w="346" w:type="pct"/>
                  <w:tcBorders>
                    <w:tl2br w:val="nil"/>
                    <w:tr2bl w:val="nil"/>
                  </w:tcBorders>
                  <w:shd w:val="clear" w:color="auto" w:fill="FFFFFF"/>
                  <w:noWrap w:val="0"/>
                  <w:vAlign w:val="center"/>
                </w:tcPr>
                <w:p w14:paraId="48B8A410">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70</w:t>
                  </w:r>
                </w:p>
              </w:tc>
              <w:tc>
                <w:tcPr>
                  <w:tcW w:w="346" w:type="pct"/>
                  <w:tcBorders>
                    <w:tl2br w:val="nil"/>
                    <w:tr2bl w:val="nil"/>
                  </w:tcBorders>
                  <w:shd w:val="clear" w:color="auto" w:fill="FFFFFF"/>
                  <w:noWrap w:val="0"/>
                  <w:vAlign w:val="center"/>
                </w:tcPr>
                <w:p w14:paraId="0ABF2BC3">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64</w:t>
                  </w:r>
                </w:p>
              </w:tc>
              <w:tc>
                <w:tcPr>
                  <w:tcW w:w="346" w:type="pct"/>
                  <w:tcBorders>
                    <w:tl2br w:val="nil"/>
                    <w:tr2bl w:val="nil"/>
                  </w:tcBorders>
                  <w:shd w:val="clear" w:color="auto" w:fill="FFFFFF"/>
                  <w:noWrap w:val="0"/>
                  <w:vAlign w:val="center"/>
                </w:tcPr>
                <w:p w14:paraId="132495BB">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60</w:t>
                  </w:r>
                </w:p>
              </w:tc>
              <w:tc>
                <w:tcPr>
                  <w:tcW w:w="346" w:type="pct"/>
                  <w:tcBorders>
                    <w:tl2br w:val="nil"/>
                    <w:tr2bl w:val="nil"/>
                  </w:tcBorders>
                  <w:shd w:val="clear" w:color="auto" w:fill="FFFFFF"/>
                  <w:noWrap w:val="0"/>
                  <w:vAlign w:val="center"/>
                </w:tcPr>
                <w:p w14:paraId="2DF28DB2">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58</w:t>
                  </w:r>
                </w:p>
              </w:tc>
              <w:tc>
                <w:tcPr>
                  <w:tcW w:w="346" w:type="pct"/>
                  <w:tcBorders>
                    <w:tl2br w:val="nil"/>
                    <w:tr2bl w:val="nil"/>
                  </w:tcBorders>
                  <w:shd w:val="clear" w:color="auto" w:fill="FFFFFF"/>
                  <w:noWrap w:val="0"/>
                  <w:vAlign w:val="center"/>
                </w:tcPr>
                <w:p w14:paraId="2A11CDC6">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56</w:t>
                  </w:r>
                </w:p>
              </w:tc>
              <w:tc>
                <w:tcPr>
                  <w:tcW w:w="346" w:type="pct"/>
                  <w:tcBorders>
                    <w:tl2br w:val="nil"/>
                    <w:tr2bl w:val="nil"/>
                  </w:tcBorders>
                  <w:shd w:val="clear" w:color="auto" w:fill="FFFFFF"/>
                  <w:noWrap w:val="0"/>
                  <w:vAlign w:val="center"/>
                </w:tcPr>
                <w:p w14:paraId="370F9A2F">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54</w:t>
                  </w:r>
                </w:p>
              </w:tc>
              <w:tc>
                <w:tcPr>
                  <w:tcW w:w="346" w:type="pct"/>
                  <w:tcBorders>
                    <w:tl2br w:val="nil"/>
                    <w:tr2bl w:val="nil"/>
                  </w:tcBorders>
                  <w:shd w:val="clear" w:color="auto" w:fill="FFFFFF"/>
                  <w:noWrap w:val="0"/>
                  <w:vAlign w:val="center"/>
                </w:tcPr>
                <w:p w14:paraId="4AE9F326">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53</w:t>
                  </w:r>
                </w:p>
              </w:tc>
              <w:tc>
                <w:tcPr>
                  <w:tcW w:w="346" w:type="pct"/>
                  <w:tcBorders>
                    <w:tl2br w:val="nil"/>
                    <w:tr2bl w:val="nil"/>
                  </w:tcBorders>
                  <w:shd w:val="clear" w:color="auto" w:fill="FFFFFF"/>
                  <w:noWrap w:val="0"/>
                  <w:vAlign w:val="center"/>
                </w:tcPr>
                <w:p w14:paraId="129CDD58">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52</w:t>
                  </w:r>
                </w:p>
              </w:tc>
              <w:tc>
                <w:tcPr>
                  <w:tcW w:w="346" w:type="pct"/>
                  <w:tcBorders>
                    <w:tl2br w:val="nil"/>
                    <w:tr2bl w:val="nil"/>
                  </w:tcBorders>
                  <w:shd w:val="clear" w:color="auto" w:fill="FFFFFF"/>
                  <w:noWrap w:val="0"/>
                  <w:vAlign w:val="center"/>
                </w:tcPr>
                <w:p w14:paraId="721902AE">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51</w:t>
                  </w:r>
                </w:p>
              </w:tc>
              <w:tc>
                <w:tcPr>
                  <w:tcW w:w="502" w:type="pct"/>
                  <w:tcBorders>
                    <w:tl2br w:val="nil"/>
                    <w:tr2bl w:val="nil"/>
                  </w:tcBorders>
                  <w:shd w:val="clear" w:color="auto" w:fill="FFFFFF"/>
                  <w:noWrap w:val="0"/>
                  <w:vAlign w:val="center"/>
                </w:tcPr>
                <w:p w14:paraId="0E73DA21">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50</w:t>
                  </w:r>
                </w:p>
              </w:tc>
            </w:tr>
            <w:tr w14:paraId="7829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896" w:type="pct"/>
                  <w:tcBorders>
                    <w:tl2br w:val="nil"/>
                    <w:tr2bl w:val="nil"/>
                  </w:tcBorders>
                  <w:shd w:val="clear" w:color="auto" w:fill="FFFFFF"/>
                  <w:noWrap w:val="0"/>
                  <w:vAlign w:val="top"/>
                </w:tcPr>
                <w:p w14:paraId="0CEAF2D9">
                  <w:pPr>
                    <w:widowControl w:val="0"/>
                    <w:kinsoku/>
                    <w:autoSpaceDE/>
                    <w:autoSpaceDN/>
                    <w:adjustRightInd w:val="0"/>
                    <w:snapToGrid w:val="0"/>
                    <w:spacing w:line="240" w:lineRule="auto"/>
                    <w:jc w:val="center"/>
                    <w:textAlignment w:val="auto"/>
                    <w:rPr>
                      <w:rFonts w:hint="default" w:ascii="Times New Roman" w:hAnsi="Times New Roman" w:cs="Times New Roman"/>
                      <w:snapToGrid w:val="0"/>
                      <w:color w:val="auto"/>
                      <w:kern w:val="0"/>
                      <w:sz w:val="21"/>
                      <w:szCs w:val="21"/>
                    </w:rPr>
                  </w:pPr>
                  <w:r>
                    <w:rPr>
                      <w:rFonts w:hint="default" w:ascii="Times New Roman" w:hAnsi="Times New Roman" w:cs="Times New Roman" w:eastAsiaTheme="minorEastAsia"/>
                      <w:snapToGrid/>
                      <w:color w:val="auto"/>
                      <w:kern w:val="2"/>
                      <w:szCs w:val="21"/>
                      <w:lang w:eastAsia="zh-CN"/>
                    </w:rPr>
                    <w:t>小型自卸汽车</w:t>
                  </w:r>
                </w:p>
              </w:tc>
              <w:tc>
                <w:tcPr>
                  <w:tcW w:w="482" w:type="pct"/>
                  <w:tcBorders>
                    <w:tl2br w:val="nil"/>
                    <w:tr2bl w:val="nil"/>
                  </w:tcBorders>
                  <w:shd w:val="clear" w:color="auto" w:fill="FFFFFF"/>
                  <w:noWrap w:val="0"/>
                  <w:vAlign w:val="center"/>
                </w:tcPr>
                <w:p w14:paraId="22DEC5FB">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80</w:t>
                  </w:r>
                </w:p>
              </w:tc>
              <w:tc>
                <w:tcPr>
                  <w:tcW w:w="346" w:type="pct"/>
                  <w:tcBorders>
                    <w:tl2br w:val="nil"/>
                    <w:tr2bl w:val="nil"/>
                  </w:tcBorders>
                  <w:shd w:val="clear" w:color="auto" w:fill="FFFFFF"/>
                  <w:noWrap w:val="0"/>
                  <w:vAlign w:val="center"/>
                </w:tcPr>
                <w:p w14:paraId="27E24CC7">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60</w:t>
                  </w:r>
                </w:p>
              </w:tc>
              <w:tc>
                <w:tcPr>
                  <w:tcW w:w="346" w:type="pct"/>
                  <w:tcBorders>
                    <w:tl2br w:val="nil"/>
                    <w:tr2bl w:val="nil"/>
                  </w:tcBorders>
                  <w:shd w:val="clear" w:color="auto" w:fill="FFFFFF"/>
                  <w:noWrap w:val="0"/>
                  <w:vAlign w:val="center"/>
                </w:tcPr>
                <w:p w14:paraId="0A94504F">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54</w:t>
                  </w:r>
                </w:p>
              </w:tc>
              <w:tc>
                <w:tcPr>
                  <w:tcW w:w="346" w:type="pct"/>
                  <w:tcBorders>
                    <w:tl2br w:val="nil"/>
                    <w:tr2bl w:val="nil"/>
                  </w:tcBorders>
                  <w:shd w:val="clear" w:color="auto" w:fill="FFFFFF"/>
                  <w:noWrap w:val="0"/>
                  <w:vAlign w:val="center"/>
                </w:tcPr>
                <w:p w14:paraId="7F561D74">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50</w:t>
                  </w:r>
                </w:p>
              </w:tc>
              <w:tc>
                <w:tcPr>
                  <w:tcW w:w="346" w:type="pct"/>
                  <w:tcBorders>
                    <w:tl2br w:val="nil"/>
                    <w:tr2bl w:val="nil"/>
                  </w:tcBorders>
                  <w:shd w:val="clear" w:color="auto" w:fill="FFFFFF"/>
                  <w:noWrap w:val="0"/>
                  <w:vAlign w:val="center"/>
                </w:tcPr>
                <w:p w14:paraId="2C2A21B7">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48</w:t>
                  </w:r>
                </w:p>
              </w:tc>
              <w:tc>
                <w:tcPr>
                  <w:tcW w:w="346" w:type="pct"/>
                  <w:tcBorders>
                    <w:tl2br w:val="nil"/>
                    <w:tr2bl w:val="nil"/>
                  </w:tcBorders>
                  <w:shd w:val="clear" w:color="auto" w:fill="FFFFFF"/>
                  <w:noWrap w:val="0"/>
                  <w:vAlign w:val="center"/>
                </w:tcPr>
                <w:p w14:paraId="4E6FBFB5">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46</w:t>
                  </w:r>
                </w:p>
              </w:tc>
              <w:tc>
                <w:tcPr>
                  <w:tcW w:w="346" w:type="pct"/>
                  <w:tcBorders>
                    <w:tl2br w:val="nil"/>
                    <w:tr2bl w:val="nil"/>
                  </w:tcBorders>
                  <w:shd w:val="clear" w:color="auto" w:fill="FFFFFF"/>
                  <w:noWrap w:val="0"/>
                  <w:vAlign w:val="center"/>
                </w:tcPr>
                <w:p w14:paraId="05B80C40">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44</w:t>
                  </w:r>
                </w:p>
              </w:tc>
              <w:tc>
                <w:tcPr>
                  <w:tcW w:w="346" w:type="pct"/>
                  <w:tcBorders>
                    <w:tl2br w:val="nil"/>
                    <w:tr2bl w:val="nil"/>
                  </w:tcBorders>
                  <w:shd w:val="clear" w:color="auto" w:fill="FFFFFF"/>
                  <w:noWrap w:val="0"/>
                  <w:vAlign w:val="center"/>
                </w:tcPr>
                <w:p w14:paraId="2F063088">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43</w:t>
                  </w:r>
                </w:p>
              </w:tc>
              <w:tc>
                <w:tcPr>
                  <w:tcW w:w="346" w:type="pct"/>
                  <w:tcBorders>
                    <w:tl2br w:val="nil"/>
                    <w:tr2bl w:val="nil"/>
                  </w:tcBorders>
                  <w:shd w:val="clear" w:color="auto" w:fill="FFFFFF"/>
                  <w:noWrap w:val="0"/>
                  <w:vAlign w:val="center"/>
                </w:tcPr>
                <w:p w14:paraId="1AD4D11F">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42</w:t>
                  </w:r>
                </w:p>
              </w:tc>
              <w:tc>
                <w:tcPr>
                  <w:tcW w:w="346" w:type="pct"/>
                  <w:tcBorders>
                    <w:tl2br w:val="nil"/>
                    <w:tr2bl w:val="nil"/>
                  </w:tcBorders>
                  <w:shd w:val="clear" w:color="auto" w:fill="FFFFFF"/>
                  <w:noWrap w:val="0"/>
                  <w:vAlign w:val="center"/>
                </w:tcPr>
                <w:p w14:paraId="0EC8E931">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41</w:t>
                  </w:r>
                </w:p>
              </w:tc>
              <w:tc>
                <w:tcPr>
                  <w:tcW w:w="502" w:type="pct"/>
                  <w:tcBorders>
                    <w:tl2br w:val="nil"/>
                    <w:tr2bl w:val="nil"/>
                  </w:tcBorders>
                  <w:shd w:val="clear" w:color="auto" w:fill="FFFFFF"/>
                  <w:noWrap w:val="0"/>
                  <w:vAlign w:val="center"/>
                </w:tcPr>
                <w:p w14:paraId="7F60331F">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40</w:t>
                  </w:r>
                </w:p>
              </w:tc>
            </w:tr>
            <w:tr w14:paraId="08DD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896" w:type="pct"/>
                  <w:tcBorders>
                    <w:tl2br w:val="nil"/>
                    <w:tr2bl w:val="nil"/>
                  </w:tcBorders>
                  <w:shd w:val="clear" w:color="auto" w:fill="FFFFFF"/>
                  <w:noWrap w:val="0"/>
                  <w:vAlign w:val="top"/>
                </w:tcPr>
                <w:p w14:paraId="447E2782">
                  <w:pPr>
                    <w:widowControl w:val="0"/>
                    <w:kinsoku/>
                    <w:autoSpaceDE/>
                    <w:autoSpaceDN/>
                    <w:adjustRightInd w:val="0"/>
                    <w:snapToGrid w:val="0"/>
                    <w:spacing w:line="240" w:lineRule="auto"/>
                    <w:jc w:val="center"/>
                    <w:textAlignment w:val="auto"/>
                    <w:rPr>
                      <w:rFonts w:hint="default" w:ascii="Times New Roman" w:hAnsi="Times New Roman" w:cs="Times New Roman"/>
                      <w:snapToGrid w:val="0"/>
                      <w:color w:val="auto"/>
                      <w:kern w:val="0"/>
                      <w:sz w:val="21"/>
                      <w:szCs w:val="21"/>
                    </w:rPr>
                  </w:pPr>
                  <w:r>
                    <w:rPr>
                      <w:rFonts w:hint="default" w:ascii="Times New Roman" w:hAnsi="Times New Roman" w:cs="Times New Roman" w:eastAsiaTheme="minorEastAsia"/>
                      <w:snapToGrid/>
                      <w:color w:val="auto"/>
                      <w:kern w:val="2"/>
                      <w:szCs w:val="21"/>
                      <w:lang w:eastAsia="zh-CN"/>
                    </w:rPr>
                    <w:t>提升机</w:t>
                  </w:r>
                </w:p>
              </w:tc>
              <w:tc>
                <w:tcPr>
                  <w:tcW w:w="482" w:type="pct"/>
                  <w:tcBorders>
                    <w:tl2br w:val="nil"/>
                    <w:tr2bl w:val="nil"/>
                  </w:tcBorders>
                  <w:shd w:val="clear" w:color="auto" w:fill="FFFFFF"/>
                  <w:noWrap w:val="0"/>
                  <w:vAlign w:val="center"/>
                </w:tcPr>
                <w:p w14:paraId="616049FD">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80</w:t>
                  </w:r>
                </w:p>
              </w:tc>
              <w:tc>
                <w:tcPr>
                  <w:tcW w:w="346" w:type="pct"/>
                  <w:tcBorders>
                    <w:tl2br w:val="nil"/>
                    <w:tr2bl w:val="nil"/>
                  </w:tcBorders>
                  <w:shd w:val="clear" w:color="auto" w:fill="FFFFFF"/>
                  <w:noWrap w:val="0"/>
                  <w:vAlign w:val="center"/>
                </w:tcPr>
                <w:p w14:paraId="6D931398">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60</w:t>
                  </w:r>
                </w:p>
              </w:tc>
              <w:tc>
                <w:tcPr>
                  <w:tcW w:w="346" w:type="pct"/>
                  <w:tcBorders>
                    <w:tl2br w:val="nil"/>
                    <w:tr2bl w:val="nil"/>
                  </w:tcBorders>
                  <w:shd w:val="clear" w:color="auto" w:fill="FFFFFF"/>
                  <w:noWrap w:val="0"/>
                  <w:vAlign w:val="center"/>
                </w:tcPr>
                <w:p w14:paraId="4C252885">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54</w:t>
                  </w:r>
                </w:p>
              </w:tc>
              <w:tc>
                <w:tcPr>
                  <w:tcW w:w="346" w:type="pct"/>
                  <w:tcBorders>
                    <w:tl2br w:val="nil"/>
                    <w:tr2bl w:val="nil"/>
                  </w:tcBorders>
                  <w:shd w:val="clear" w:color="auto" w:fill="FFFFFF"/>
                  <w:noWrap w:val="0"/>
                  <w:vAlign w:val="center"/>
                </w:tcPr>
                <w:p w14:paraId="40004E7D">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50</w:t>
                  </w:r>
                </w:p>
              </w:tc>
              <w:tc>
                <w:tcPr>
                  <w:tcW w:w="346" w:type="pct"/>
                  <w:tcBorders>
                    <w:tl2br w:val="nil"/>
                    <w:tr2bl w:val="nil"/>
                  </w:tcBorders>
                  <w:shd w:val="clear" w:color="auto" w:fill="FFFFFF"/>
                  <w:noWrap w:val="0"/>
                  <w:vAlign w:val="center"/>
                </w:tcPr>
                <w:p w14:paraId="607BD486">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48</w:t>
                  </w:r>
                </w:p>
              </w:tc>
              <w:tc>
                <w:tcPr>
                  <w:tcW w:w="346" w:type="pct"/>
                  <w:tcBorders>
                    <w:tl2br w:val="nil"/>
                    <w:tr2bl w:val="nil"/>
                  </w:tcBorders>
                  <w:shd w:val="clear" w:color="auto" w:fill="FFFFFF"/>
                  <w:noWrap w:val="0"/>
                  <w:vAlign w:val="center"/>
                </w:tcPr>
                <w:p w14:paraId="58CE0DFB">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46</w:t>
                  </w:r>
                </w:p>
              </w:tc>
              <w:tc>
                <w:tcPr>
                  <w:tcW w:w="346" w:type="pct"/>
                  <w:tcBorders>
                    <w:tl2br w:val="nil"/>
                    <w:tr2bl w:val="nil"/>
                  </w:tcBorders>
                  <w:shd w:val="clear" w:color="auto" w:fill="FFFFFF"/>
                  <w:noWrap w:val="0"/>
                  <w:vAlign w:val="center"/>
                </w:tcPr>
                <w:p w14:paraId="2A07AEA9">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44</w:t>
                  </w:r>
                </w:p>
              </w:tc>
              <w:tc>
                <w:tcPr>
                  <w:tcW w:w="346" w:type="pct"/>
                  <w:tcBorders>
                    <w:tl2br w:val="nil"/>
                    <w:tr2bl w:val="nil"/>
                  </w:tcBorders>
                  <w:shd w:val="clear" w:color="auto" w:fill="FFFFFF"/>
                  <w:noWrap w:val="0"/>
                  <w:vAlign w:val="center"/>
                </w:tcPr>
                <w:p w14:paraId="309D35C1">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43</w:t>
                  </w:r>
                </w:p>
              </w:tc>
              <w:tc>
                <w:tcPr>
                  <w:tcW w:w="346" w:type="pct"/>
                  <w:tcBorders>
                    <w:tl2br w:val="nil"/>
                    <w:tr2bl w:val="nil"/>
                  </w:tcBorders>
                  <w:shd w:val="clear" w:color="auto" w:fill="FFFFFF"/>
                  <w:noWrap w:val="0"/>
                  <w:vAlign w:val="center"/>
                </w:tcPr>
                <w:p w14:paraId="34C49506">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42</w:t>
                  </w:r>
                </w:p>
              </w:tc>
              <w:tc>
                <w:tcPr>
                  <w:tcW w:w="346" w:type="pct"/>
                  <w:tcBorders>
                    <w:tl2br w:val="nil"/>
                    <w:tr2bl w:val="nil"/>
                  </w:tcBorders>
                  <w:shd w:val="clear" w:color="auto" w:fill="FFFFFF"/>
                  <w:noWrap w:val="0"/>
                  <w:vAlign w:val="center"/>
                </w:tcPr>
                <w:p w14:paraId="1D376072">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41</w:t>
                  </w:r>
                </w:p>
              </w:tc>
              <w:tc>
                <w:tcPr>
                  <w:tcW w:w="502" w:type="pct"/>
                  <w:tcBorders>
                    <w:tl2br w:val="nil"/>
                    <w:tr2bl w:val="nil"/>
                  </w:tcBorders>
                  <w:shd w:val="clear" w:color="auto" w:fill="FFFFFF"/>
                  <w:noWrap w:val="0"/>
                  <w:vAlign w:val="center"/>
                </w:tcPr>
                <w:p w14:paraId="12893DE2">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40</w:t>
                  </w:r>
                </w:p>
              </w:tc>
            </w:tr>
            <w:tr w14:paraId="28EA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28" w:type="dxa"/>
                  <w:left w:w="28" w:type="dxa"/>
                  <w:bottom w:w="28" w:type="dxa"/>
                  <w:right w:w="28" w:type="dxa"/>
                </w:tblCellMar>
              </w:tblPrEx>
              <w:trPr>
                <w:trHeight w:val="90" w:hRule="atLeast"/>
                <w:jc w:val="center"/>
              </w:trPr>
              <w:tc>
                <w:tcPr>
                  <w:tcW w:w="896" w:type="pct"/>
                  <w:tcBorders>
                    <w:tl2br w:val="nil"/>
                    <w:tr2bl w:val="nil"/>
                  </w:tcBorders>
                  <w:shd w:val="clear" w:color="auto" w:fill="FFFFFF"/>
                  <w:noWrap w:val="0"/>
                  <w:vAlign w:val="top"/>
                </w:tcPr>
                <w:p w14:paraId="338604C9">
                  <w:pPr>
                    <w:widowControl w:val="0"/>
                    <w:kinsoku/>
                    <w:autoSpaceDE/>
                    <w:autoSpaceDN/>
                    <w:adjustRightInd w:val="0"/>
                    <w:snapToGrid w:val="0"/>
                    <w:spacing w:line="240" w:lineRule="auto"/>
                    <w:jc w:val="center"/>
                    <w:textAlignment w:val="auto"/>
                    <w:rPr>
                      <w:rFonts w:hint="default" w:ascii="Times New Roman" w:hAnsi="Times New Roman" w:cs="Times New Roman"/>
                      <w:snapToGrid w:val="0"/>
                      <w:color w:val="auto"/>
                      <w:kern w:val="0"/>
                      <w:sz w:val="21"/>
                      <w:szCs w:val="21"/>
                    </w:rPr>
                  </w:pPr>
                  <w:r>
                    <w:rPr>
                      <w:rFonts w:hint="default" w:ascii="Times New Roman" w:hAnsi="Times New Roman" w:cs="Times New Roman" w:eastAsiaTheme="minorEastAsia"/>
                      <w:snapToGrid/>
                      <w:color w:val="auto"/>
                      <w:kern w:val="2"/>
                      <w:szCs w:val="21"/>
                      <w:lang w:eastAsia="zh-CN"/>
                    </w:rPr>
                    <w:t>压路机</w:t>
                  </w:r>
                </w:p>
              </w:tc>
              <w:tc>
                <w:tcPr>
                  <w:tcW w:w="482" w:type="pct"/>
                  <w:tcBorders>
                    <w:tl2br w:val="nil"/>
                    <w:tr2bl w:val="nil"/>
                  </w:tcBorders>
                  <w:shd w:val="clear" w:color="auto" w:fill="FFFFFF"/>
                  <w:noWrap w:val="0"/>
                  <w:vAlign w:val="center"/>
                </w:tcPr>
                <w:p w14:paraId="18898B29">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80</w:t>
                  </w:r>
                </w:p>
              </w:tc>
              <w:tc>
                <w:tcPr>
                  <w:tcW w:w="346" w:type="pct"/>
                  <w:tcBorders>
                    <w:tl2br w:val="nil"/>
                    <w:tr2bl w:val="nil"/>
                  </w:tcBorders>
                  <w:shd w:val="clear" w:color="auto" w:fill="FFFFFF"/>
                  <w:noWrap w:val="0"/>
                  <w:vAlign w:val="center"/>
                </w:tcPr>
                <w:p w14:paraId="59D2EF7D">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60</w:t>
                  </w:r>
                </w:p>
              </w:tc>
              <w:tc>
                <w:tcPr>
                  <w:tcW w:w="346" w:type="pct"/>
                  <w:tcBorders>
                    <w:tl2br w:val="nil"/>
                    <w:tr2bl w:val="nil"/>
                  </w:tcBorders>
                  <w:shd w:val="clear" w:color="auto" w:fill="FFFFFF"/>
                  <w:noWrap w:val="0"/>
                  <w:vAlign w:val="center"/>
                </w:tcPr>
                <w:p w14:paraId="21E6D9B7">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54</w:t>
                  </w:r>
                </w:p>
              </w:tc>
              <w:tc>
                <w:tcPr>
                  <w:tcW w:w="346" w:type="pct"/>
                  <w:tcBorders>
                    <w:tl2br w:val="nil"/>
                    <w:tr2bl w:val="nil"/>
                  </w:tcBorders>
                  <w:shd w:val="clear" w:color="auto" w:fill="FFFFFF"/>
                  <w:noWrap w:val="0"/>
                  <w:vAlign w:val="center"/>
                </w:tcPr>
                <w:p w14:paraId="7C0A8484">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50</w:t>
                  </w:r>
                </w:p>
              </w:tc>
              <w:tc>
                <w:tcPr>
                  <w:tcW w:w="346" w:type="pct"/>
                  <w:tcBorders>
                    <w:tl2br w:val="nil"/>
                    <w:tr2bl w:val="nil"/>
                  </w:tcBorders>
                  <w:shd w:val="clear" w:color="auto" w:fill="FFFFFF"/>
                  <w:noWrap w:val="0"/>
                  <w:vAlign w:val="center"/>
                </w:tcPr>
                <w:p w14:paraId="25448D5E">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48</w:t>
                  </w:r>
                </w:p>
              </w:tc>
              <w:tc>
                <w:tcPr>
                  <w:tcW w:w="346" w:type="pct"/>
                  <w:tcBorders>
                    <w:tl2br w:val="nil"/>
                    <w:tr2bl w:val="nil"/>
                  </w:tcBorders>
                  <w:shd w:val="clear" w:color="auto" w:fill="FFFFFF"/>
                  <w:noWrap w:val="0"/>
                  <w:vAlign w:val="center"/>
                </w:tcPr>
                <w:p w14:paraId="1A0DEA2E">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46</w:t>
                  </w:r>
                </w:p>
              </w:tc>
              <w:tc>
                <w:tcPr>
                  <w:tcW w:w="346" w:type="pct"/>
                  <w:tcBorders>
                    <w:tl2br w:val="nil"/>
                    <w:tr2bl w:val="nil"/>
                  </w:tcBorders>
                  <w:shd w:val="clear" w:color="auto" w:fill="FFFFFF"/>
                  <w:noWrap w:val="0"/>
                  <w:vAlign w:val="center"/>
                </w:tcPr>
                <w:p w14:paraId="746E3AF5">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44</w:t>
                  </w:r>
                </w:p>
              </w:tc>
              <w:tc>
                <w:tcPr>
                  <w:tcW w:w="346" w:type="pct"/>
                  <w:tcBorders>
                    <w:tl2br w:val="nil"/>
                    <w:tr2bl w:val="nil"/>
                  </w:tcBorders>
                  <w:shd w:val="clear" w:color="auto" w:fill="FFFFFF"/>
                  <w:noWrap w:val="0"/>
                  <w:vAlign w:val="center"/>
                </w:tcPr>
                <w:p w14:paraId="411B5833">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43</w:t>
                  </w:r>
                </w:p>
              </w:tc>
              <w:tc>
                <w:tcPr>
                  <w:tcW w:w="346" w:type="pct"/>
                  <w:tcBorders>
                    <w:tl2br w:val="nil"/>
                    <w:tr2bl w:val="nil"/>
                  </w:tcBorders>
                  <w:shd w:val="clear" w:color="auto" w:fill="FFFFFF"/>
                  <w:noWrap w:val="0"/>
                  <w:vAlign w:val="center"/>
                </w:tcPr>
                <w:p w14:paraId="0296415A">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42</w:t>
                  </w:r>
                </w:p>
              </w:tc>
              <w:tc>
                <w:tcPr>
                  <w:tcW w:w="346" w:type="pct"/>
                  <w:tcBorders>
                    <w:tl2br w:val="nil"/>
                    <w:tr2bl w:val="nil"/>
                  </w:tcBorders>
                  <w:shd w:val="clear" w:color="auto" w:fill="FFFFFF"/>
                  <w:noWrap w:val="0"/>
                  <w:vAlign w:val="center"/>
                </w:tcPr>
                <w:p w14:paraId="19FBA7AB">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41</w:t>
                  </w:r>
                </w:p>
              </w:tc>
              <w:tc>
                <w:tcPr>
                  <w:tcW w:w="502" w:type="pct"/>
                  <w:tcBorders>
                    <w:tl2br w:val="nil"/>
                    <w:tr2bl w:val="nil"/>
                  </w:tcBorders>
                  <w:shd w:val="clear" w:color="auto" w:fill="FFFFFF"/>
                  <w:noWrap w:val="0"/>
                  <w:vAlign w:val="center"/>
                </w:tcPr>
                <w:p w14:paraId="255A7218">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40</w:t>
                  </w:r>
                </w:p>
              </w:tc>
            </w:tr>
            <w:tr w14:paraId="6749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896" w:type="pct"/>
                  <w:tcBorders>
                    <w:tl2br w:val="nil"/>
                    <w:tr2bl w:val="nil"/>
                  </w:tcBorders>
                  <w:shd w:val="clear" w:color="auto" w:fill="FFFFFF"/>
                  <w:noWrap w:val="0"/>
                  <w:vAlign w:val="top"/>
                </w:tcPr>
                <w:p w14:paraId="6AB019F5">
                  <w:pPr>
                    <w:widowControl w:val="0"/>
                    <w:kinsoku/>
                    <w:autoSpaceDE/>
                    <w:autoSpaceDN/>
                    <w:adjustRightInd w:val="0"/>
                    <w:snapToGrid w:val="0"/>
                    <w:spacing w:line="240" w:lineRule="auto"/>
                    <w:jc w:val="center"/>
                    <w:textAlignment w:val="auto"/>
                    <w:rPr>
                      <w:rFonts w:hint="default" w:ascii="Times New Roman" w:hAnsi="Times New Roman" w:cs="Times New Roman"/>
                      <w:snapToGrid w:val="0"/>
                      <w:color w:val="auto"/>
                      <w:kern w:val="0"/>
                      <w:sz w:val="21"/>
                      <w:szCs w:val="21"/>
                    </w:rPr>
                  </w:pPr>
                  <w:r>
                    <w:rPr>
                      <w:rFonts w:hint="default" w:ascii="Times New Roman" w:hAnsi="Times New Roman" w:cs="Times New Roman" w:eastAsiaTheme="minorEastAsia"/>
                      <w:snapToGrid/>
                      <w:color w:val="auto"/>
                      <w:kern w:val="2"/>
                      <w:szCs w:val="21"/>
                      <w:lang w:eastAsia="zh-CN"/>
                    </w:rPr>
                    <w:t>钢筋调直机</w:t>
                  </w:r>
                </w:p>
              </w:tc>
              <w:tc>
                <w:tcPr>
                  <w:tcW w:w="482" w:type="pct"/>
                  <w:tcBorders>
                    <w:tl2br w:val="nil"/>
                    <w:tr2bl w:val="nil"/>
                  </w:tcBorders>
                  <w:shd w:val="clear" w:color="auto" w:fill="FFFFFF"/>
                  <w:noWrap w:val="0"/>
                  <w:vAlign w:val="center"/>
                </w:tcPr>
                <w:p w14:paraId="4EE2CFF4">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90</w:t>
                  </w:r>
                </w:p>
              </w:tc>
              <w:tc>
                <w:tcPr>
                  <w:tcW w:w="346" w:type="pct"/>
                  <w:tcBorders>
                    <w:tl2br w:val="nil"/>
                    <w:tr2bl w:val="nil"/>
                  </w:tcBorders>
                  <w:shd w:val="clear" w:color="auto" w:fill="FFFFFF"/>
                  <w:noWrap w:val="0"/>
                  <w:vAlign w:val="center"/>
                </w:tcPr>
                <w:p w14:paraId="0DE5C528">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70</w:t>
                  </w:r>
                </w:p>
              </w:tc>
              <w:tc>
                <w:tcPr>
                  <w:tcW w:w="346" w:type="pct"/>
                  <w:tcBorders>
                    <w:tl2br w:val="nil"/>
                    <w:tr2bl w:val="nil"/>
                  </w:tcBorders>
                  <w:shd w:val="clear" w:color="auto" w:fill="FFFFFF"/>
                  <w:noWrap w:val="0"/>
                  <w:vAlign w:val="center"/>
                </w:tcPr>
                <w:p w14:paraId="2DE710A1">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64</w:t>
                  </w:r>
                </w:p>
              </w:tc>
              <w:tc>
                <w:tcPr>
                  <w:tcW w:w="346" w:type="pct"/>
                  <w:tcBorders>
                    <w:tl2br w:val="nil"/>
                    <w:tr2bl w:val="nil"/>
                  </w:tcBorders>
                  <w:shd w:val="clear" w:color="auto" w:fill="FFFFFF"/>
                  <w:noWrap w:val="0"/>
                  <w:vAlign w:val="center"/>
                </w:tcPr>
                <w:p w14:paraId="13FEC09F">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60</w:t>
                  </w:r>
                </w:p>
              </w:tc>
              <w:tc>
                <w:tcPr>
                  <w:tcW w:w="346" w:type="pct"/>
                  <w:tcBorders>
                    <w:tl2br w:val="nil"/>
                    <w:tr2bl w:val="nil"/>
                  </w:tcBorders>
                  <w:shd w:val="clear" w:color="auto" w:fill="FFFFFF"/>
                  <w:noWrap w:val="0"/>
                  <w:vAlign w:val="center"/>
                </w:tcPr>
                <w:p w14:paraId="00D8655E">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58</w:t>
                  </w:r>
                </w:p>
              </w:tc>
              <w:tc>
                <w:tcPr>
                  <w:tcW w:w="346" w:type="pct"/>
                  <w:tcBorders>
                    <w:tl2br w:val="nil"/>
                    <w:tr2bl w:val="nil"/>
                  </w:tcBorders>
                  <w:shd w:val="clear" w:color="auto" w:fill="FFFFFF"/>
                  <w:noWrap w:val="0"/>
                  <w:vAlign w:val="center"/>
                </w:tcPr>
                <w:p w14:paraId="3550A1E2">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56</w:t>
                  </w:r>
                </w:p>
              </w:tc>
              <w:tc>
                <w:tcPr>
                  <w:tcW w:w="346" w:type="pct"/>
                  <w:tcBorders>
                    <w:tl2br w:val="nil"/>
                    <w:tr2bl w:val="nil"/>
                  </w:tcBorders>
                  <w:shd w:val="clear" w:color="auto" w:fill="FFFFFF"/>
                  <w:noWrap w:val="0"/>
                  <w:vAlign w:val="center"/>
                </w:tcPr>
                <w:p w14:paraId="33DC856C">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54</w:t>
                  </w:r>
                </w:p>
              </w:tc>
              <w:tc>
                <w:tcPr>
                  <w:tcW w:w="346" w:type="pct"/>
                  <w:tcBorders>
                    <w:tl2br w:val="nil"/>
                    <w:tr2bl w:val="nil"/>
                  </w:tcBorders>
                  <w:shd w:val="clear" w:color="auto" w:fill="FFFFFF"/>
                  <w:noWrap w:val="0"/>
                  <w:vAlign w:val="center"/>
                </w:tcPr>
                <w:p w14:paraId="1D23C58F">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53</w:t>
                  </w:r>
                </w:p>
              </w:tc>
              <w:tc>
                <w:tcPr>
                  <w:tcW w:w="346" w:type="pct"/>
                  <w:tcBorders>
                    <w:tl2br w:val="nil"/>
                    <w:tr2bl w:val="nil"/>
                  </w:tcBorders>
                  <w:shd w:val="clear" w:color="auto" w:fill="FFFFFF"/>
                  <w:noWrap w:val="0"/>
                  <w:vAlign w:val="center"/>
                </w:tcPr>
                <w:p w14:paraId="24494531">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52</w:t>
                  </w:r>
                </w:p>
              </w:tc>
              <w:tc>
                <w:tcPr>
                  <w:tcW w:w="346" w:type="pct"/>
                  <w:tcBorders>
                    <w:tl2br w:val="nil"/>
                    <w:tr2bl w:val="nil"/>
                  </w:tcBorders>
                  <w:shd w:val="clear" w:color="auto" w:fill="FFFFFF"/>
                  <w:noWrap w:val="0"/>
                  <w:vAlign w:val="center"/>
                </w:tcPr>
                <w:p w14:paraId="78038417">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51</w:t>
                  </w:r>
                </w:p>
              </w:tc>
              <w:tc>
                <w:tcPr>
                  <w:tcW w:w="502" w:type="pct"/>
                  <w:tcBorders>
                    <w:tl2br w:val="nil"/>
                    <w:tr2bl w:val="nil"/>
                  </w:tcBorders>
                  <w:shd w:val="clear" w:color="auto" w:fill="FFFFFF"/>
                  <w:noWrap w:val="0"/>
                  <w:vAlign w:val="center"/>
                </w:tcPr>
                <w:p w14:paraId="760947FF">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50</w:t>
                  </w:r>
                </w:p>
              </w:tc>
            </w:tr>
            <w:tr w14:paraId="2FCB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896" w:type="pct"/>
                  <w:tcBorders>
                    <w:tl2br w:val="nil"/>
                    <w:tr2bl w:val="nil"/>
                  </w:tcBorders>
                  <w:shd w:val="clear" w:color="auto" w:fill="FFFFFF"/>
                  <w:noWrap w:val="0"/>
                  <w:vAlign w:val="top"/>
                </w:tcPr>
                <w:p w14:paraId="4DC8B72D">
                  <w:pPr>
                    <w:widowControl w:val="0"/>
                    <w:kinsoku/>
                    <w:autoSpaceDE/>
                    <w:autoSpaceDN/>
                    <w:adjustRightInd w:val="0"/>
                    <w:snapToGrid w:val="0"/>
                    <w:spacing w:line="240" w:lineRule="auto"/>
                    <w:jc w:val="center"/>
                    <w:textAlignment w:val="auto"/>
                    <w:rPr>
                      <w:rFonts w:hint="default" w:ascii="Times New Roman" w:hAnsi="Times New Roman" w:cs="Times New Roman"/>
                      <w:snapToGrid w:val="0"/>
                      <w:color w:val="auto"/>
                      <w:kern w:val="0"/>
                      <w:sz w:val="21"/>
                      <w:szCs w:val="21"/>
                    </w:rPr>
                  </w:pPr>
                  <w:r>
                    <w:rPr>
                      <w:rFonts w:hint="default" w:ascii="Times New Roman" w:hAnsi="Times New Roman" w:cs="Times New Roman" w:eastAsiaTheme="minorEastAsia"/>
                      <w:snapToGrid/>
                      <w:color w:val="auto"/>
                      <w:kern w:val="2"/>
                      <w:szCs w:val="21"/>
                      <w:lang w:eastAsia="zh-CN"/>
                    </w:rPr>
                    <w:t>钢筋切断机</w:t>
                  </w:r>
                </w:p>
              </w:tc>
              <w:tc>
                <w:tcPr>
                  <w:tcW w:w="482" w:type="pct"/>
                  <w:tcBorders>
                    <w:tl2br w:val="nil"/>
                    <w:tr2bl w:val="nil"/>
                  </w:tcBorders>
                  <w:shd w:val="clear" w:color="auto" w:fill="FFFFFF"/>
                  <w:noWrap w:val="0"/>
                  <w:vAlign w:val="center"/>
                </w:tcPr>
                <w:p w14:paraId="550EBBAD">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90</w:t>
                  </w:r>
                </w:p>
              </w:tc>
              <w:tc>
                <w:tcPr>
                  <w:tcW w:w="346" w:type="pct"/>
                  <w:tcBorders>
                    <w:tl2br w:val="nil"/>
                    <w:tr2bl w:val="nil"/>
                  </w:tcBorders>
                  <w:shd w:val="clear" w:color="auto" w:fill="FFFFFF"/>
                  <w:noWrap w:val="0"/>
                  <w:vAlign w:val="center"/>
                </w:tcPr>
                <w:p w14:paraId="51D97F39">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70</w:t>
                  </w:r>
                </w:p>
              </w:tc>
              <w:tc>
                <w:tcPr>
                  <w:tcW w:w="346" w:type="pct"/>
                  <w:tcBorders>
                    <w:tl2br w:val="nil"/>
                    <w:tr2bl w:val="nil"/>
                  </w:tcBorders>
                  <w:shd w:val="clear" w:color="auto" w:fill="FFFFFF"/>
                  <w:noWrap w:val="0"/>
                  <w:vAlign w:val="center"/>
                </w:tcPr>
                <w:p w14:paraId="36A11EEB">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64</w:t>
                  </w:r>
                </w:p>
              </w:tc>
              <w:tc>
                <w:tcPr>
                  <w:tcW w:w="346" w:type="pct"/>
                  <w:tcBorders>
                    <w:tl2br w:val="nil"/>
                    <w:tr2bl w:val="nil"/>
                  </w:tcBorders>
                  <w:shd w:val="clear" w:color="auto" w:fill="FFFFFF"/>
                  <w:noWrap w:val="0"/>
                  <w:vAlign w:val="center"/>
                </w:tcPr>
                <w:p w14:paraId="5031D990">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60</w:t>
                  </w:r>
                </w:p>
              </w:tc>
              <w:tc>
                <w:tcPr>
                  <w:tcW w:w="346" w:type="pct"/>
                  <w:tcBorders>
                    <w:tl2br w:val="nil"/>
                    <w:tr2bl w:val="nil"/>
                  </w:tcBorders>
                  <w:shd w:val="clear" w:color="auto" w:fill="FFFFFF"/>
                  <w:noWrap w:val="0"/>
                  <w:vAlign w:val="center"/>
                </w:tcPr>
                <w:p w14:paraId="4D90FA6F">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58</w:t>
                  </w:r>
                </w:p>
              </w:tc>
              <w:tc>
                <w:tcPr>
                  <w:tcW w:w="346" w:type="pct"/>
                  <w:tcBorders>
                    <w:tl2br w:val="nil"/>
                    <w:tr2bl w:val="nil"/>
                  </w:tcBorders>
                  <w:shd w:val="clear" w:color="auto" w:fill="FFFFFF"/>
                  <w:noWrap w:val="0"/>
                  <w:vAlign w:val="center"/>
                </w:tcPr>
                <w:p w14:paraId="239E01F6">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56</w:t>
                  </w:r>
                </w:p>
              </w:tc>
              <w:tc>
                <w:tcPr>
                  <w:tcW w:w="346" w:type="pct"/>
                  <w:tcBorders>
                    <w:tl2br w:val="nil"/>
                    <w:tr2bl w:val="nil"/>
                  </w:tcBorders>
                  <w:shd w:val="clear" w:color="auto" w:fill="FFFFFF"/>
                  <w:noWrap w:val="0"/>
                  <w:vAlign w:val="center"/>
                </w:tcPr>
                <w:p w14:paraId="488413FD">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54</w:t>
                  </w:r>
                </w:p>
              </w:tc>
              <w:tc>
                <w:tcPr>
                  <w:tcW w:w="346" w:type="pct"/>
                  <w:tcBorders>
                    <w:tl2br w:val="nil"/>
                    <w:tr2bl w:val="nil"/>
                  </w:tcBorders>
                  <w:shd w:val="clear" w:color="auto" w:fill="FFFFFF"/>
                  <w:noWrap w:val="0"/>
                  <w:vAlign w:val="center"/>
                </w:tcPr>
                <w:p w14:paraId="1C3AEFE0">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53</w:t>
                  </w:r>
                </w:p>
              </w:tc>
              <w:tc>
                <w:tcPr>
                  <w:tcW w:w="346" w:type="pct"/>
                  <w:tcBorders>
                    <w:tl2br w:val="nil"/>
                    <w:tr2bl w:val="nil"/>
                  </w:tcBorders>
                  <w:shd w:val="clear" w:color="auto" w:fill="FFFFFF"/>
                  <w:noWrap w:val="0"/>
                  <w:vAlign w:val="center"/>
                </w:tcPr>
                <w:p w14:paraId="21548938">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52</w:t>
                  </w:r>
                </w:p>
              </w:tc>
              <w:tc>
                <w:tcPr>
                  <w:tcW w:w="346" w:type="pct"/>
                  <w:tcBorders>
                    <w:tl2br w:val="nil"/>
                    <w:tr2bl w:val="nil"/>
                  </w:tcBorders>
                  <w:shd w:val="clear" w:color="auto" w:fill="FFFFFF"/>
                  <w:noWrap w:val="0"/>
                  <w:vAlign w:val="center"/>
                </w:tcPr>
                <w:p w14:paraId="4CDE8BA5">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51</w:t>
                  </w:r>
                </w:p>
              </w:tc>
              <w:tc>
                <w:tcPr>
                  <w:tcW w:w="502" w:type="pct"/>
                  <w:tcBorders>
                    <w:tl2br w:val="nil"/>
                    <w:tr2bl w:val="nil"/>
                  </w:tcBorders>
                  <w:shd w:val="clear" w:color="auto" w:fill="FFFFFF"/>
                  <w:noWrap w:val="0"/>
                  <w:vAlign w:val="center"/>
                </w:tcPr>
                <w:p w14:paraId="7AD28746">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50</w:t>
                  </w:r>
                </w:p>
              </w:tc>
            </w:tr>
            <w:tr w14:paraId="2B88D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896" w:type="pct"/>
                  <w:tcBorders>
                    <w:tl2br w:val="nil"/>
                    <w:tr2bl w:val="nil"/>
                  </w:tcBorders>
                  <w:shd w:val="clear" w:color="auto" w:fill="FFFFFF"/>
                  <w:noWrap w:val="0"/>
                  <w:vAlign w:val="top"/>
                </w:tcPr>
                <w:p w14:paraId="3B26E17D">
                  <w:pPr>
                    <w:widowControl w:val="0"/>
                    <w:kinsoku/>
                    <w:autoSpaceDE/>
                    <w:autoSpaceDN/>
                    <w:adjustRightInd w:val="0"/>
                    <w:snapToGrid w:val="0"/>
                    <w:spacing w:line="240" w:lineRule="auto"/>
                    <w:jc w:val="center"/>
                    <w:textAlignment w:val="auto"/>
                    <w:rPr>
                      <w:rFonts w:hint="default" w:ascii="Times New Roman" w:hAnsi="Times New Roman" w:cs="Times New Roman"/>
                      <w:snapToGrid w:val="0"/>
                      <w:color w:val="auto"/>
                      <w:kern w:val="0"/>
                      <w:sz w:val="21"/>
                      <w:szCs w:val="21"/>
                    </w:rPr>
                  </w:pPr>
                  <w:r>
                    <w:rPr>
                      <w:rFonts w:hint="default" w:ascii="Times New Roman" w:hAnsi="Times New Roman" w:cs="Times New Roman" w:eastAsiaTheme="minorEastAsia"/>
                      <w:snapToGrid/>
                      <w:color w:val="auto"/>
                      <w:kern w:val="2"/>
                      <w:szCs w:val="21"/>
                      <w:lang w:eastAsia="zh-CN"/>
                    </w:rPr>
                    <w:t>钢筋弯曲机</w:t>
                  </w:r>
                </w:p>
              </w:tc>
              <w:tc>
                <w:tcPr>
                  <w:tcW w:w="482" w:type="pct"/>
                  <w:tcBorders>
                    <w:tl2br w:val="nil"/>
                    <w:tr2bl w:val="nil"/>
                  </w:tcBorders>
                  <w:shd w:val="clear" w:color="auto" w:fill="FFFFFF"/>
                  <w:noWrap w:val="0"/>
                  <w:vAlign w:val="center"/>
                </w:tcPr>
                <w:p w14:paraId="6E923257">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90</w:t>
                  </w:r>
                </w:p>
              </w:tc>
              <w:tc>
                <w:tcPr>
                  <w:tcW w:w="346" w:type="pct"/>
                  <w:tcBorders>
                    <w:tl2br w:val="nil"/>
                    <w:tr2bl w:val="nil"/>
                  </w:tcBorders>
                  <w:shd w:val="clear" w:color="auto" w:fill="FFFFFF"/>
                  <w:noWrap w:val="0"/>
                  <w:vAlign w:val="center"/>
                </w:tcPr>
                <w:p w14:paraId="249F3C8F">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70</w:t>
                  </w:r>
                </w:p>
              </w:tc>
              <w:tc>
                <w:tcPr>
                  <w:tcW w:w="346" w:type="pct"/>
                  <w:tcBorders>
                    <w:tl2br w:val="nil"/>
                    <w:tr2bl w:val="nil"/>
                  </w:tcBorders>
                  <w:shd w:val="clear" w:color="auto" w:fill="FFFFFF"/>
                  <w:noWrap w:val="0"/>
                  <w:vAlign w:val="center"/>
                </w:tcPr>
                <w:p w14:paraId="44F41469">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64</w:t>
                  </w:r>
                </w:p>
              </w:tc>
              <w:tc>
                <w:tcPr>
                  <w:tcW w:w="346" w:type="pct"/>
                  <w:tcBorders>
                    <w:tl2br w:val="nil"/>
                    <w:tr2bl w:val="nil"/>
                  </w:tcBorders>
                  <w:shd w:val="clear" w:color="auto" w:fill="FFFFFF"/>
                  <w:noWrap w:val="0"/>
                  <w:vAlign w:val="center"/>
                </w:tcPr>
                <w:p w14:paraId="3ECE16CA">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60</w:t>
                  </w:r>
                </w:p>
              </w:tc>
              <w:tc>
                <w:tcPr>
                  <w:tcW w:w="346" w:type="pct"/>
                  <w:tcBorders>
                    <w:tl2br w:val="nil"/>
                    <w:tr2bl w:val="nil"/>
                  </w:tcBorders>
                  <w:shd w:val="clear" w:color="auto" w:fill="FFFFFF"/>
                  <w:noWrap w:val="0"/>
                  <w:vAlign w:val="center"/>
                </w:tcPr>
                <w:p w14:paraId="1FB4639F">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58</w:t>
                  </w:r>
                </w:p>
              </w:tc>
              <w:tc>
                <w:tcPr>
                  <w:tcW w:w="346" w:type="pct"/>
                  <w:tcBorders>
                    <w:tl2br w:val="nil"/>
                    <w:tr2bl w:val="nil"/>
                  </w:tcBorders>
                  <w:shd w:val="clear" w:color="auto" w:fill="FFFFFF"/>
                  <w:noWrap w:val="0"/>
                  <w:vAlign w:val="center"/>
                </w:tcPr>
                <w:p w14:paraId="171EC9D2">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56</w:t>
                  </w:r>
                </w:p>
              </w:tc>
              <w:tc>
                <w:tcPr>
                  <w:tcW w:w="346" w:type="pct"/>
                  <w:tcBorders>
                    <w:tl2br w:val="nil"/>
                    <w:tr2bl w:val="nil"/>
                  </w:tcBorders>
                  <w:shd w:val="clear" w:color="auto" w:fill="FFFFFF"/>
                  <w:noWrap w:val="0"/>
                  <w:vAlign w:val="center"/>
                </w:tcPr>
                <w:p w14:paraId="473C77E0">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54</w:t>
                  </w:r>
                </w:p>
              </w:tc>
              <w:tc>
                <w:tcPr>
                  <w:tcW w:w="346" w:type="pct"/>
                  <w:tcBorders>
                    <w:tl2br w:val="nil"/>
                    <w:tr2bl w:val="nil"/>
                  </w:tcBorders>
                  <w:shd w:val="clear" w:color="auto" w:fill="FFFFFF"/>
                  <w:noWrap w:val="0"/>
                  <w:vAlign w:val="center"/>
                </w:tcPr>
                <w:p w14:paraId="497822EE">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53</w:t>
                  </w:r>
                </w:p>
              </w:tc>
              <w:tc>
                <w:tcPr>
                  <w:tcW w:w="346" w:type="pct"/>
                  <w:tcBorders>
                    <w:tl2br w:val="nil"/>
                    <w:tr2bl w:val="nil"/>
                  </w:tcBorders>
                  <w:shd w:val="clear" w:color="auto" w:fill="FFFFFF"/>
                  <w:noWrap w:val="0"/>
                  <w:vAlign w:val="center"/>
                </w:tcPr>
                <w:p w14:paraId="2814403C">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52</w:t>
                  </w:r>
                </w:p>
              </w:tc>
              <w:tc>
                <w:tcPr>
                  <w:tcW w:w="346" w:type="pct"/>
                  <w:tcBorders>
                    <w:tl2br w:val="nil"/>
                    <w:tr2bl w:val="nil"/>
                  </w:tcBorders>
                  <w:shd w:val="clear" w:color="auto" w:fill="FFFFFF"/>
                  <w:noWrap w:val="0"/>
                  <w:vAlign w:val="center"/>
                </w:tcPr>
                <w:p w14:paraId="1159EB17">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51</w:t>
                  </w:r>
                </w:p>
              </w:tc>
              <w:tc>
                <w:tcPr>
                  <w:tcW w:w="502" w:type="pct"/>
                  <w:tcBorders>
                    <w:tl2br w:val="nil"/>
                    <w:tr2bl w:val="nil"/>
                  </w:tcBorders>
                  <w:shd w:val="clear" w:color="auto" w:fill="FFFFFF"/>
                  <w:noWrap w:val="0"/>
                  <w:vAlign w:val="center"/>
                </w:tcPr>
                <w:p w14:paraId="48331148">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50</w:t>
                  </w:r>
                </w:p>
              </w:tc>
            </w:tr>
            <w:tr w14:paraId="3BDE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896" w:type="pct"/>
                  <w:tcBorders>
                    <w:tl2br w:val="nil"/>
                    <w:tr2bl w:val="nil"/>
                  </w:tcBorders>
                  <w:shd w:val="clear" w:color="auto" w:fill="FFFFFF"/>
                  <w:noWrap w:val="0"/>
                  <w:vAlign w:val="top"/>
                </w:tcPr>
                <w:p w14:paraId="13E7D06E">
                  <w:pPr>
                    <w:widowControl w:val="0"/>
                    <w:kinsoku/>
                    <w:autoSpaceDE/>
                    <w:autoSpaceDN/>
                    <w:adjustRightInd w:val="0"/>
                    <w:snapToGrid w:val="0"/>
                    <w:spacing w:line="240" w:lineRule="auto"/>
                    <w:jc w:val="center"/>
                    <w:textAlignment w:val="auto"/>
                    <w:rPr>
                      <w:rFonts w:hint="default" w:ascii="Times New Roman" w:hAnsi="Times New Roman" w:cs="Times New Roman"/>
                      <w:snapToGrid w:val="0"/>
                      <w:color w:val="auto"/>
                      <w:kern w:val="0"/>
                      <w:sz w:val="21"/>
                      <w:szCs w:val="21"/>
                    </w:rPr>
                  </w:pPr>
                  <w:r>
                    <w:rPr>
                      <w:rFonts w:hint="default" w:ascii="Times New Roman" w:hAnsi="Times New Roman" w:cs="Times New Roman" w:eastAsiaTheme="minorEastAsia"/>
                      <w:snapToGrid/>
                      <w:color w:val="auto"/>
                      <w:kern w:val="2"/>
                      <w:szCs w:val="21"/>
                      <w:lang w:eastAsia="zh-CN"/>
                    </w:rPr>
                    <w:t>钢筋电渣焊机</w:t>
                  </w:r>
                </w:p>
              </w:tc>
              <w:tc>
                <w:tcPr>
                  <w:tcW w:w="482" w:type="pct"/>
                  <w:tcBorders>
                    <w:tl2br w:val="nil"/>
                    <w:tr2bl w:val="nil"/>
                  </w:tcBorders>
                  <w:shd w:val="clear" w:color="auto" w:fill="FFFFFF"/>
                  <w:noWrap w:val="0"/>
                  <w:vAlign w:val="center"/>
                </w:tcPr>
                <w:p w14:paraId="1F1D0CBD">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90</w:t>
                  </w:r>
                </w:p>
              </w:tc>
              <w:tc>
                <w:tcPr>
                  <w:tcW w:w="346" w:type="pct"/>
                  <w:tcBorders>
                    <w:tl2br w:val="nil"/>
                    <w:tr2bl w:val="nil"/>
                  </w:tcBorders>
                  <w:shd w:val="clear" w:color="auto" w:fill="FFFFFF"/>
                  <w:noWrap w:val="0"/>
                  <w:vAlign w:val="center"/>
                </w:tcPr>
                <w:p w14:paraId="253A28AB">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70</w:t>
                  </w:r>
                </w:p>
              </w:tc>
              <w:tc>
                <w:tcPr>
                  <w:tcW w:w="346" w:type="pct"/>
                  <w:tcBorders>
                    <w:tl2br w:val="nil"/>
                    <w:tr2bl w:val="nil"/>
                  </w:tcBorders>
                  <w:shd w:val="clear" w:color="auto" w:fill="FFFFFF"/>
                  <w:noWrap w:val="0"/>
                  <w:vAlign w:val="center"/>
                </w:tcPr>
                <w:p w14:paraId="2DD17F4C">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64</w:t>
                  </w:r>
                </w:p>
              </w:tc>
              <w:tc>
                <w:tcPr>
                  <w:tcW w:w="346" w:type="pct"/>
                  <w:tcBorders>
                    <w:tl2br w:val="nil"/>
                    <w:tr2bl w:val="nil"/>
                  </w:tcBorders>
                  <w:shd w:val="clear" w:color="auto" w:fill="FFFFFF"/>
                  <w:noWrap w:val="0"/>
                  <w:vAlign w:val="center"/>
                </w:tcPr>
                <w:p w14:paraId="2B61AA99">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60</w:t>
                  </w:r>
                </w:p>
              </w:tc>
              <w:tc>
                <w:tcPr>
                  <w:tcW w:w="346" w:type="pct"/>
                  <w:tcBorders>
                    <w:tl2br w:val="nil"/>
                    <w:tr2bl w:val="nil"/>
                  </w:tcBorders>
                  <w:shd w:val="clear" w:color="auto" w:fill="FFFFFF"/>
                  <w:noWrap w:val="0"/>
                  <w:vAlign w:val="center"/>
                </w:tcPr>
                <w:p w14:paraId="7C109D12">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58</w:t>
                  </w:r>
                </w:p>
              </w:tc>
              <w:tc>
                <w:tcPr>
                  <w:tcW w:w="346" w:type="pct"/>
                  <w:tcBorders>
                    <w:tl2br w:val="nil"/>
                    <w:tr2bl w:val="nil"/>
                  </w:tcBorders>
                  <w:shd w:val="clear" w:color="auto" w:fill="FFFFFF"/>
                  <w:noWrap w:val="0"/>
                  <w:vAlign w:val="center"/>
                </w:tcPr>
                <w:p w14:paraId="4812D4C3">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56</w:t>
                  </w:r>
                </w:p>
              </w:tc>
              <w:tc>
                <w:tcPr>
                  <w:tcW w:w="346" w:type="pct"/>
                  <w:tcBorders>
                    <w:tl2br w:val="nil"/>
                    <w:tr2bl w:val="nil"/>
                  </w:tcBorders>
                  <w:shd w:val="clear" w:color="auto" w:fill="FFFFFF"/>
                  <w:noWrap w:val="0"/>
                  <w:vAlign w:val="center"/>
                </w:tcPr>
                <w:p w14:paraId="311341BB">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54</w:t>
                  </w:r>
                </w:p>
              </w:tc>
              <w:tc>
                <w:tcPr>
                  <w:tcW w:w="346" w:type="pct"/>
                  <w:tcBorders>
                    <w:tl2br w:val="nil"/>
                    <w:tr2bl w:val="nil"/>
                  </w:tcBorders>
                  <w:shd w:val="clear" w:color="auto" w:fill="FFFFFF"/>
                  <w:noWrap w:val="0"/>
                  <w:vAlign w:val="center"/>
                </w:tcPr>
                <w:p w14:paraId="73AFBD28">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53</w:t>
                  </w:r>
                </w:p>
              </w:tc>
              <w:tc>
                <w:tcPr>
                  <w:tcW w:w="346" w:type="pct"/>
                  <w:tcBorders>
                    <w:tl2br w:val="nil"/>
                    <w:tr2bl w:val="nil"/>
                  </w:tcBorders>
                  <w:shd w:val="clear" w:color="auto" w:fill="FFFFFF"/>
                  <w:noWrap w:val="0"/>
                  <w:vAlign w:val="center"/>
                </w:tcPr>
                <w:p w14:paraId="2CA75D47">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52</w:t>
                  </w:r>
                </w:p>
              </w:tc>
              <w:tc>
                <w:tcPr>
                  <w:tcW w:w="346" w:type="pct"/>
                  <w:tcBorders>
                    <w:tl2br w:val="nil"/>
                    <w:tr2bl w:val="nil"/>
                  </w:tcBorders>
                  <w:shd w:val="clear" w:color="auto" w:fill="FFFFFF"/>
                  <w:noWrap w:val="0"/>
                  <w:vAlign w:val="center"/>
                </w:tcPr>
                <w:p w14:paraId="3D24DC9E">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51</w:t>
                  </w:r>
                </w:p>
              </w:tc>
              <w:tc>
                <w:tcPr>
                  <w:tcW w:w="502" w:type="pct"/>
                  <w:tcBorders>
                    <w:tl2br w:val="nil"/>
                    <w:tr2bl w:val="nil"/>
                  </w:tcBorders>
                  <w:shd w:val="clear" w:color="auto" w:fill="FFFFFF"/>
                  <w:noWrap w:val="0"/>
                  <w:vAlign w:val="center"/>
                </w:tcPr>
                <w:p w14:paraId="46DD726B">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50</w:t>
                  </w:r>
                </w:p>
              </w:tc>
            </w:tr>
            <w:tr w14:paraId="0DFD5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896" w:type="pct"/>
                  <w:tcBorders>
                    <w:tl2br w:val="nil"/>
                    <w:tr2bl w:val="nil"/>
                  </w:tcBorders>
                  <w:shd w:val="clear" w:color="auto" w:fill="FFFFFF"/>
                  <w:noWrap w:val="0"/>
                  <w:vAlign w:val="top"/>
                </w:tcPr>
                <w:p w14:paraId="01574F2A">
                  <w:pPr>
                    <w:widowControl w:val="0"/>
                    <w:kinsoku/>
                    <w:autoSpaceDE/>
                    <w:autoSpaceDN/>
                    <w:adjustRightInd w:val="0"/>
                    <w:snapToGrid w:val="0"/>
                    <w:spacing w:line="240" w:lineRule="auto"/>
                    <w:jc w:val="center"/>
                    <w:textAlignment w:val="auto"/>
                    <w:rPr>
                      <w:rFonts w:hint="default" w:ascii="Times New Roman" w:hAnsi="Times New Roman" w:cs="Times New Roman"/>
                      <w:snapToGrid w:val="0"/>
                      <w:color w:val="auto"/>
                      <w:kern w:val="0"/>
                      <w:sz w:val="21"/>
                      <w:szCs w:val="21"/>
                    </w:rPr>
                  </w:pPr>
                  <w:r>
                    <w:rPr>
                      <w:rFonts w:hint="default" w:ascii="Times New Roman" w:hAnsi="Times New Roman" w:cs="Times New Roman" w:eastAsiaTheme="minorEastAsia"/>
                      <w:snapToGrid/>
                      <w:color w:val="auto"/>
                      <w:kern w:val="2"/>
                      <w:szCs w:val="21"/>
                      <w:lang w:eastAsia="zh-CN"/>
                    </w:rPr>
                    <w:t>钢筋对焊机</w:t>
                  </w:r>
                </w:p>
              </w:tc>
              <w:tc>
                <w:tcPr>
                  <w:tcW w:w="482" w:type="pct"/>
                  <w:tcBorders>
                    <w:tl2br w:val="nil"/>
                    <w:tr2bl w:val="nil"/>
                  </w:tcBorders>
                  <w:shd w:val="clear" w:color="auto" w:fill="FFFFFF"/>
                  <w:noWrap w:val="0"/>
                  <w:vAlign w:val="center"/>
                </w:tcPr>
                <w:p w14:paraId="21AAC393">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90</w:t>
                  </w:r>
                </w:p>
              </w:tc>
              <w:tc>
                <w:tcPr>
                  <w:tcW w:w="346" w:type="pct"/>
                  <w:tcBorders>
                    <w:tl2br w:val="nil"/>
                    <w:tr2bl w:val="nil"/>
                  </w:tcBorders>
                  <w:shd w:val="clear" w:color="auto" w:fill="FFFFFF"/>
                  <w:noWrap w:val="0"/>
                  <w:vAlign w:val="center"/>
                </w:tcPr>
                <w:p w14:paraId="0C874698">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70</w:t>
                  </w:r>
                </w:p>
              </w:tc>
              <w:tc>
                <w:tcPr>
                  <w:tcW w:w="346" w:type="pct"/>
                  <w:tcBorders>
                    <w:tl2br w:val="nil"/>
                    <w:tr2bl w:val="nil"/>
                  </w:tcBorders>
                  <w:shd w:val="clear" w:color="auto" w:fill="FFFFFF"/>
                  <w:noWrap w:val="0"/>
                  <w:vAlign w:val="center"/>
                </w:tcPr>
                <w:p w14:paraId="04DFBC33">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64</w:t>
                  </w:r>
                </w:p>
              </w:tc>
              <w:tc>
                <w:tcPr>
                  <w:tcW w:w="346" w:type="pct"/>
                  <w:tcBorders>
                    <w:tl2br w:val="nil"/>
                    <w:tr2bl w:val="nil"/>
                  </w:tcBorders>
                  <w:shd w:val="clear" w:color="auto" w:fill="FFFFFF"/>
                  <w:noWrap w:val="0"/>
                  <w:vAlign w:val="center"/>
                </w:tcPr>
                <w:p w14:paraId="15A827D1">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60</w:t>
                  </w:r>
                </w:p>
              </w:tc>
              <w:tc>
                <w:tcPr>
                  <w:tcW w:w="346" w:type="pct"/>
                  <w:tcBorders>
                    <w:tl2br w:val="nil"/>
                    <w:tr2bl w:val="nil"/>
                  </w:tcBorders>
                  <w:shd w:val="clear" w:color="auto" w:fill="FFFFFF"/>
                  <w:noWrap w:val="0"/>
                  <w:vAlign w:val="center"/>
                </w:tcPr>
                <w:p w14:paraId="48538E48">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58</w:t>
                  </w:r>
                </w:p>
              </w:tc>
              <w:tc>
                <w:tcPr>
                  <w:tcW w:w="346" w:type="pct"/>
                  <w:tcBorders>
                    <w:tl2br w:val="nil"/>
                    <w:tr2bl w:val="nil"/>
                  </w:tcBorders>
                  <w:shd w:val="clear" w:color="auto" w:fill="FFFFFF"/>
                  <w:noWrap w:val="0"/>
                  <w:vAlign w:val="center"/>
                </w:tcPr>
                <w:p w14:paraId="6EF5F22F">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56</w:t>
                  </w:r>
                </w:p>
              </w:tc>
              <w:tc>
                <w:tcPr>
                  <w:tcW w:w="346" w:type="pct"/>
                  <w:tcBorders>
                    <w:tl2br w:val="nil"/>
                    <w:tr2bl w:val="nil"/>
                  </w:tcBorders>
                  <w:shd w:val="clear" w:color="auto" w:fill="FFFFFF"/>
                  <w:noWrap w:val="0"/>
                  <w:vAlign w:val="center"/>
                </w:tcPr>
                <w:p w14:paraId="257D1832">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54</w:t>
                  </w:r>
                </w:p>
              </w:tc>
              <w:tc>
                <w:tcPr>
                  <w:tcW w:w="346" w:type="pct"/>
                  <w:tcBorders>
                    <w:tl2br w:val="nil"/>
                    <w:tr2bl w:val="nil"/>
                  </w:tcBorders>
                  <w:shd w:val="clear" w:color="auto" w:fill="FFFFFF"/>
                  <w:noWrap w:val="0"/>
                  <w:vAlign w:val="center"/>
                </w:tcPr>
                <w:p w14:paraId="048B85B6">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53</w:t>
                  </w:r>
                </w:p>
              </w:tc>
              <w:tc>
                <w:tcPr>
                  <w:tcW w:w="346" w:type="pct"/>
                  <w:tcBorders>
                    <w:tl2br w:val="nil"/>
                    <w:tr2bl w:val="nil"/>
                  </w:tcBorders>
                  <w:shd w:val="clear" w:color="auto" w:fill="FFFFFF"/>
                  <w:noWrap w:val="0"/>
                  <w:vAlign w:val="center"/>
                </w:tcPr>
                <w:p w14:paraId="643C48BA">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52</w:t>
                  </w:r>
                </w:p>
              </w:tc>
              <w:tc>
                <w:tcPr>
                  <w:tcW w:w="346" w:type="pct"/>
                  <w:tcBorders>
                    <w:tl2br w:val="nil"/>
                    <w:tr2bl w:val="nil"/>
                  </w:tcBorders>
                  <w:shd w:val="clear" w:color="auto" w:fill="FFFFFF"/>
                  <w:noWrap w:val="0"/>
                  <w:vAlign w:val="center"/>
                </w:tcPr>
                <w:p w14:paraId="4987C92F">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51</w:t>
                  </w:r>
                </w:p>
              </w:tc>
              <w:tc>
                <w:tcPr>
                  <w:tcW w:w="502" w:type="pct"/>
                  <w:tcBorders>
                    <w:tl2br w:val="nil"/>
                    <w:tr2bl w:val="nil"/>
                  </w:tcBorders>
                  <w:shd w:val="clear" w:color="auto" w:fill="FFFFFF"/>
                  <w:noWrap w:val="0"/>
                  <w:vAlign w:val="center"/>
                </w:tcPr>
                <w:p w14:paraId="75155D55">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50</w:t>
                  </w:r>
                </w:p>
              </w:tc>
            </w:tr>
            <w:tr w14:paraId="59CC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28" w:type="dxa"/>
                  <w:left w:w="28" w:type="dxa"/>
                  <w:bottom w:w="28" w:type="dxa"/>
                  <w:right w:w="28" w:type="dxa"/>
                </w:tblCellMar>
              </w:tblPrEx>
              <w:trPr>
                <w:trHeight w:val="90" w:hRule="atLeast"/>
                <w:jc w:val="center"/>
              </w:trPr>
              <w:tc>
                <w:tcPr>
                  <w:tcW w:w="896" w:type="pct"/>
                  <w:tcBorders>
                    <w:tl2br w:val="nil"/>
                    <w:tr2bl w:val="nil"/>
                  </w:tcBorders>
                  <w:shd w:val="clear" w:color="auto" w:fill="FFFFFF"/>
                  <w:noWrap w:val="0"/>
                  <w:vAlign w:val="top"/>
                </w:tcPr>
                <w:p w14:paraId="75DDAA6C">
                  <w:pPr>
                    <w:widowControl w:val="0"/>
                    <w:kinsoku/>
                    <w:autoSpaceDE/>
                    <w:autoSpaceDN/>
                    <w:adjustRightInd w:val="0"/>
                    <w:snapToGrid w:val="0"/>
                    <w:spacing w:line="240" w:lineRule="auto"/>
                    <w:jc w:val="center"/>
                    <w:textAlignment w:val="auto"/>
                    <w:rPr>
                      <w:rFonts w:hint="default" w:ascii="Times New Roman" w:hAnsi="Times New Roman" w:cs="Times New Roman"/>
                      <w:snapToGrid w:val="0"/>
                      <w:color w:val="auto"/>
                      <w:kern w:val="0"/>
                      <w:sz w:val="21"/>
                      <w:szCs w:val="21"/>
                    </w:rPr>
                  </w:pPr>
                  <w:r>
                    <w:rPr>
                      <w:rFonts w:hint="default" w:ascii="Times New Roman" w:hAnsi="Times New Roman" w:cs="Times New Roman" w:eastAsiaTheme="minorEastAsia"/>
                      <w:snapToGrid/>
                      <w:color w:val="auto"/>
                      <w:kern w:val="2"/>
                      <w:szCs w:val="21"/>
                      <w:lang w:eastAsia="zh-CN"/>
                    </w:rPr>
                    <w:t>电焊机</w:t>
                  </w:r>
                </w:p>
              </w:tc>
              <w:tc>
                <w:tcPr>
                  <w:tcW w:w="482" w:type="pct"/>
                  <w:tcBorders>
                    <w:tl2br w:val="nil"/>
                    <w:tr2bl w:val="nil"/>
                  </w:tcBorders>
                  <w:shd w:val="clear" w:color="auto" w:fill="FFFFFF"/>
                  <w:noWrap w:val="0"/>
                  <w:vAlign w:val="center"/>
                </w:tcPr>
                <w:p w14:paraId="66F1E69E">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90</w:t>
                  </w:r>
                </w:p>
              </w:tc>
              <w:tc>
                <w:tcPr>
                  <w:tcW w:w="346" w:type="pct"/>
                  <w:tcBorders>
                    <w:tl2br w:val="nil"/>
                    <w:tr2bl w:val="nil"/>
                  </w:tcBorders>
                  <w:shd w:val="clear" w:color="auto" w:fill="FFFFFF"/>
                  <w:noWrap w:val="0"/>
                  <w:vAlign w:val="center"/>
                </w:tcPr>
                <w:p w14:paraId="366AD3CC">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70</w:t>
                  </w:r>
                </w:p>
              </w:tc>
              <w:tc>
                <w:tcPr>
                  <w:tcW w:w="346" w:type="pct"/>
                  <w:tcBorders>
                    <w:tl2br w:val="nil"/>
                    <w:tr2bl w:val="nil"/>
                  </w:tcBorders>
                  <w:shd w:val="clear" w:color="auto" w:fill="FFFFFF"/>
                  <w:noWrap w:val="0"/>
                  <w:vAlign w:val="center"/>
                </w:tcPr>
                <w:p w14:paraId="266A0DF9">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64</w:t>
                  </w:r>
                </w:p>
              </w:tc>
              <w:tc>
                <w:tcPr>
                  <w:tcW w:w="346" w:type="pct"/>
                  <w:tcBorders>
                    <w:tl2br w:val="nil"/>
                    <w:tr2bl w:val="nil"/>
                  </w:tcBorders>
                  <w:shd w:val="clear" w:color="auto" w:fill="FFFFFF"/>
                  <w:noWrap w:val="0"/>
                  <w:vAlign w:val="center"/>
                </w:tcPr>
                <w:p w14:paraId="062CE85D">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60</w:t>
                  </w:r>
                </w:p>
              </w:tc>
              <w:tc>
                <w:tcPr>
                  <w:tcW w:w="346" w:type="pct"/>
                  <w:tcBorders>
                    <w:tl2br w:val="nil"/>
                    <w:tr2bl w:val="nil"/>
                  </w:tcBorders>
                  <w:shd w:val="clear" w:color="auto" w:fill="FFFFFF"/>
                  <w:noWrap w:val="0"/>
                  <w:vAlign w:val="center"/>
                </w:tcPr>
                <w:p w14:paraId="12E8AF4F">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58</w:t>
                  </w:r>
                </w:p>
              </w:tc>
              <w:tc>
                <w:tcPr>
                  <w:tcW w:w="346" w:type="pct"/>
                  <w:tcBorders>
                    <w:tl2br w:val="nil"/>
                    <w:tr2bl w:val="nil"/>
                  </w:tcBorders>
                  <w:shd w:val="clear" w:color="auto" w:fill="FFFFFF"/>
                  <w:noWrap w:val="0"/>
                  <w:vAlign w:val="center"/>
                </w:tcPr>
                <w:p w14:paraId="0C79C145">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56</w:t>
                  </w:r>
                </w:p>
              </w:tc>
              <w:tc>
                <w:tcPr>
                  <w:tcW w:w="346" w:type="pct"/>
                  <w:tcBorders>
                    <w:tl2br w:val="nil"/>
                    <w:tr2bl w:val="nil"/>
                  </w:tcBorders>
                  <w:shd w:val="clear" w:color="auto" w:fill="FFFFFF"/>
                  <w:noWrap w:val="0"/>
                  <w:vAlign w:val="center"/>
                </w:tcPr>
                <w:p w14:paraId="53DB4409">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54</w:t>
                  </w:r>
                </w:p>
              </w:tc>
              <w:tc>
                <w:tcPr>
                  <w:tcW w:w="346" w:type="pct"/>
                  <w:tcBorders>
                    <w:tl2br w:val="nil"/>
                    <w:tr2bl w:val="nil"/>
                  </w:tcBorders>
                  <w:shd w:val="clear" w:color="auto" w:fill="FFFFFF"/>
                  <w:noWrap w:val="0"/>
                  <w:vAlign w:val="center"/>
                </w:tcPr>
                <w:p w14:paraId="67409370">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53</w:t>
                  </w:r>
                </w:p>
              </w:tc>
              <w:tc>
                <w:tcPr>
                  <w:tcW w:w="346" w:type="pct"/>
                  <w:tcBorders>
                    <w:tl2br w:val="nil"/>
                    <w:tr2bl w:val="nil"/>
                  </w:tcBorders>
                  <w:shd w:val="clear" w:color="auto" w:fill="FFFFFF"/>
                  <w:noWrap w:val="0"/>
                  <w:vAlign w:val="center"/>
                </w:tcPr>
                <w:p w14:paraId="78C9BC79">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52</w:t>
                  </w:r>
                </w:p>
              </w:tc>
              <w:tc>
                <w:tcPr>
                  <w:tcW w:w="346" w:type="pct"/>
                  <w:tcBorders>
                    <w:tl2br w:val="nil"/>
                    <w:tr2bl w:val="nil"/>
                  </w:tcBorders>
                  <w:shd w:val="clear" w:color="auto" w:fill="FFFFFF"/>
                  <w:noWrap w:val="0"/>
                  <w:vAlign w:val="center"/>
                </w:tcPr>
                <w:p w14:paraId="0123F9CA">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51</w:t>
                  </w:r>
                </w:p>
              </w:tc>
              <w:tc>
                <w:tcPr>
                  <w:tcW w:w="502" w:type="pct"/>
                  <w:tcBorders>
                    <w:tl2br w:val="nil"/>
                    <w:tr2bl w:val="nil"/>
                  </w:tcBorders>
                  <w:shd w:val="clear" w:color="auto" w:fill="FFFFFF"/>
                  <w:noWrap w:val="0"/>
                  <w:vAlign w:val="center"/>
                </w:tcPr>
                <w:p w14:paraId="485B7C55">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50</w:t>
                  </w:r>
                </w:p>
              </w:tc>
            </w:tr>
            <w:tr w14:paraId="05D7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896" w:type="pct"/>
                  <w:tcBorders>
                    <w:tl2br w:val="nil"/>
                    <w:tr2bl w:val="nil"/>
                  </w:tcBorders>
                  <w:shd w:val="clear" w:color="auto" w:fill="FFFFFF"/>
                  <w:noWrap w:val="0"/>
                  <w:vAlign w:val="top"/>
                </w:tcPr>
                <w:p w14:paraId="1B3031A2">
                  <w:pPr>
                    <w:widowControl w:val="0"/>
                    <w:kinsoku/>
                    <w:autoSpaceDE/>
                    <w:autoSpaceDN/>
                    <w:adjustRightInd w:val="0"/>
                    <w:snapToGrid w:val="0"/>
                    <w:spacing w:line="240" w:lineRule="auto"/>
                    <w:jc w:val="center"/>
                    <w:textAlignment w:val="auto"/>
                    <w:rPr>
                      <w:rFonts w:hint="default" w:ascii="Times New Roman" w:hAnsi="Times New Roman" w:cs="Times New Roman"/>
                      <w:snapToGrid w:val="0"/>
                      <w:color w:val="auto"/>
                      <w:kern w:val="0"/>
                      <w:sz w:val="21"/>
                      <w:szCs w:val="21"/>
                    </w:rPr>
                  </w:pPr>
                  <w:r>
                    <w:rPr>
                      <w:rFonts w:hint="default" w:ascii="Times New Roman" w:hAnsi="Times New Roman" w:cs="Times New Roman" w:eastAsiaTheme="minorEastAsia"/>
                      <w:snapToGrid/>
                      <w:color w:val="auto"/>
                      <w:kern w:val="2"/>
                      <w:szCs w:val="21"/>
                      <w:lang w:eastAsia="zh-CN"/>
                    </w:rPr>
                    <w:t>反铲挖掘机</w:t>
                  </w:r>
                </w:p>
              </w:tc>
              <w:tc>
                <w:tcPr>
                  <w:tcW w:w="482" w:type="pct"/>
                  <w:tcBorders>
                    <w:tl2br w:val="nil"/>
                    <w:tr2bl w:val="nil"/>
                  </w:tcBorders>
                  <w:shd w:val="clear" w:color="auto" w:fill="FFFFFF"/>
                  <w:noWrap w:val="0"/>
                  <w:vAlign w:val="center"/>
                </w:tcPr>
                <w:p w14:paraId="1EAED24D">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85</w:t>
                  </w:r>
                </w:p>
              </w:tc>
              <w:tc>
                <w:tcPr>
                  <w:tcW w:w="579" w:type="dxa"/>
                  <w:tcBorders>
                    <w:tl2br w:val="nil"/>
                    <w:tr2bl w:val="nil"/>
                  </w:tcBorders>
                  <w:shd w:val="clear" w:color="auto" w:fill="FFFFFF"/>
                  <w:noWrap w:val="0"/>
                  <w:vAlign w:val="center"/>
                </w:tcPr>
                <w:p w14:paraId="4F9FC83B">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65</w:t>
                  </w:r>
                </w:p>
              </w:tc>
              <w:tc>
                <w:tcPr>
                  <w:tcW w:w="579" w:type="dxa"/>
                  <w:tcBorders>
                    <w:tl2br w:val="nil"/>
                    <w:tr2bl w:val="nil"/>
                  </w:tcBorders>
                  <w:shd w:val="clear" w:color="auto" w:fill="FFFFFF"/>
                  <w:noWrap w:val="0"/>
                  <w:vAlign w:val="center"/>
                </w:tcPr>
                <w:p w14:paraId="188D5E8B">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59</w:t>
                  </w:r>
                </w:p>
              </w:tc>
              <w:tc>
                <w:tcPr>
                  <w:tcW w:w="579" w:type="dxa"/>
                  <w:tcBorders>
                    <w:tl2br w:val="nil"/>
                    <w:tr2bl w:val="nil"/>
                  </w:tcBorders>
                  <w:shd w:val="clear" w:color="auto" w:fill="FFFFFF"/>
                  <w:noWrap w:val="0"/>
                  <w:vAlign w:val="center"/>
                </w:tcPr>
                <w:p w14:paraId="47E1A56E">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55</w:t>
                  </w:r>
                </w:p>
              </w:tc>
              <w:tc>
                <w:tcPr>
                  <w:tcW w:w="579" w:type="dxa"/>
                  <w:tcBorders>
                    <w:tl2br w:val="nil"/>
                    <w:tr2bl w:val="nil"/>
                  </w:tcBorders>
                  <w:shd w:val="clear" w:color="auto" w:fill="FFFFFF"/>
                  <w:noWrap w:val="0"/>
                  <w:vAlign w:val="center"/>
                </w:tcPr>
                <w:p w14:paraId="043AAD84">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53</w:t>
                  </w:r>
                </w:p>
              </w:tc>
              <w:tc>
                <w:tcPr>
                  <w:tcW w:w="579" w:type="dxa"/>
                  <w:tcBorders>
                    <w:tl2br w:val="nil"/>
                    <w:tr2bl w:val="nil"/>
                  </w:tcBorders>
                  <w:shd w:val="clear" w:color="auto" w:fill="FFFFFF"/>
                  <w:noWrap w:val="0"/>
                  <w:vAlign w:val="center"/>
                </w:tcPr>
                <w:p w14:paraId="112E60F5">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51</w:t>
                  </w:r>
                </w:p>
              </w:tc>
              <w:tc>
                <w:tcPr>
                  <w:tcW w:w="579" w:type="dxa"/>
                  <w:tcBorders>
                    <w:tl2br w:val="nil"/>
                    <w:tr2bl w:val="nil"/>
                  </w:tcBorders>
                  <w:shd w:val="clear" w:color="auto" w:fill="FFFFFF"/>
                  <w:noWrap w:val="0"/>
                  <w:vAlign w:val="center"/>
                </w:tcPr>
                <w:p w14:paraId="617B1543">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49</w:t>
                  </w:r>
                </w:p>
              </w:tc>
              <w:tc>
                <w:tcPr>
                  <w:tcW w:w="580" w:type="dxa"/>
                  <w:tcBorders>
                    <w:tl2br w:val="nil"/>
                    <w:tr2bl w:val="nil"/>
                  </w:tcBorders>
                  <w:shd w:val="clear" w:color="auto" w:fill="FFFFFF"/>
                  <w:noWrap w:val="0"/>
                  <w:vAlign w:val="center"/>
                </w:tcPr>
                <w:p w14:paraId="3BD794B9">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48</w:t>
                  </w:r>
                </w:p>
              </w:tc>
              <w:tc>
                <w:tcPr>
                  <w:tcW w:w="580" w:type="dxa"/>
                  <w:tcBorders>
                    <w:tl2br w:val="nil"/>
                    <w:tr2bl w:val="nil"/>
                  </w:tcBorders>
                  <w:shd w:val="clear" w:color="auto" w:fill="FFFFFF"/>
                  <w:noWrap w:val="0"/>
                  <w:vAlign w:val="center"/>
                </w:tcPr>
                <w:p w14:paraId="5CCD43C8">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47</w:t>
                  </w:r>
                </w:p>
              </w:tc>
              <w:tc>
                <w:tcPr>
                  <w:tcW w:w="580" w:type="dxa"/>
                  <w:tcBorders>
                    <w:tl2br w:val="nil"/>
                    <w:tr2bl w:val="nil"/>
                  </w:tcBorders>
                  <w:shd w:val="clear" w:color="auto" w:fill="FFFFFF"/>
                  <w:noWrap w:val="0"/>
                  <w:vAlign w:val="center"/>
                </w:tcPr>
                <w:p w14:paraId="790A5B66">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46</w:t>
                  </w:r>
                </w:p>
              </w:tc>
              <w:tc>
                <w:tcPr>
                  <w:tcW w:w="840" w:type="dxa"/>
                  <w:tcBorders>
                    <w:tl2br w:val="nil"/>
                    <w:tr2bl w:val="nil"/>
                  </w:tcBorders>
                  <w:shd w:val="clear" w:color="auto" w:fill="FFFFFF"/>
                  <w:noWrap w:val="0"/>
                  <w:vAlign w:val="center"/>
                </w:tcPr>
                <w:p w14:paraId="2D3432A8">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45</w:t>
                  </w:r>
                </w:p>
              </w:tc>
            </w:tr>
            <w:tr w14:paraId="2065D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28" w:type="dxa"/>
                  <w:left w:w="28" w:type="dxa"/>
                  <w:bottom w:w="28" w:type="dxa"/>
                  <w:right w:w="28" w:type="dxa"/>
                </w:tblCellMar>
              </w:tblPrEx>
              <w:trPr>
                <w:trHeight w:val="90" w:hRule="atLeast"/>
                <w:jc w:val="center"/>
              </w:trPr>
              <w:tc>
                <w:tcPr>
                  <w:tcW w:w="896" w:type="pct"/>
                  <w:tcBorders>
                    <w:tl2br w:val="nil"/>
                    <w:tr2bl w:val="nil"/>
                  </w:tcBorders>
                  <w:shd w:val="clear" w:color="auto" w:fill="FFFFFF"/>
                  <w:noWrap w:val="0"/>
                  <w:vAlign w:val="top"/>
                </w:tcPr>
                <w:p w14:paraId="3EADEF62">
                  <w:pPr>
                    <w:widowControl w:val="0"/>
                    <w:kinsoku/>
                    <w:autoSpaceDE/>
                    <w:autoSpaceDN/>
                    <w:adjustRightInd w:val="0"/>
                    <w:snapToGrid w:val="0"/>
                    <w:spacing w:line="240" w:lineRule="auto"/>
                    <w:jc w:val="center"/>
                    <w:textAlignment w:val="auto"/>
                    <w:rPr>
                      <w:rFonts w:hint="default" w:ascii="Times New Roman" w:hAnsi="Times New Roman" w:cs="Times New Roman"/>
                      <w:snapToGrid w:val="0"/>
                      <w:color w:val="auto"/>
                      <w:kern w:val="0"/>
                      <w:sz w:val="21"/>
                      <w:szCs w:val="21"/>
                    </w:rPr>
                  </w:pPr>
                  <w:r>
                    <w:rPr>
                      <w:rFonts w:hint="default" w:ascii="Times New Roman" w:hAnsi="Times New Roman" w:cs="Times New Roman" w:eastAsiaTheme="minorEastAsia"/>
                      <w:snapToGrid/>
                      <w:color w:val="auto"/>
                      <w:kern w:val="2"/>
                      <w:szCs w:val="21"/>
                      <w:lang w:eastAsia="zh-CN"/>
                    </w:rPr>
                    <w:t>插入式振捣器</w:t>
                  </w:r>
                </w:p>
              </w:tc>
              <w:tc>
                <w:tcPr>
                  <w:tcW w:w="482" w:type="pct"/>
                  <w:tcBorders>
                    <w:tl2br w:val="nil"/>
                    <w:tr2bl w:val="nil"/>
                  </w:tcBorders>
                  <w:shd w:val="clear" w:color="auto" w:fill="FFFFFF"/>
                  <w:noWrap w:val="0"/>
                  <w:vAlign w:val="center"/>
                </w:tcPr>
                <w:p w14:paraId="29CDD228">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90</w:t>
                  </w:r>
                </w:p>
              </w:tc>
              <w:tc>
                <w:tcPr>
                  <w:tcW w:w="346" w:type="pct"/>
                  <w:tcBorders>
                    <w:tl2br w:val="nil"/>
                    <w:tr2bl w:val="nil"/>
                  </w:tcBorders>
                  <w:shd w:val="clear" w:color="auto" w:fill="FFFFFF"/>
                  <w:noWrap w:val="0"/>
                  <w:vAlign w:val="center"/>
                </w:tcPr>
                <w:p w14:paraId="3581FED5">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70</w:t>
                  </w:r>
                </w:p>
              </w:tc>
              <w:tc>
                <w:tcPr>
                  <w:tcW w:w="346" w:type="pct"/>
                  <w:tcBorders>
                    <w:tl2br w:val="nil"/>
                    <w:tr2bl w:val="nil"/>
                  </w:tcBorders>
                  <w:shd w:val="clear" w:color="auto" w:fill="FFFFFF"/>
                  <w:noWrap w:val="0"/>
                  <w:vAlign w:val="center"/>
                </w:tcPr>
                <w:p w14:paraId="707E8513">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64</w:t>
                  </w:r>
                </w:p>
              </w:tc>
              <w:tc>
                <w:tcPr>
                  <w:tcW w:w="346" w:type="pct"/>
                  <w:tcBorders>
                    <w:tl2br w:val="nil"/>
                    <w:tr2bl w:val="nil"/>
                  </w:tcBorders>
                  <w:shd w:val="clear" w:color="auto" w:fill="FFFFFF"/>
                  <w:noWrap w:val="0"/>
                  <w:vAlign w:val="center"/>
                </w:tcPr>
                <w:p w14:paraId="160F6A7D">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60</w:t>
                  </w:r>
                </w:p>
              </w:tc>
              <w:tc>
                <w:tcPr>
                  <w:tcW w:w="346" w:type="pct"/>
                  <w:tcBorders>
                    <w:tl2br w:val="nil"/>
                    <w:tr2bl w:val="nil"/>
                  </w:tcBorders>
                  <w:shd w:val="clear" w:color="auto" w:fill="FFFFFF"/>
                  <w:noWrap w:val="0"/>
                  <w:vAlign w:val="center"/>
                </w:tcPr>
                <w:p w14:paraId="0AF3119B">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58</w:t>
                  </w:r>
                </w:p>
              </w:tc>
              <w:tc>
                <w:tcPr>
                  <w:tcW w:w="346" w:type="pct"/>
                  <w:tcBorders>
                    <w:tl2br w:val="nil"/>
                    <w:tr2bl w:val="nil"/>
                  </w:tcBorders>
                  <w:shd w:val="clear" w:color="auto" w:fill="FFFFFF"/>
                  <w:noWrap w:val="0"/>
                  <w:vAlign w:val="center"/>
                </w:tcPr>
                <w:p w14:paraId="134A38B4">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56</w:t>
                  </w:r>
                </w:p>
              </w:tc>
              <w:tc>
                <w:tcPr>
                  <w:tcW w:w="346" w:type="pct"/>
                  <w:tcBorders>
                    <w:tl2br w:val="nil"/>
                    <w:tr2bl w:val="nil"/>
                  </w:tcBorders>
                  <w:shd w:val="clear" w:color="auto" w:fill="FFFFFF"/>
                  <w:noWrap w:val="0"/>
                  <w:vAlign w:val="center"/>
                </w:tcPr>
                <w:p w14:paraId="2DE04A5E">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54</w:t>
                  </w:r>
                </w:p>
              </w:tc>
              <w:tc>
                <w:tcPr>
                  <w:tcW w:w="346" w:type="pct"/>
                  <w:tcBorders>
                    <w:tl2br w:val="nil"/>
                    <w:tr2bl w:val="nil"/>
                  </w:tcBorders>
                  <w:shd w:val="clear" w:color="auto" w:fill="FFFFFF"/>
                  <w:noWrap w:val="0"/>
                  <w:vAlign w:val="center"/>
                </w:tcPr>
                <w:p w14:paraId="67A11FFF">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53</w:t>
                  </w:r>
                </w:p>
              </w:tc>
              <w:tc>
                <w:tcPr>
                  <w:tcW w:w="346" w:type="pct"/>
                  <w:tcBorders>
                    <w:tl2br w:val="nil"/>
                    <w:tr2bl w:val="nil"/>
                  </w:tcBorders>
                  <w:shd w:val="clear" w:color="auto" w:fill="FFFFFF"/>
                  <w:noWrap w:val="0"/>
                  <w:vAlign w:val="center"/>
                </w:tcPr>
                <w:p w14:paraId="6DB8E42D">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52</w:t>
                  </w:r>
                </w:p>
              </w:tc>
              <w:tc>
                <w:tcPr>
                  <w:tcW w:w="346" w:type="pct"/>
                  <w:tcBorders>
                    <w:tl2br w:val="nil"/>
                    <w:tr2bl w:val="nil"/>
                  </w:tcBorders>
                  <w:shd w:val="clear" w:color="auto" w:fill="FFFFFF"/>
                  <w:noWrap w:val="0"/>
                  <w:vAlign w:val="center"/>
                </w:tcPr>
                <w:p w14:paraId="610BE65A">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51</w:t>
                  </w:r>
                </w:p>
              </w:tc>
              <w:tc>
                <w:tcPr>
                  <w:tcW w:w="502" w:type="pct"/>
                  <w:tcBorders>
                    <w:tl2br w:val="nil"/>
                    <w:tr2bl w:val="nil"/>
                  </w:tcBorders>
                  <w:shd w:val="clear" w:color="auto" w:fill="FFFFFF"/>
                  <w:noWrap w:val="0"/>
                  <w:vAlign w:val="center"/>
                </w:tcPr>
                <w:p w14:paraId="53F3E0B3">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50</w:t>
                  </w:r>
                </w:p>
              </w:tc>
            </w:tr>
            <w:tr w14:paraId="25C3B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896" w:type="pct"/>
                  <w:tcBorders>
                    <w:tl2br w:val="nil"/>
                    <w:tr2bl w:val="nil"/>
                  </w:tcBorders>
                  <w:shd w:val="clear" w:color="auto" w:fill="FFFFFF"/>
                  <w:noWrap w:val="0"/>
                  <w:vAlign w:val="top"/>
                </w:tcPr>
                <w:p w14:paraId="43BE23EF">
                  <w:pPr>
                    <w:widowControl w:val="0"/>
                    <w:kinsoku/>
                    <w:autoSpaceDE/>
                    <w:autoSpaceDN/>
                    <w:adjustRightInd w:val="0"/>
                    <w:snapToGrid w:val="0"/>
                    <w:spacing w:line="240" w:lineRule="auto"/>
                    <w:jc w:val="center"/>
                    <w:textAlignment w:val="auto"/>
                    <w:rPr>
                      <w:rFonts w:hint="default" w:ascii="Times New Roman" w:hAnsi="Times New Roman" w:cs="Times New Roman"/>
                      <w:snapToGrid w:val="0"/>
                      <w:color w:val="auto"/>
                      <w:kern w:val="0"/>
                      <w:sz w:val="21"/>
                      <w:szCs w:val="21"/>
                    </w:rPr>
                  </w:pPr>
                  <w:r>
                    <w:rPr>
                      <w:rFonts w:hint="default" w:ascii="Times New Roman" w:hAnsi="Times New Roman" w:cs="Times New Roman" w:eastAsiaTheme="minorEastAsia"/>
                      <w:snapToGrid/>
                      <w:color w:val="auto"/>
                      <w:kern w:val="2"/>
                      <w:szCs w:val="21"/>
                      <w:lang w:eastAsia="zh-CN"/>
                    </w:rPr>
                    <w:t>柴油发动机</w:t>
                  </w:r>
                </w:p>
              </w:tc>
              <w:tc>
                <w:tcPr>
                  <w:tcW w:w="482" w:type="pct"/>
                  <w:tcBorders>
                    <w:tl2br w:val="nil"/>
                    <w:tr2bl w:val="nil"/>
                  </w:tcBorders>
                  <w:shd w:val="clear" w:color="auto" w:fill="FFFFFF"/>
                  <w:noWrap w:val="0"/>
                  <w:vAlign w:val="center"/>
                </w:tcPr>
                <w:p w14:paraId="1246E728">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95</w:t>
                  </w:r>
                </w:p>
              </w:tc>
              <w:tc>
                <w:tcPr>
                  <w:tcW w:w="579" w:type="dxa"/>
                  <w:tcBorders>
                    <w:tl2br w:val="nil"/>
                    <w:tr2bl w:val="nil"/>
                  </w:tcBorders>
                  <w:shd w:val="clear" w:color="auto" w:fill="FFFFFF"/>
                  <w:noWrap w:val="0"/>
                  <w:vAlign w:val="center"/>
                </w:tcPr>
                <w:p w14:paraId="4670FEF3">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75</w:t>
                  </w:r>
                </w:p>
              </w:tc>
              <w:tc>
                <w:tcPr>
                  <w:tcW w:w="579" w:type="dxa"/>
                  <w:tcBorders>
                    <w:tl2br w:val="nil"/>
                    <w:tr2bl w:val="nil"/>
                  </w:tcBorders>
                  <w:shd w:val="clear" w:color="auto" w:fill="FFFFFF"/>
                  <w:noWrap w:val="0"/>
                  <w:vAlign w:val="center"/>
                </w:tcPr>
                <w:p w14:paraId="2181AFFC">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69</w:t>
                  </w:r>
                </w:p>
              </w:tc>
              <w:tc>
                <w:tcPr>
                  <w:tcW w:w="579" w:type="dxa"/>
                  <w:tcBorders>
                    <w:tl2br w:val="nil"/>
                    <w:tr2bl w:val="nil"/>
                  </w:tcBorders>
                  <w:shd w:val="clear" w:color="auto" w:fill="FFFFFF"/>
                  <w:noWrap w:val="0"/>
                  <w:vAlign w:val="center"/>
                </w:tcPr>
                <w:p w14:paraId="5F46D993">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65</w:t>
                  </w:r>
                </w:p>
              </w:tc>
              <w:tc>
                <w:tcPr>
                  <w:tcW w:w="579" w:type="dxa"/>
                  <w:tcBorders>
                    <w:tl2br w:val="nil"/>
                    <w:tr2bl w:val="nil"/>
                  </w:tcBorders>
                  <w:shd w:val="clear" w:color="auto" w:fill="FFFFFF"/>
                  <w:noWrap w:val="0"/>
                  <w:vAlign w:val="center"/>
                </w:tcPr>
                <w:p w14:paraId="58AFFFD4">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63</w:t>
                  </w:r>
                </w:p>
              </w:tc>
              <w:tc>
                <w:tcPr>
                  <w:tcW w:w="579" w:type="dxa"/>
                  <w:tcBorders>
                    <w:tl2br w:val="nil"/>
                    <w:tr2bl w:val="nil"/>
                  </w:tcBorders>
                  <w:shd w:val="clear" w:color="auto" w:fill="FFFFFF"/>
                  <w:noWrap w:val="0"/>
                  <w:vAlign w:val="center"/>
                </w:tcPr>
                <w:p w14:paraId="0E28B85C">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61</w:t>
                  </w:r>
                </w:p>
              </w:tc>
              <w:tc>
                <w:tcPr>
                  <w:tcW w:w="579" w:type="dxa"/>
                  <w:tcBorders>
                    <w:tl2br w:val="nil"/>
                    <w:tr2bl w:val="nil"/>
                  </w:tcBorders>
                  <w:shd w:val="clear" w:color="auto" w:fill="FFFFFF"/>
                  <w:noWrap w:val="0"/>
                  <w:vAlign w:val="center"/>
                </w:tcPr>
                <w:p w14:paraId="6959296E">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59</w:t>
                  </w:r>
                </w:p>
              </w:tc>
              <w:tc>
                <w:tcPr>
                  <w:tcW w:w="580" w:type="dxa"/>
                  <w:tcBorders>
                    <w:tl2br w:val="nil"/>
                    <w:tr2bl w:val="nil"/>
                  </w:tcBorders>
                  <w:shd w:val="clear" w:color="auto" w:fill="FFFFFF"/>
                  <w:noWrap w:val="0"/>
                  <w:vAlign w:val="center"/>
                </w:tcPr>
                <w:p w14:paraId="7542E239">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58</w:t>
                  </w:r>
                </w:p>
              </w:tc>
              <w:tc>
                <w:tcPr>
                  <w:tcW w:w="580" w:type="dxa"/>
                  <w:tcBorders>
                    <w:tl2br w:val="nil"/>
                    <w:tr2bl w:val="nil"/>
                  </w:tcBorders>
                  <w:shd w:val="clear" w:color="auto" w:fill="FFFFFF"/>
                  <w:noWrap w:val="0"/>
                  <w:vAlign w:val="center"/>
                </w:tcPr>
                <w:p w14:paraId="243B0BFD">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57</w:t>
                  </w:r>
                </w:p>
              </w:tc>
              <w:tc>
                <w:tcPr>
                  <w:tcW w:w="580" w:type="dxa"/>
                  <w:tcBorders>
                    <w:tl2br w:val="nil"/>
                    <w:tr2bl w:val="nil"/>
                  </w:tcBorders>
                  <w:shd w:val="clear" w:color="auto" w:fill="FFFFFF"/>
                  <w:noWrap w:val="0"/>
                  <w:vAlign w:val="center"/>
                </w:tcPr>
                <w:p w14:paraId="7A9636CC">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56</w:t>
                  </w:r>
                </w:p>
              </w:tc>
              <w:tc>
                <w:tcPr>
                  <w:tcW w:w="840" w:type="dxa"/>
                  <w:tcBorders>
                    <w:tl2br w:val="nil"/>
                    <w:tr2bl w:val="nil"/>
                  </w:tcBorders>
                  <w:shd w:val="clear" w:color="auto" w:fill="FFFFFF"/>
                  <w:noWrap w:val="0"/>
                  <w:vAlign w:val="center"/>
                </w:tcPr>
                <w:p w14:paraId="486BE145">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55</w:t>
                  </w:r>
                </w:p>
              </w:tc>
            </w:tr>
            <w:tr w14:paraId="35EB3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896" w:type="pct"/>
                  <w:tcBorders>
                    <w:tl2br w:val="nil"/>
                    <w:tr2bl w:val="nil"/>
                  </w:tcBorders>
                  <w:shd w:val="clear" w:color="auto" w:fill="FFFFFF"/>
                  <w:noWrap w:val="0"/>
                  <w:vAlign w:val="top"/>
                </w:tcPr>
                <w:p w14:paraId="657CD98D">
                  <w:pPr>
                    <w:widowControl w:val="0"/>
                    <w:kinsoku/>
                    <w:autoSpaceDE/>
                    <w:autoSpaceDN/>
                    <w:adjustRightInd w:val="0"/>
                    <w:snapToGrid w:val="0"/>
                    <w:spacing w:line="240" w:lineRule="auto"/>
                    <w:jc w:val="center"/>
                    <w:textAlignment w:val="auto"/>
                    <w:rPr>
                      <w:rFonts w:hint="default" w:ascii="Times New Roman" w:hAnsi="Times New Roman" w:cs="Times New Roman"/>
                      <w:snapToGrid w:val="0"/>
                      <w:color w:val="auto"/>
                      <w:kern w:val="0"/>
                      <w:sz w:val="21"/>
                      <w:szCs w:val="21"/>
                    </w:rPr>
                  </w:pPr>
                  <w:r>
                    <w:rPr>
                      <w:rFonts w:hint="default" w:ascii="Times New Roman" w:hAnsi="Times New Roman" w:cs="Times New Roman" w:eastAsiaTheme="minorEastAsia"/>
                      <w:snapToGrid/>
                      <w:color w:val="auto"/>
                      <w:kern w:val="2"/>
                      <w:szCs w:val="21"/>
                      <w:lang w:eastAsia="zh-CN"/>
                    </w:rPr>
                    <w:t>打孔机</w:t>
                  </w:r>
                </w:p>
              </w:tc>
              <w:tc>
                <w:tcPr>
                  <w:tcW w:w="482" w:type="pct"/>
                  <w:tcBorders>
                    <w:tl2br w:val="nil"/>
                    <w:tr2bl w:val="nil"/>
                  </w:tcBorders>
                  <w:shd w:val="clear" w:color="auto" w:fill="FFFFFF"/>
                  <w:noWrap w:val="0"/>
                  <w:vAlign w:val="center"/>
                </w:tcPr>
                <w:p w14:paraId="46DA87AA">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eastAsia" w:ascii="Times New Roman" w:hAnsi="Times New Roman" w:eastAsia="宋体" w:cs="Times New Roman"/>
                      <w:snapToGrid w:val="0"/>
                      <w:color w:val="auto"/>
                      <w:sz w:val="21"/>
                      <w:lang w:val="en-US" w:eastAsia="zh-CN"/>
                    </w:rPr>
                    <w:t>90</w:t>
                  </w:r>
                </w:p>
              </w:tc>
              <w:tc>
                <w:tcPr>
                  <w:tcW w:w="346" w:type="pct"/>
                  <w:tcBorders>
                    <w:tl2br w:val="nil"/>
                    <w:tr2bl w:val="nil"/>
                  </w:tcBorders>
                  <w:shd w:val="clear" w:color="auto" w:fill="FFFFFF"/>
                  <w:noWrap w:val="0"/>
                  <w:vAlign w:val="center"/>
                </w:tcPr>
                <w:p w14:paraId="6952C61A">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70</w:t>
                  </w:r>
                </w:p>
              </w:tc>
              <w:tc>
                <w:tcPr>
                  <w:tcW w:w="346" w:type="pct"/>
                  <w:tcBorders>
                    <w:tl2br w:val="nil"/>
                    <w:tr2bl w:val="nil"/>
                  </w:tcBorders>
                  <w:shd w:val="clear" w:color="auto" w:fill="FFFFFF"/>
                  <w:noWrap w:val="0"/>
                  <w:vAlign w:val="center"/>
                </w:tcPr>
                <w:p w14:paraId="2EAD84D9">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64</w:t>
                  </w:r>
                </w:p>
              </w:tc>
              <w:tc>
                <w:tcPr>
                  <w:tcW w:w="346" w:type="pct"/>
                  <w:tcBorders>
                    <w:tl2br w:val="nil"/>
                    <w:tr2bl w:val="nil"/>
                  </w:tcBorders>
                  <w:shd w:val="clear" w:color="auto" w:fill="FFFFFF"/>
                  <w:noWrap w:val="0"/>
                  <w:vAlign w:val="center"/>
                </w:tcPr>
                <w:p w14:paraId="34E5AEF6">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60</w:t>
                  </w:r>
                </w:p>
              </w:tc>
              <w:tc>
                <w:tcPr>
                  <w:tcW w:w="346" w:type="pct"/>
                  <w:tcBorders>
                    <w:tl2br w:val="nil"/>
                    <w:tr2bl w:val="nil"/>
                  </w:tcBorders>
                  <w:shd w:val="clear" w:color="auto" w:fill="FFFFFF"/>
                  <w:noWrap w:val="0"/>
                  <w:vAlign w:val="center"/>
                </w:tcPr>
                <w:p w14:paraId="74F9C582">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58</w:t>
                  </w:r>
                </w:p>
              </w:tc>
              <w:tc>
                <w:tcPr>
                  <w:tcW w:w="346" w:type="pct"/>
                  <w:tcBorders>
                    <w:tl2br w:val="nil"/>
                    <w:tr2bl w:val="nil"/>
                  </w:tcBorders>
                  <w:shd w:val="clear" w:color="auto" w:fill="FFFFFF"/>
                  <w:noWrap w:val="0"/>
                  <w:vAlign w:val="center"/>
                </w:tcPr>
                <w:p w14:paraId="28EF668D">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56</w:t>
                  </w:r>
                </w:p>
              </w:tc>
              <w:tc>
                <w:tcPr>
                  <w:tcW w:w="346" w:type="pct"/>
                  <w:tcBorders>
                    <w:tl2br w:val="nil"/>
                    <w:tr2bl w:val="nil"/>
                  </w:tcBorders>
                  <w:shd w:val="clear" w:color="auto" w:fill="FFFFFF"/>
                  <w:noWrap w:val="0"/>
                  <w:vAlign w:val="center"/>
                </w:tcPr>
                <w:p w14:paraId="033887EF">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54</w:t>
                  </w:r>
                </w:p>
              </w:tc>
              <w:tc>
                <w:tcPr>
                  <w:tcW w:w="346" w:type="pct"/>
                  <w:tcBorders>
                    <w:tl2br w:val="nil"/>
                    <w:tr2bl w:val="nil"/>
                  </w:tcBorders>
                  <w:shd w:val="clear" w:color="auto" w:fill="FFFFFF"/>
                  <w:noWrap w:val="0"/>
                  <w:vAlign w:val="center"/>
                </w:tcPr>
                <w:p w14:paraId="026C0082">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53</w:t>
                  </w:r>
                </w:p>
              </w:tc>
              <w:tc>
                <w:tcPr>
                  <w:tcW w:w="346" w:type="pct"/>
                  <w:tcBorders>
                    <w:tl2br w:val="nil"/>
                    <w:tr2bl w:val="nil"/>
                  </w:tcBorders>
                  <w:shd w:val="clear" w:color="auto" w:fill="FFFFFF"/>
                  <w:noWrap w:val="0"/>
                  <w:vAlign w:val="center"/>
                </w:tcPr>
                <w:p w14:paraId="579863B5">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52</w:t>
                  </w:r>
                </w:p>
              </w:tc>
              <w:tc>
                <w:tcPr>
                  <w:tcW w:w="346" w:type="pct"/>
                  <w:tcBorders>
                    <w:tl2br w:val="nil"/>
                    <w:tr2bl w:val="nil"/>
                  </w:tcBorders>
                  <w:shd w:val="clear" w:color="auto" w:fill="FFFFFF"/>
                  <w:noWrap w:val="0"/>
                  <w:vAlign w:val="center"/>
                </w:tcPr>
                <w:p w14:paraId="2866226F">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51</w:t>
                  </w:r>
                </w:p>
              </w:tc>
              <w:tc>
                <w:tcPr>
                  <w:tcW w:w="502" w:type="pct"/>
                  <w:tcBorders>
                    <w:tl2br w:val="nil"/>
                    <w:tr2bl w:val="nil"/>
                  </w:tcBorders>
                  <w:shd w:val="clear" w:color="auto" w:fill="FFFFFF"/>
                  <w:noWrap w:val="0"/>
                  <w:vAlign w:val="center"/>
                </w:tcPr>
                <w:p w14:paraId="7A997E20">
                  <w:pPr>
                    <w:pStyle w:val="5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50</w:t>
                  </w:r>
                </w:p>
              </w:tc>
            </w:tr>
          </w:tbl>
          <w:p w14:paraId="7C140543">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32"/>
                <w:highlight w:val="none"/>
                <w:lang w:val="en-US" w:eastAsia="zh-CN"/>
              </w:rPr>
              <w:t>根据计算，</w:t>
            </w:r>
            <w:r>
              <w:rPr>
                <w:rFonts w:hint="eastAsia" w:ascii="Times New Roman" w:hAnsi="Times New Roman" w:eastAsia="宋体" w:cs="Times New Roman"/>
                <w:color w:val="auto"/>
                <w:sz w:val="24"/>
                <w:szCs w:val="32"/>
                <w:highlight w:val="none"/>
                <w:lang w:val="en-US" w:eastAsia="zh-CN"/>
              </w:rPr>
              <w:t>施工过程中</w:t>
            </w:r>
            <w:r>
              <w:rPr>
                <w:rFonts w:hint="default" w:ascii="Times New Roman" w:hAnsi="Times New Roman" w:eastAsia="宋体" w:cs="Times New Roman"/>
                <w:color w:val="auto"/>
                <w:sz w:val="24"/>
                <w:szCs w:val="32"/>
                <w:highlight w:val="none"/>
                <w:lang w:val="en-US" w:eastAsia="zh-CN"/>
              </w:rPr>
              <w:t>产生较大噪声的机械设备，其噪声在</w:t>
            </w:r>
            <w:r>
              <w:rPr>
                <w:rFonts w:hint="eastAsia" w:ascii="Times New Roman" w:hAnsi="Times New Roman" w:eastAsia="宋体" w:cs="Times New Roman"/>
                <w:color w:val="auto"/>
                <w:sz w:val="24"/>
                <w:szCs w:val="32"/>
                <w:highlight w:val="none"/>
                <w:lang w:val="en-US" w:eastAsia="zh-CN"/>
              </w:rPr>
              <w:t>10</w:t>
            </w:r>
            <w:r>
              <w:rPr>
                <w:rFonts w:hint="default" w:ascii="Times New Roman" w:hAnsi="Times New Roman" w:eastAsia="宋体" w:cs="Times New Roman"/>
                <w:color w:val="auto"/>
                <w:sz w:val="24"/>
                <w:szCs w:val="32"/>
                <w:highlight w:val="none"/>
                <w:lang w:val="en-US" w:eastAsia="zh-CN"/>
              </w:rPr>
              <w:t>m外可衰减至70dB(A)，</w:t>
            </w:r>
            <w:r>
              <w:rPr>
                <w:rFonts w:hint="eastAsia" w:ascii="Times New Roman" w:hAnsi="Times New Roman" w:eastAsia="宋体" w:cs="Times New Roman"/>
                <w:color w:val="auto"/>
                <w:sz w:val="24"/>
                <w:szCs w:val="32"/>
                <w:highlight w:val="none"/>
                <w:lang w:val="en-US" w:eastAsia="zh-CN"/>
              </w:rPr>
              <w:t>60</w:t>
            </w:r>
            <w:r>
              <w:rPr>
                <w:rFonts w:hint="default" w:ascii="Times New Roman" w:hAnsi="Times New Roman" w:eastAsia="宋体" w:cs="Times New Roman"/>
                <w:color w:val="auto"/>
                <w:sz w:val="24"/>
                <w:szCs w:val="32"/>
                <w:highlight w:val="none"/>
                <w:lang w:val="en-US" w:eastAsia="zh-CN"/>
              </w:rPr>
              <w:t>m处可衰减至55dB(A)以下，</w:t>
            </w:r>
            <w:r>
              <w:rPr>
                <w:rFonts w:hint="eastAsia" w:ascii="Times New Roman" w:hAnsi="Times New Roman" w:eastAsia="宋体" w:cs="Times New Roman"/>
                <w:color w:val="auto"/>
                <w:sz w:val="24"/>
                <w:szCs w:val="32"/>
                <w:highlight w:val="none"/>
                <w:lang w:val="en-US" w:eastAsia="zh-CN"/>
              </w:rPr>
              <w:t>光伏区域设备安装过程中</w:t>
            </w:r>
            <w:r>
              <w:rPr>
                <w:rFonts w:hint="default" w:ascii="Times New Roman" w:hAnsi="Times New Roman" w:eastAsia="宋体" w:cs="Times New Roman"/>
                <w:color w:val="auto"/>
                <w:sz w:val="24"/>
                <w:szCs w:val="32"/>
                <w:highlight w:val="none"/>
                <w:lang w:val="en-US" w:eastAsia="zh-CN"/>
              </w:rPr>
              <w:t>产生较大噪声的机械设备，其噪声在</w:t>
            </w:r>
            <w:r>
              <w:rPr>
                <w:rFonts w:hint="eastAsia" w:ascii="Times New Roman" w:hAnsi="Times New Roman" w:eastAsia="宋体" w:cs="Times New Roman"/>
                <w:color w:val="auto"/>
                <w:sz w:val="24"/>
                <w:szCs w:val="32"/>
                <w:highlight w:val="none"/>
                <w:lang w:val="en-US" w:eastAsia="zh-CN"/>
              </w:rPr>
              <w:t>10</w:t>
            </w:r>
            <w:r>
              <w:rPr>
                <w:rFonts w:hint="default" w:ascii="Times New Roman" w:hAnsi="Times New Roman" w:eastAsia="宋体" w:cs="Times New Roman"/>
                <w:color w:val="auto"/>
                <w:sz w:val="24"/>
                <w:szCs w:val="32"/>
                <w:highlight w:val="none"/>
                <w:lang w:val="en-US" w:eastAsia="zh-CN"/>
              </w:rPr>
              <w:t>m外可衰减至70dB(A)以下</w:t>
            </w:r>
            <w:r>
              <w:rPr>
                <w:rFonts w:hint="eastAsia" w:ascii="Times New Roman" w:hAnsi="Times New Roman" w:eastAsia="宋体" w:cs="Times New Roman"/>
                <w:color w:val="auto"/>
                <w:sz w:val="24"/>
                <w:szCs w:val="32"/>
                <w:highlight w:val="none"/>
                <w:lang w:val="en-US" w:eastAsia="zh-CN"/>
              </w:rPr>
              <w:t>，根据现场踏勘，项目区最近的敏感目标距离光伏场界约6m，经围墙隔声（衰减量10</w:t>
            </w:r>
            <w:r>
              <w:rPr>
                <w:rFonts w:hint="default" w:ascii="Times New Roman" w:hAnsi="Times New Roman" w:eastAsia="宋体" w:cs="Times New Roman"/>
                <w:color w:val="auto"/>
                <w:sz w:val="24"/>
                <w:szCs w:val="32"/>
                <w:highlight w:val="none"/>
                <w:lang w:val="en-US" w:eastAsia="zh-CN"/>
              </w:rPr>
              <w:t>dB(A)</w:t>
            </w:r>
            <w:r>
              <w:rPr>
                <w:rFonts w:hint="eastAsia" w:ascii="Times New Roman" w:hAnsi="Times New Roman" w:eastAsia="宋体" w:cs="Times New Roman"/>
                <w:color w:val="auto"/>
                <w:sz w:val="24"/>
                <w:szCs w:val="32"/>
                <w:highlight w:val="none"/>
                <w:lang w:val="en-US" w:eastAsia="zh-CN"/>
              </w:rPr>
              <w:t>）后，可满足</w:t>
            </w:r>
            <w:r>
              <w:rPr>
                <w:rFonts w:hint="default" w:ascii="Times New Roman" w:hAnsi="Times New Roman" w:eastAsia="宋体" w:cs="Times New Roman"/>
                <w:color w:val="auto"/>
                <w:sz w:val="24"/>
                <w:szCs w:val="32"/>
                <w:highlight w:val="none"/>
                <w:lang w:val="en-US" w:eastAsia="zh-CN"/>
              </w:rPr>
              <w:t>《建筑施工场界环境噪声排放标准》(GB12523-2011)昼间70dB(A)的相关要求</w:t>
            </w:r>
            <w:r>
              <w:rPr>
                <w:rFonts w:hint="eastAsia" w:ascii="Times New Roman" w:hAnsi="Times New Roman" w:eastAsia="宋体" w:cs="Times New Roman"/>
                <w:color w:val="auto"/>
                <w:sz w:val="24"/>
                <w:szCs w:val="32"/>
                <w:highlight w:val="none"/>
                <w:lang w:val="en-US" w:eastAsia="zh-CN"/>
              </w:rPr>
              <w:t>，夜间不施工</w:t>
            </w:r>
            <w:r>
              <w:rPr>
                <w:rFonts w:hint="default" w:ascii="Times New Roman" w:hAnsi="Times New Roman" w:eastAsia="宋体" w:cs="Times New Roman"/>
                <w:color w:val="auto"/>
                <w:kern w:val="2"/>
                <w:sz w:val="24"/>
                <w:szCs w:val="24"/>
                <w:lang w:val="en-US" w:eastAsia="zh-CN" w:bidi="ar-SA"/>
              </w:rPr>
              <w:t>。</w:t>
            </w:r>
          </w:p>
          <w:p w14:paraId="3D6BF49A">
            <w:pPr>
              <w:keepLines w:val="0"/>
              <w:pageBreakBefore w:val="0"/>
              <w:widowControl w:val="0"/>
              <w:kinsoku/>
              <w:wordWrap/>
              <w:topLinePunct w:val="0"/>
              <w:autoSpaceDE/>
              <w:autoSpaceDN/>
              <w:bidi w:val="0"/>
              <w:adjustRightInd/>
              <w:spacing w:line="360" w:lineRule="auto"/>
              <w:ind w:left="0" w:right="0" w:firstLine="480" w:firstLineChars="200"/>
              <w:textAlignment w:val="auto"/>
              <w:rPr>
                <w:rFonts w:hint="default"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sz w:val="24"/>
                <w:szCs w:val="32"/>
                <w:highlight w:val="none"/>
                <w:lang w:val="en-US" w:eastAsia="zh-CN"/>
              </w:rPr>
              <w:t>综上，本项目光伏区域施工过程中，施工机械设备噪声对周围声环境敏感点的影响不大</w:t>
            </w:r>
            <w:r>
              <w:rPr>
                <w:rFonts w:hint="default" w:ascii="Times New Roman" w:hAnsi="Times New Roman" w:eastAsia="宋体" w:cs="Times New Roman"/>
                <w:color w:val="auto"/>
                <w:sz w:val="24"/>
                <w:szCs w:val="32"/>
                <w:highlight w:val="none"/>
                <w:lang w:val="en-US" w:eastAsia="zh-CN"/>
              </w:rPr>
              <w:t>。</w:t>
            </w:r>
          </w:p>
          <w:p w14:paraId="1B87377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lang w:val="en-US" w:eastAsia="zh-CN"/>
              </w:rPr>
              <w:t>8、</w:t>
            </w:r>
            <w:r>
              <w:rPr>
                <w:rFonts w:ascii="Times New Roman" w:hAnsi="Times New Roman" w:eastAsia="宋体" w:cs="Times New Roman"/>
                <w:b/>
                <w:bCs/>
                <w:color w:val="auto"/>
                <w:sz w:val="24"/>
                <w:szCs w:val="32"/>
                <w:highlight w:val="none"/>
              </w:rPr>
              <w:t>固体废物</w:t>
            </w:r>
          </w:p>
          <w:p w14:paraId="555F115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color w:val="auto"/>
              </w:rPr>
            </w:pPr>
            <w:r>
              <w:rPr>
                <w:rFonts w:hint="default" w:ascii="Times New Roman" w:hAnsi="Times New Roman" w:eastAsia="宋体" w:cs="Times New Roman"/>
                <w:bCs/>
                <w:color w:val="auto"/>
                <w:sz w:val="24"/>
                <w:szCs w:val="24"/>
              </w:rPr>
              <w:t>固体废物主要为</w:t>
            </w:r>
            <w:r>
              <w:rPr>
                <w:rFonts w:hint="eastAsia" w:ascii="Times New Roman" w:hAnsi="Times New Roman" w:eastAsia="宋体" w:cs="Times New Roman"/>
                <w:bCs/>
                <w:color w:val="auto"/>
                <w:sz w:val="24"/>
                <w:szCs w:val="24"/>
                <w:lang w:val="en-US" w:eastAsia="zh-CN"/>
              </w:rPr>
              <w:t>施工人员</w:t>
            </w:r>
            <w:r>
              <w:rPr>
                <w:rFonts w:hint="default" w:ascii="Times New Roman" w:hAnsi="Times New Roman" w:eastAsia="宋体" w:cs="Times New Roman"/>
                <w:bCs/>
                <w:color w:val="auto"/>
                <w:sz w:val="24"/>
                <w:szCs w:val="24"/>
              </w:rPr>
              <w:t>生活垃圾、建筑垃圾与设备安装过程中损坏的材料或组件。</w:t>
            </w:r>
          </w:p>
          <w:p w14:paraId="606704A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生活垃圾</w:t>
            </w:r>
          </w:p>
          <w:p w14:paraId="5881E94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施工期</w:t>
            </w:r>
            <w:r>
              <w:rPr>
                <w:rFonts w:hint="default" w:ascii="Times New Roman" w:hAnsi="Times New Roman" w:cs="Times New Roman"/>
                <w:color w:val="auto"/>
                <w:sz w:val="24"/>
                <w:szCs w:val="24"/>
                <w:highlight w:val="none"/>
              </w:rPr>
              <w:t>工作人员最大规模为</w:t>
            </w:r>
            <w:r>
              <w:rPr>
                <w:rFonts w:hint="eastAsia" w:ascii="Times New Roman" w:hAnsi="Times New Roman" w:cs="Times New Roman"/>
                <w:color w:val="auto"/>
                <w:sz w:val="24"/>
                <w:szCs w:val="24"/>
                <w:highlight w:val="none"/>
                <w:lang w:val="en-US" w:eastAsia="zh-CN"/>
              </w:rPr>
              <w:t>200</w:t>
            </w:r>
            <w:r>
              <w:rPr>
                <w:rFonts w:hint="default" w:ascii="Times New Roman" w:hAnsi="Times New Roman" w:cs="Times New Roman"/>
                <w:color w:val="auto"/>
                <w:sz w:val="24"/>
                <w:szCs w:val="24"/>
                <w:highlight w:val="none"/>
              </w:rPr>
              <w:t>人，职工生活垃圾产生量按0.</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kg/人·天计，则每日生活垃圾总量为</w:t>
            </w:r>
            <w:r>
              <w:rPr>
                <w:rFonts w:hint="eastAsia" w:ascii="Times New Roman" w:hAnsi="Times New Roman" w:cs="Times New Roman"/>
                <w:color w:val="auto"/>
                <w:sz w:val="24"/>
                <w:szCs w:val="24"/>
                <w:highlight w:val="none"/>
                <w:lang w:val="en-US" w:eastAsia="zh-CN"/>
              </w:rPr>
              <w:t>100</w:t>
            </w:r>
            <w:r>
              <w:rPr>
                <w:rFonts w:hint="default" w:ascii="Times New Roman" w:hAnsi="Times New Roman" w:cs="Times New Roman"/>
                <w:color w:val="auto"/>
                <w:sz w:val="24"/>
                <w:szCs w:val="24"/>
                <w:highlight w:val="none"/>
              </w:rPr>
              <w:t>kg/d，</w:t>
            </w:r>
            <w:r>
              <w:rPr>
                <w:rFonts w:hint="eastAsia" w:ascii="Times New Roman" w:hAnsi="Times New Roman" w:cs="Times New Roman"/>
                <w:color w:val="auto"/>
                <w:sz w:val="24"/>
                <w:szCs w:val="24"/>
                <w:highlight w:val="none"/>
                <w:lang w:eastAsia="zh-CN"/>
              </w:rPr>
              <w:t>施工期</w:t>
            </w:r>
            <w:r>
              <w:rPr>
                <w:rFonts w:hint="default" w:ascii="Times New Roman" w:hAnsi="Times New Roman" w:cs="Times New Roman"/>
                <w:color w:val="auto"/>
                <w:sz w:val="24"/>
                <w:szCs w:val="24"/>
                <w:highlight w:val="none"/>
              </w:rPr>
              <w:t>职工生活垃圾产生量约</w:t>
            </w:r>
            <w:r>
              <w:rPr>
                <w:rFonts w:hint="eastAsia" w:ascii="Times New Roman" w:hAnsi="Times New Roman" w:cs="Times New Roman"/>
                <w:color w:val="auto"/>
                <w:sz w:val="24"/>
                <w:szCs w:val="24"/>
                <w:highlight w:val="none"/>
                <w:lang w:val="en-US" w:eastAsia="zh-CN"/>
              </w:rPr>
              <w:t>18</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生活垃圾经垃圾桶统一收集后，</w:t>
            </w:r>
            <w:r>
              <w:rPr>
                <w:rFonts w:hint="default" w:ascii="Times New Roman" w:hAnsi="Times New Roman" w:eastAsia="宋体" w:cs="Times New Roman"/>
                <w:color w:val="auto"/>
                <w:sz w:val="24"/>
                <w:szCs w:val="24"/>
                <w:highlight w:val="none"/>
                <w:lang w:bidi="ar"/>
              </w:rPr>
              <w:t>送到当地镇生活垃圾收集场所处置</w:t>
            </w:r>
            <w:r>
              <w:rPr>
                <w:rFonts w:hint="default" w:ascii="Times New Roman" w:hAnsi="Times New Roman" w:cs="Times New Roman"/>
                <w:color w:val="auto"/>
                <w:sz w:val="24"/>
                <w:szCs w:val="24"/>
                <w:highlight w:val="none"/>
              </w:rPr>
              <w:t>。</w:t>
            </w:r>
          </w:p>
          <w:p w14:paraId="79589C1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建筑垃圾</w:t>
            </w:r>
          </w:p>
          <w:p w14:paraId="57E62F4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本项目</w:t>
            </w:r>
            <w:r>
              <w:rPr>
                <w:rFonts w:hint="eastAsia" w:ascii="Times New Roman" w:hAnsi="Times New Roman" w:eastAsia="宋体" w:cs="Times New Roman"/>
                <w:bCs/>
                <w:color w:val="auto"/>
                <w:sz w:val="24"/>
                <w:szCs w:val="24"/>
                <w:lang w:val="en-US" w:eastAsia="zh-CN"/>
              </w:rPr>
              <w:t>建筑垃圾主要为光伏区域建设过程中产生。本项目光伏区建设土方</w:t>
            </w:r>
            <w:r>
              <w:rPr>
                <w:rFonts w:hint="default" w:ascii="Times New Roman" w:hAnsi="Times New Roman" w:eastAsia="宋体" w:cs="Times New Roman"/>
                <w:bCs/>
                <w:color w:val="auto"/>
                <w:sz w:val="24"/>
                <w:szCs w:val="24"/>
              </w:rPr>
              <w:t>开挖量较小，土石方</w:t>
            </w:r>
            <w:r>
              <w:rPr>
                <w:rFonts w:hint="eastAsia" w:ascii="Times New Roman" w:hAnsi="Times New Roman" w:eastAsia="宋体" w:cs="Times New Roman"/>
                <w:bCs/>
                <w:color w:val="auto"/>
                <w:sz w:val="24"/>
                <w:szCs w:val="24"/>
                <w:lang w:val="en-US" w:eastAsia="zh-CN"/>
              </w:rPr>
              <w:t>产生量</w:t>
            </w:r>
            <w:r>
              <w:rPr>
                <w:rFonts w:hint="default" w:ascii="Times New Roman" w:hAnsi="Times New Roman" w:eastAsia="宋体" w:cs="Times New Roman"/>
                <w:bCs/>
                <w:color w:val="auto"/>
                <w:sz w:val="24"/>
                <w:szCs w:val="24"/>
              </w:rPr>
              <w:t>较少，可以全部用于阵列间覆土。建筑垃圾主要为废弃建材、现场清理时产生的砖石等，这部分建筑垃圾中可回收利用部分交由回收单位回收，不可回收部分送往指定地点堆存。</w:t>
            </w:r>
          </w:p>
          <w:p w14:paraId="3F8C22F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本项目光伏板支架直接在厂家定置，现场进行组件安装，产生的废弃包装材料和少量废弃钢筋边角料可外售废品回收单位；</w:t>
            </w:r>
            <w:r>
              <w:rPr>
                <w:rFonts w:hint="default" w:ascii="Times New Roman" w:hAnsi="Times New Roman" w:eastAsia="宋体" w:cs="Times New Roman"/>
                <w:color w:val="auto"/>
                <w:sz w:val="24"/>
                <w:szCs w:val="24"/>
              </w:rPr>
              <w:t>损坏的材料或组件由</w:t>
            </w:r>
            <w:r>
              <w:rPr>
                <w:rFonts w:hint="eastAsia" w:ascii="Times New Roman" w:hAnsi="Times New Roman" w:eastAsia="宋体" w:cs="Times New Roman"/>
                <w:color w:val="auto"/>
                <w:sz w:val="24"/>
                <w:szCs w:val="24"/>
                <w:lang w:val="en-US" w:eastAsia="zh-CN"/>
              </w:rPr>
              <w:t>专业回收</w:t>
            </w:r>
            <w:r>
              <w:rPr>
                <w:rFonts w:hint="default" w:ascii="Times New Roman" w:hAnsi="Times New Roman" w:eastAsia="宋体" w:cs="Times New Roman"/>
                <w:color w:val="auto"/>
                <w:sz w:val="24"/>
                <w:szCs w:val="24"/>
                <w:lang w:eastAsia="zh-CN"/>
              </w:rPr>
              <w:t>单位回收</w:t>
            </w:r>
            <w:r>
              <w:rPr>
                <w:rFonts w:hint="default" w:ascii="Times New Roman" w:hAnsi="Times New Roman" w:eastAsia="宋体" w:cs="Times New Roman"/>
                <w:color w:val="auto"/>
                <w:sz w:val="24"/>
                <w:szCs w:val="24"/>
              </w:rPr>
              <w:t>处置。</w:t>
            </w:r>
          </w:p>
          <w:p w14:paraId="68A9EC4B">
            <w:pPr>
              <w:pStyle w:val="2"/>
              <w:rPr>
                <w:rFonts w:hint="default"/>
                <w:color w:val="auto"/>
              </w:rPr>
            </w:pPr>
          </w:p>
        </w:tc>
      </w:tr>
      <w:tr w14:paraId="5A640B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noWrap w:val="0"/>
            <w:tcMar>
              <w:left w:w="28" w:type="dxa"/>
              <w:right w:w="28" w:type="dxa"/>
            </w:tcMar>
            <w:vAlign w:val="center"/>
          </w:tcPr>
          <w:p w14:paraId="51DA251E">
            <w:pPr>
              <w:pStyle w:val="21"/>
              <w:adjustRightInd w:val="0"/>
              <w:snapToGrid w:val="0"/>
              <w:spacing w:before="0" w:beforeAutospacing="0" w:after="0" w:afterAutospacing="0"/>
              <w:jc w:val="center"/>
              <w:rPr>
                <w:rFonts w:ascii="Times New Roman" w:hAnsi="Times New Roman" w:eastAsia="宋体" w:cs="Times New Roman"/>
                <w:bCs/>
                <w:color w:val="auto"/>
                <w:spacing w:val="10"/>
                <w:kern w:val="2"/>
                <w:sz w:val="24"/>
                <w:szCs w:val="24"/>
                <w:highlight w:val="none"/>
              </w:rPr>
            </w:pPr>
          </w:p>
          <w:p w14:paraId="0BFBFC2E">
            <w:pPr>
              <w:pStyle w:val="21"/>
              <w:adjustRightInd w:val="0"/>
              <w:snapToGrid w:val="0"/>
              <w:spacing w:before="0" w:beforeAutospacing="0" w:after="0" w:afterAutospacing="0"/>
              <w:jc w:val="center"/>
              <w:rPr>
                <w:rFonts w:ascii="Times New Roman" w:hAnsi="Times New Roman" w:eastAsia="宋体" w:cs="Times New Roman"/>
                <w:bCs/>
                <w:color w:val="auto"/>
                <w:spacing w:val="10"/>
                <w:kern w:val="2"/>
                <w:sz w:val="24"/>
                <w:szCs w:val="24"/>
                <w:highlight w:val="none"/>
              </w:rPr>
            </w:pPr>
          </w:p>
          <w:p w14:paraId="235EAAD0">
            <w:pPr>
              <w:pStyle w:val="21"/>
              <w:adjustRightInd w:val="0"/>
              <w:snapToGrid w:val="0"/>
              <w:spacing w:before="0" w:beforeAutospacing="0" w:after="0" w:afterAutospacing="0"/>
              <w:jc w:val="center"/>
              <w:rPr>
                <w:rFonts w:ascii="Times New Roman" w:hAnsi="Times New Roman" w:eastAsia="宋体" w:cs="Times New Roman"/>
                <w:bCs/>
                <w:color w:val="auto"/>
                <w:spacing w:val="10"/>
                <w:kern w:val="2"/>
                <w:sz w:val="24"/>
                <w:szCs w:val="24"/>
                <w:highlight w:val="none"/>
              </w:rPr>
            </w:pPr>
          </w:p>
          <w:p w14:paraId="39ED1F31">
            <w:pPr>
              <w:pStyle w:val="21"/>
              <w:adjustRightInd w:val="0"/>
              <w:snapToGrid w:val="0"/>
              <w:spacing w:before="0" w:beforeAutospacing="0" w:after="0" w:afterAutospacing="0"/>
              <w:jc w:val="center"/>
              <w:rPr>
                <w:rFonts w:ascii="Times New Roman" w:hAnsi="Times New Roman" w:eastAsia="宋体" w:cs="Times New Roman"/>
                <w:bCs/>
                <w:color w:val="auto"/>
                <w:spacing w:val="10"/>
                <w:kern w:val="2"/>
                <w:sz w:val="24"/>
                <w:szCs w:val="24"/>
                <w:highlight w:val="none"/>
              </w:rPr>
            </w:pPr>
          </w:p>
          <w:p w14:paraId="2E4F1C26">
            <w:pPr>
              <w:pStyle w:val="21"/>
              <w:adjustRightInd w:val="0"/>
              <w:snapToGrid w:val="0"/>
              <w:spacing w:before="0" w:beforeAutospacing="0" w:after="0" w:afterAutospacing="0"/>
              <w:jc w:val="center"/>
              <w:rPr>
                <w:rFonts w:ascii="Times New Roman" w:hAnsi="Times New Roman" w:eastAsia="宋体" w:cs="Times New Roman"/>
                <w:bCs/>
                <w:color w:val="auto"/>
                <w:kern w:val="2"/>
                <w:sz w:val="24"/>
                <w:szCs w:val="24"/>
                <w:highlight w:val="none"/>
              </w:rPr>
            </w:pPr>
            <w:r>
              <w:rPr>
                <w:rFonts w:ascii="Times New Roman" w:hAnsi="Times New Roman" w:eastAsia="宋体" w:cs="Times New Roman"/>
                <w:bCs/>
                <w:color w:val="auto"/>
                <w:spacing w:val="10"/>
                <w:kern w:val="2"/>
                <w:sz w:val="24"/>
                <w:szCs w:val="24"/>
                <w:highlight w:val="none"/>
              </w:rPr>
              <w:t>运营期生态环境影响分析</w:t>
            </w:r>
          </w:p>
        </w:tc>
        <w:tc>
          <w:tcPr>
            <w:tcW w:w="9124" w:type="dxa"/>
            <w:noWrap w:val="0"/>
            <w:vAlign w:val="center"/>
          </w:tcPr>
          <w:p w14:paraId="5A109C5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营运期工艺流程及产污环节</w:t>
            </w:r>
          </w:p>
          <w:p w14:paraId="3E828C3C">
            <w:pPr>
              <w:keepNext w:val="0"/>
              <w:keepLines w:val="0"/>
              <w:pageBreakBefore w:val="0"/>
              <w:widowControl w:val="0"/>
              <w:kinsoku/>
              <w:wordWrap/>
              <w:overflowPunct/>
              <w:topLinePunct w:val="0"/>
              <w:autoSpaceDE/>
              <w:autoSpaceDN/>
              <w:bidi w:val="0"/>
              <w:adjustRightInd w:val="0"/>
              <w:snapToGrid w:val="0"/>
              <w:spacing w:line="360" w:lineRule="auto"/>
              <w:ind w:firstLine="539"/>
              <w:textAlignment w:val="auto"/>
              <w:rPr>
                <w:rFonts w:hint="default" w:ascii="Times New Roman" w:hAnsi="Times New Roman" w:cs="Times New Roman"/>
                <w:color w:val="auto"/>
              </w:rPr>
            </w:pPr>
            <w:r>
              <w:rPr>
                <w:rFonts w:hint="default" w:ascii="Times New Roman" w:hAnsi="Times New Roman" w:eastAsia="宋体" w:cs="Times New Roman"/>
                <w:b/>
                <w:color w:val="auto"/>
                <w:sz w:val="24"/>
                <w:szCs w:val="24"/>
                <w:lang w:val="en-US" w:eastAsia="zh-CN"/>
              </w:rPr>
              <w:t>1、</w:t>
            </w:r>
            <w:r>
              <w:rPr>
                <w:rFonts w:hint="default" w:ascii="Times New Roman" w:hAnsi="Times New Roman" w:eastAsia="宋体" w:cs="Times New Roman"/>
                <w:b/>
                <w:color w:val="auto"/>
                <w:sz w:val="24"/>
                <w:szCs w:val="24"/>
              </w:rPr>
              <w:t>光伏发电流程</w:t>
            </w:r>
          </w:p>
          <w:p w14:paraId="166C1F70">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color w:val="auto"/>
                <w:sz w:val="21"/>
              </w:rPr>
              <mc:AlternateContent>
                <mc:Choice Requires="wps">
                  <w:drawing>
                    <wp:anchor distT="0" distB="0" distL="114300" distR="114300" simplePos="0" relativeHeight="251668480" behindDoc="0" locked="0" layoutInCell="1" allowOverlap="1">
                      <wp:simplePos x="0" y="0"/>
                      <wp:positionH relativeFrom="column">
                        <wp:posOffset>4384040</wp:posOffset>
                      </wp:positionH>
                      <wp:positionV relativeFrom="paragraph">
                        <wp:posOffset>135255</wp:posOffset>
                      </wp:positionV>
                      <wp:extent cx="1132840" cy="1618615"/>
                      <wp:effectExtent l="12700" t="12700" r="16510" b="26035"/>
                      <wp:wrapNone/>
                      <wp:docPr id="2" name="矩形 2"/>
                      <wp:cNvGraphicFramePr/>
                      <a:graphic xmlns:a="http://schemas.openxmlformats.org/drawingml/2006/main">
                        <a:graphicData uri="http://schemas.microsoft.com/office/word/2010/wordprocessingShape">
                          <wps:wsp>
                            <wps:cNvSpPr/>
                            <wps:spPr>
                              <a:xfrm>
                                <a:off x="5439410" y="1635125"/>
                                <a:ext cx="1132840" cy="161861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B6E1249">
                                  <w:pPr>
                                    <w:jc w:val="cente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本次不评价</w:t>
                                  </w:r>
                                </w:p>
                                <w:p w14:paraId="2D0DDC77">
                                  <w:pPr>
                                    <w:pStyle w:val="2"/>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14:paraId="115A7D23">
                                  <w:pPr>
                                    <w:pStyle w:val="3"/>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14:paraId="17B630A0">
                                  <w:pP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14:paraId="48A17702">
                                  <w:pPr>
                                    <w:pStyle w:val="2"/>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14:paraId="1970B9D5">
                                  <w:pPr>
                                    <w:pStyle w:val="3"/>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14:paraId="7090B98E">
                                  <w:pPr>
                                    <w:rPr>
                                      <w:rFonts w:hint="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5.2pt;margin-top:10.65pt;height:127.45pt;width:89.2pt;z-index:251668480;v-text-anchor:middle;mso-width-relative:page;mso-height-relative:page;" filled="f" stroked="t" coordsize="21600,21600" o:gfxdata="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4Kypl9oAAAAKAQAADwAAAAAAAAABACAAAAAiAAAAZHJzL2Rvd25y&#10;ZXYueG1sUEsBAhQAFAAAAAgAh07iQPU5DLFuAgAAzAQAAA4AAAAAAAAAAQAgAAAAKQEAAGRycy9l&#10;Mm9Eb2MueG1sUEsFBgAAAAAGAAYAWQEAAAkGAAAAAA==&#10;">
                      <v:fill on="f" focussize="0,0"/>
                      <v:stroke weight="2pt" color="#000000 [3213]" joinstyle="round"/>
                      <v:imagedata o:title=""/>
                      <o:lock v:ext="edit" aspectratio="f"/>
                      <v:textbox>
                        <w:txbxContent>
                          <w:p w14:paraId="7B6E1249">
                            <w:pPr>
                              <w:jc w:val="cente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本次不评价</w:t>
                            </w:r>
                          </w:p>
                          <w:p w14:paraId="2D0DDC77">
                            <w:pPr>
                              <w:pStyle w:val="2"/>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14:paraId="115A7D23">
                            <w:pPr>
                              <w:pStyle w:val="3"/>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14:paraId="17B630A0">
                            <w:pP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14:paraId="48A17702">
                            <w:pPr>
                              <w:pStyle w:val="2"/>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14:paraId="1970B9D5">
                            <w:pPr>
                              <w:pStyle w:val="3"/>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14:paraId="7090B98E">
                            <w:pPr>
                              <w:rPr>
                                <w:rFonts w:hint="eastAsia"/>
                                <w:lang w:val="en-US" w:eastAsia="zh-CN"/>
                              </w:rPr>
                            </w:pPr>
                          </w:p>
                        </w:txbxContent>
                      </v:textbox>
                    </v:rect>
                  </w:pict>
                </mc:Fallback>
              </mc:AlternateContent>
            </w:r>
            <w:r>
              <w:rPr>
                <w:color w:val="auto"/>
                <w:sz w:val="21"/>
              </w:rPr>
              <mc:AlternateContent>
                <mc:Choice Requires="wps">
                  <w:drawing>
                    <wp:anchor distT="0" distB="0" distL="114300" distR="114300" simplePos="0" relativeHeight="251666432" behindDoc="0" locked="0" layoutInCell="1" allowOverlap="1">
                      <wp:simplePos x="0" y="0"/>
                      <wp:positionH relativeFrom="column">
                        <wp:posOffset>4575175</wp:posOffset>
                      </wp:positionH>
                      <wp:positionV relativeFrom="paragraph">
                        <wp:posOffset>1073150</wp:posOffset>
                      </wp:positionV>
                      <wp:extent cx="704850" cy="75565"/>
                      <wp:effectExtent l="12700" t="12700" r="25400" b="26035"/>
                      <wp:wrapNone/>
                      <wp:docPr id="79" name="矩形 79"/>
                      <wp:cNvGraphicFramePr/>
                      <a:graphic xmlns:a="http://schemas.openxmlformats.org/drawingml/2006/main">
                        <a:graphicData uri="http://schemas.microsoft.com/office/word/2010/wordprocessingShape">
                          <wps:wsp>
                            <wps:cNvSpPr/>
                            <wps:spPr>
                              <a:xfrm>
                                <a:off x="5706745" y="5171440"/>
                                <a:ext cx="704850" cy="7556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0.25pt;margin-top:84.5pt;height:5.95pt;width:55.5pt;z-index:251666432;v-text-anchor:middle;mso-width-relative:page;mso-height-relative:page;" fillcolor="#FFFFFF [3212]" filled="t" stroked="t" coordsize="21600,21600" o:gfxdata="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EjqUYdoAAAALAQAADwAAAAAAAAABACAAAAAiAAAAZHJzL2Rvd25yZXYueG1s&#10;UEsBAhQAFAAAAAgAh07iQIF6HgpoAgAA6QQAAA4AAAAAAAAAAQAgAAAAKQEAAGRycy9lMm9Eb2Mu&#10;eG1sUEsFBgAAAAAGAAYAWQEAAAMGAAAAAA==&#10;">
                      <v:fill on="t" focussize="0,0"/>
                      <v:stroke weight="2pt" color="#FFFFFF [3212]" joinstyle="round"/>
                      <v:imagedata o:title=""/>
                      <o:lock v:ext="edit" aspectratio="f"/>
                    </v:rect>
                  </w:pict>
                </mc:Fallback>
              </mc:AlternateContent>
            </w:r>
            <w:r>
              <w:rPr>
                <w:color w:val="auto"/>
              </w:rPr>
              <w:drawing>
                <wp:inline distT="0" distB="0" distL="114300" distR="114300">
                  <wp:extent cx="5481955" cy="1704975"/>
                  <wp:effectExtent l="0" t="0" r="4445" b="9525"/>
                  <wp:docPr id="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
                          <pic:cNvPicPr>
                            <a:picLocks noChangeAspect="1"/>
                          </pic:cNvPicPr>
                        </pic:nvPicPr>
                        <pic:blipFill>
                          <a:blip r:embed="rId17"/>
                          <a:stretch>
                            <a:fillRect/>
                          </a:stretch>
                        </pic:blipFill>
                        <pic:spPr>
                          <a:xfrm>
                            <a:off x="0" y="0"/>
                            <a:ext cx="5481955" cy="1704975"/>
                          </a:xfrm>
                          <a:prstGeom prst="rect">
                            <a:avLst/>
                          </a:prstGeom>
                          <a:noFill/>
                          <a:ln>
                            <a:noFill/>
                          </a:ln>
                        </pic:spPr>
                      </pic:pic>
                    </a:graphicData>
                  </a:graphic>
                </wp:inline>
              </w:drawing>
            </w:r>
          </w:p>
          <w:p w14:paraId="7D6F3EB0">
            <w:pPr>
              <w:keepNext w:val="0"/>
              <w:keepLines w:val="0"/>
              <w:pageBreakBefore w:val="0"/>
              <w:widowControl w:val="0"/>
              <w:tabs>
                <w:tab w:val="left" w:pos="6041"/>
              </w:tabs>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color w:val="auto"/>
                <w:sz w:val="21"/>
                <w:szCs w:val="21"/>
                <w:highlight w:val="none"/>
              </w:rPr>
              <w:t>图</w:t>
            </w:r>
            <w:r>
              <w:rPr>
                <w:rFonts w:hint="eastAsia" w:ascii="Times New Roman" w:hAnsi="Times New Roman" w:eastAsia="宋体" w:cs="Times New Roman"/>
                <w:b/>
                <w:color w:val="auto"/>
                <w:sz w:val="21"/>
                <w:szCs w:val="21"/>
                <w:highlight w:val="none"/>
                <w:lang w:val="en-US" w:eastAsia="zh-CN"/>
              </w:rPr>
              <w:t>2-3  光伏场</w:t>
            </w:r>
            <w:r>
              <w:rPr>
                <w:rFonts w:hint="default" w:ascii="Times New Roman" w:hAnsi="Times New Roman" w:eastAsia="宋体" w:cs="Times New Roman"/>
                <w:b/>
                <w:color w:val="auto"/>
                <w:sz w:val="21"/>
                <w:szCs w:val="21"/>
                <w:highlight w:val="none"/>
              </w:rPr>
              <w:t>运行期工艺流程及环境影响示意图</w:t>
            </w:r>
          </w:p>
          <w:p w14:paraId="6A6C8BE5">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baseline"/>
              <w:rPr>
                <w:rFonts w:hint="default" w:ascii="Times New Roman" w:hAnsi="Times New Roman" w:cs="Times New Roman"/>
                <w:b/>
                <w:bCs/>
                <w:color w:val="auto"/>
                <w:sz w:val="24"/>
                <w:szCs w:val="24"/>
              </w:rPr>
            </w:pPr>
            <w:r>
              <w:rPr>
                <w:rFonts w:hint="eastAsia" w:ascii="Times New Roman" w:hAnsi="Times New Roman" w:eastAsia="宋体" w:cs="Times New Roman"/>
                <w:bCs/>
                <w:color w:val="auto"/>
                <w:sz w:val="24"/>
                <w:szCs w:val="24"/>
                <w:lang w:val="en-US" w:eastAsia="zh-CN"/>
              </w:rPr>
              <w:t>项目运营期的产污环节主要有光伏板吸收太阳能过程中带来光污染，光伏组件清洗产生清洗废水，光伏电站箱变产生的噪声等。</w:t>
            </w:r>
          </w:p>
          <w:p w14:paraId="32EF8E38">
            <w:pPr>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主要产污环节简述</w:t>
            </w:r>
          </w:p>
          <w:p w14:paraId="319ACBB5">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baseline"/>
              <w:rPr>
                <w:rFonts w:hint="default"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1</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废气</w:t>
            </w:r>
          </w:p>
          <w:p w14:paraId="71B38140">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baseline"/>
              <w:rPr>
                <w:rFonts w:hint="eastAsia"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rPr>
              <w:t>本项目运营期无工业废气产生</w:t>
            </w:r>
            <w:r>
              <w:rPr>
                <w:rFonts w:hint="eastAsia" w:ascii="Times New Roman" w:hAnsi="Times New Roman" w:eastAsia="宋体" w:cs="Times New Roman"/>
                <w:bCs/>
                <w:color w:val="auto"/>
                <w:sz w:val="24"/>
                <w:szCs w:val="24"/>
                <w:lang w:eastAsia="zh-CN"/>
              </w:rPr>
              <w:t>。</w:t>
            </w:r>
          </w:p>
          <w:p w14:paraId="771A49D6">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废水</w:t>
            </w:r>
          </w:p>
          <w:p w14:paraId="2F89E694">
            <w:pPr>
              <w:keepNext w:val="0"/>
              <w:keepLines w:val="0"/>
              <w:pageBreakBefore w:val="0"/>
              <w:kinsoku/>
              <w:wordWrap/>
              <w:overflowPunct/>
              <w:topLinePunct w:val="0"/>
              <w:bidi w:val="0"/>
              <w:adjustRightInd w:val="0"/>
              <w:snapToGrid w:val="0"/>
              <w:spacing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运营期废水主要是太阳能板组件清洗废水。</w:t>
            </w:r>
          </w:p>
          <w:p w14:paraId="2869B214">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baseline"/>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固体废物 </w:t>
            </w:r>
          </w:p>
          <w:p w14:paraId="40EAE5BC">
            <w:pPr>
              <w:keepNext w:val="0"/>
              <w:keepLines w:val="0"/>
              <w:pageBreakBefore w:val="0"/>
              <w:tabs>
                <w:tab w:val="left" w:pos="792"/>
              </w:tabs>
              <w:kinsoku/>
              <w:wordWrap/>
              <w:overflowPunct/>
              <w:topLinePunct w:val="0"/>
              <w:bidi w:val="0"/>
              <w:adjustRightInd w:val="0"/>
              <w:snapToGrid w:val="0"/>
              <w:spacing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运营期固体废弃物主要为更换的太阳能板组件</w:t>
            </w:r>
            <w:r>
              <w:rPr>
                <w:rFonts w:hint="eastAsia" w:ascii="Times New Roman" w:hAnsi="Times New Roman" w:eastAsia="宋体" w:cs="Times New Roman"/>
                <w:color w:val="auto"/>
                <w:sz w:val="24"/>
                <w:szCs w:val="24"/>
                <w:lang w:val="en-US" w:eastAsia="zh-CN"/>
              </w:rPr>
              <w:t>等</w:t>
            </w:r>
            <w:r>
              <w:rPr>
                <w:rFonts w:hint="default" w:ascii="Times New Roman" w:hAnsi="Times New Roman" w:eastAsia="宋体" w:cs="Times New Roman"/>
                <w:color w:val="auto"/>
                <w:sz w:val="24"/>
                <w:szCs w:val="24"/>
              </w:rPr>
              <w:t>、废</w:t>
            </w:r>
            <w:r>
              <w:rPr>
                <w:rFonts w:hint="eastAsia" w:ascii="Times New Roman" w:hAnsi="Times New Roman" w:eastAsia="宋体" w:cs="Times New Roman"/>
                <w:color w:val="auto"/>
                <w:sz w:val="24"/>
                <w:szCs w:val="24"/>
                <w:lang w:val="en-US" w:eastAsia="zh-CN"/>
              </w:rPr>
              <w:t>箱式变压器油</w:t>
            </w:r>
            <w:r>
              <w:rPr>
                <w:rFonts w:hint="default" w:ascii="Times New Roman" w:hAnsi="Times New Roman" w:eastAsia="宋体" w:cs="Times New Roman"/>
                <w:color w:val="auto"/>
                <w:sz w:val="24"/>
                <w:szCs w:val="24"/>
              </w:rPr>
              <w:t>等。</w:t>
            </w:r>
          </w:p>
          <w:p w14:paraId="73BF0BF3">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噪声</w:t>
            </w:r>
          </w:p>
          <w:p w14:paraId="650EE860">
            <w:pPr>
              <w:keepNext w:val="0"/>
              <w:keepLines w:val="0"/>
              <w:pageBreakBefore w:val="0"/>
              <w:kinsoku/>
              <w:wordWrap/>
              <w:overflowPunct/>
              <w:topLinePunct w:val="0"/>
              <w:bidi w:val="0"/>
              <w:adjustRightInd w:val="0"/>
              <w:snapToGrid w:val="0"/>
              <w:spacing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噪声污染主要来源于</w:t>
            </w:r>
            <w:r>
              <w:rPr>
                <w:rFonts w:hint="eastAsia" w:ascii="Times New Roman" w:hAnsi="Times New Roman" w:eastAsia="宋体" w:cs="Times New Roman"/>
                <w:color w:val="auto"/>
                <w:sz w:val="24"/>
                <w:szCs w:val="24"/>
                <w:lang w:val="en-US" w:eastAsia="zh-CN"/>
              </w:rPr>
              <w:t>箱式变压器、</w:t>
            </w:r>
            <w:r>
              <w:rPr>
                <w:rFonts w:hint="default" w:ascii="Times New Roman" w:hAnsi="Times New Roman" w:eastAsia="宋体" w:cs="Times New Roman"/>
                <w:color w:val="auto"/>
                <w:sz w:val="24"/>
                <w:szCs w:val="24"/>
              </w:rPr>
              <w:t>进出场内车辆，</w:t>
            </w:r>
            <w:r>
              <w:rPr>
                <w:rFonts w:hint="default" w:ascii="Times New Roman" w:hAnsi="Times New Roman" w:eastAsia="宋体" w:cs="Times New Roman"/>
                <w:bCs/>
                <w:color w:val="auto"/>
                <w:sz w:val="24"/>
                <w:szCs w:val="24"/>
              </w:rPr>
              <w:t>项目</w:t>
            </w:r>
            <w:r>
              <w:rPr>
                <w:rFonts w:hint="eastAsia" w:ascii="Times New Roman" w:hAnsi="Times New Roman" w:eastAsia="宋体" w:cs="Times New Roman"/>
                <w:bCs/>
                <w:color w:val="auto"/>
                <w:sz w:val="24"/>
                <w:szCs w:val="24"/>
                <w:lang w:val="en-US" w:eastAsia="zh-CN"/>
              </w:rPr>
              <w:t>箱式</w:t>
            </w:r>
            <w:r>
              <w:rPr>
                <w:rFonts w:hint="default" w:ascii="Times New Roman" w:hAnsi="Times New Roman" w:eastAsia="宋体" w:cs="Times New Roman"/>
                <w:bCs/>
                <w:color w:val="auto"/>
                <w:sz w:val="24"/>
                <w:szCs w:val="24"/>
              </w:rPr>
              <w:t>变压器</w:t>
            </w:r>
            <w:r>
              <w:rPr>
                <w:rFonts w:hint="eastAsia" w:ascii="Times New Roman" w:hAnsi="Times New Roman" w:eastAsia="宋体" w:cs="Times New Roman"/>
                <w:bCs/>
                <w:color w:val="auto"/>
                <w:sz w:val="24"/>
                <w:szCs w:val="24"/>
                <w:lang w:val="en-US" w:eastAsia="zh-CN"/>
              </w:rPr>
              <w:t>声功率级</w:t>
            </w:r>
            <w:r>
              <w:rPr>
                <w:rFonts w:hint="default" w:ascii="Times New Roman" w:hAnsi="Times New Roman" w:eastAsia="宋体" w:cs="Times New Roman"/>
                <w:bCs/>
                <w:color w:val="auto"/>
                <w:sz w:val="24"/>
                <w:szCs w:val="24"/>
              </w:rPr>
              <w:t>在</w:t>
            </w:r>
            <w:r>
              <w:rPr>
                <w:rFonts w:hint="eastAsia" w:ascii="Times New Roman" w:hAnsi="Times New Roman" w:eastAsia="宋体" w:cs="Times New Roman"/>
                <w:bCs/>
                <w:color w:val="auto"/>
                <w:sz w:val="24"/>
                <w:szCs w:val="24"/>
                <w:lang w:val="en-US" w:eastAsia="zh-CN"/>
              </w:rPr>
              <w:t>58</w:t>
            </w:r>
            <w:r>
              <w:rPr>
                <w:rFonts w:hint="default" w:ascii="Times New Roman" w:hAnsi="Times New Roman" w:eastAsia="宋体" w:cs="Times New Roman"/>
                <w:bCs/>
                <w:color w:val="auto"/>
                <w:sz w:val="24"/>
                <w:szCs w:val="24"/>
              </w:rPr>
              <w:t>dB(A)，</w:t>
            </w:r>
            <w:r>
              <w:rPr>
                <w:rFonts w:hint="default" w:ascii="Times New Roman" w:hAnsi="Times New Roman" w:eastAsia="宋体" w:cs="Times New Roman"/>
                <w:color w:val="auto"/>
                <w:kern w:val="0"/>
                <w:sz w:val="24"/>
                <w:szCs w:val="24"/>
              </w:rPr>
              <w:t>车辆运行时噪声在70～80dB（A），</w:t>
            </w:r>
            <w:r>
              <w:rPr>
                <w:rFonts w:hint="default" w:ascii="Times New Roman" w:hAnsi="Times New Roman" w:eastAsia="宋体" w:cs="Times New Roman"/>
                <w:bCs/>
                <w:color w:val="auto"/>
                <w:sz w:val="24"/>
                <w:szCs w:val="24"/>
              </w:rPr>
              <w:t>营运期进出车辆较少，车辆产生的噪声可以忽略。</w:t>
            </w:r>
          </w:p>
          <w:p w14:paraId="3CD8792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光污染</w:t>
            </w:r>
          </w:p>
          <w:p w14:paraId="605037EB">
            <w:pPr>
              <w:keepNext w:val="0"/>
              <w:keepLines w:val="0"/>
              <w:pageBreakBefore w:val="0"/>
              <w:kinsoku/>
              <w:wordWrap/>
              <w:overflowPunct/>
              <w:topLinePunct w:val="0"/>
              <w:bidi w:val="0"/>
              <w:adjustRightInd w:val="0"/>
              <w:snapToGrid w:val="0"/>
              <w:spacing w:line="360" w:lineRule="auto"/>
              <w:ind w:left="0" w:right="0"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项目采用太阳能光伏板作为能量采集装置，在吸收太阳能的过程中，会反射、折射太阳光，形成光污染。本项目使用的太阳能电池组件为单晶硅电池组件，是属于硅基太阳能电池。单晶硅主要用作太阳能电池的吸收层材料，是封装在两层建筑玻璃之间，电池本身并不向外辐射任何形式的光及电磁波。未被吸收的太阳光中一部分将被前面板玻璃反射回去，前面板玻璃为普通的建筑用钢化玻璃；另一部分将穿透前面板、硅材料吸收层和背面板玻璃，就如同穿透普通玻璃一般，没有任何变化。</w:t>
            </w:r>
          </w:p>
          <w:p w14:paraId="7540F53A">
            <w:pPr>
              <w:keepNext w:val="0"/>
              <w:keepLines w:val="0"/>
              <w:pageBreakBefore w:val="0"/>
              <w:kinsoku/>
              <w:wordWrap/>
              <w:overflowPunct/>
              <w:topLinePunct w:val="0"/>
              <w:bidi w:val="0"/>
              <w:adjustRightInd w:val="0"/>
              <w:snapToGrid w:val="0"/>
              <w:spacing w:line="360" w:lineRule="auto"/>
              <w:ind w:left="0" w:right="0"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本项目太阳能电池板的反射率远小于草地、硬土、水泥地面等，反射率很小。项目对居民点及周边交通道路造成的行车影响较小，因此本项目营运期将几乎不存在光污染问题。</w:t>
            </w:r>
          </w:p>
          <w:p w14:paraId="5FD47BF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rPr>
              <w:t>生态影响</w:t>
            </w:r>
          </w:p>
          <w:p w14:paraId="1C9DAC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运行期对生态的环境影响为植被恢复期的水土流失、光伏板阴影遮挡对植被恢复的影响以及光污染对候鸟迁徙的影响、光伏阵列景观环境的影响。光伏电站的主要组成部分为光伏发电子方阵，光伏发电子方阵在其建成运行后会覆盖所在区域下方的植被，遮挡住覆盖区域的阳光，对方阵地面原有植被的生长造成一定影响。 </w:t>
            </w:r>
          </w:p>
          <w:p w14:paraId="3797453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项目光伏场区占地范围现状植被类型主要为杏树、梨树等，永久占地范围内的现状植被会全部损失，损失量约26787.78</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2</w:t>
            </w:r>
            <w:r>
              <w:rPr>
                <w:rFonts w:hint="eastAsia" w:ascii="Times New Roman" w:hAnsi="Times New Roman" w:eastAsia="宋体" w:cs="Times New Roman"/>
                <w:color w:val="auto"/>
                <w:kern w:val="2"/>
                <w:sz w:val="24"/>
                <w:szCs w:val="24"/>
                <w:lang w:val="en-US" w:eastAsia="zh-CN" w:bidi="ar-SA"/>
              </w:rPr>
              <w:t xml:space="preserve">。 </w:t>
            </w:r>
          </w:p>
          <w:p w14:paraId="2C2B4B1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只在短期内对区域的生态环境产生较小的影响，植被恢复方案实施后，将种植杏树、梨树等，区域生物量不仅不会减少，随着保护力度加强，会有利于区域生态环境的改善。因此，本项目建成后对区域生态环境质量不会造成明显的不利影响。</w:t>
            </w:r>
          </w:p>
          <w:p w14:paraId="5791F17B">
            <w:pPr>
              <w:keepNext w:val="0"/>
              <w:keepLines w:val="0"/>
              <w:pageBreakBefore w:val="0"/>
              <w:widowControl w:val="0"/>
              <w:kinsoku/>
              <w:wordWrap/>
              <w:overflowPunct/>
              <w:topLinePunct w:val="0"/>
              <w:autoSpaceDE/>
              <w:autoSpaceDN/>
              <w:bidi w:val="0"/>
              <w:adjustRightInd w:val="0"/>
              <w:snapToGrid w:val="0"/>
              <w:spacing w:line="360" w:lineRule="auto"/>
              <w:ind w:firstLine="539"/>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lang w:val="en-US" w:eastAsia="zh-CN"/>
              </w:rPr>
              <w:t>服务期满后污染情况</w:t>
            </w:r>
          </w:p>
          <w:p w14:paraId="5D1DFA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光伏电站太阳能电池板寿命约25年，待项目运行期满后，按国家相关要求，将对生产区（光伏组件、支架、逆变器、箱式变压器、配电装置、电缆、混凝土基础、建构筑物等）进行全部拆除或者更换，及时进行生态修复。生态恢复措施包括，对光伏场区的彻底拆除，场地恢复至与周围地表相同，种植当地适宜的种植作物等。</w:t>
            </w:r>
          </w:p>
          <w:p w14:paraId="37F2BD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光伏电站服务期满后影响主要为：拆除光伏组件、逆变器、箱式变压器、配电装置、电缆、混凝土基础、建构筑物等设施时产生的固体废物，以及拆除时产生的施工扬尘等废气。</w:t>
            </w:r>
          </w:p>
          <w:p w14:paraId="27CC3BC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项目废旧光伏组件产生量为</w:t>
            </w:r>
            <w:r>
              <w:rPr>
                <w:rFonts w:hint="eastAsia" w:ascii="Times New Roman" w:hAnsi="Times New Roman" w:eastAsia="宋体" w:cs="Times New Roman"/>
                <w:color w:val="auto"/>
                <w:kern w:val="2"/>
                <w:sz w:val="24"/>
                <w:szCs w:val="24"/>
                <w:lang w:val="en-US" w:eastAsia="zh-CN" w:bidi="ar-SA"/>
              </w:rPr>
              <w:t>106288</w:t>
            </w:r>
            <w:r>
              <w:rPr>
                <w:rFonts w:hint="default" w:ascii="Times New Roman" w:hAnsi="Times New Roman" w:eastAsia="宋体" w:cs="Times New Roman"/>
                <w:color w:val="auto"/>
                <w:kern w:val="2"/>
                <w:sz w:val="24"/>
                <w:szCs w:val="24"/>
                <w:lang w:val="en-US" w:eastAsia="zh-CN" w:bidi="ar-SA"/>
              </w:rPr>
              <w:t>块、300kW组串式逆变器</w:t>
            </w:r>
            <w:r>
              <w:rPr>
                <w:rFonts w:hint="eastAsia" w:ascii="Times New Roman" w:hAnsi="Times New Roman" w:eastAsia="宋体" w:cs="Times New Roman"/>
                <w:color w:val="auto"/>
                <w:kern w:val="2"/>
                <w:sz w:val="24"/>
                <w:szCs w:val="24"/>
                <w:lang w:val="en-US" w:eastAsia="zh-CN" w:bidi="ar-SA"/>
              </w:rPr>
              <w:t>200</w:t>
            </w:r>
            <w:r>
              <w:rPr>
                <w:rFonts w:hint="default" w:ascii="Times New Roman" w:hAnsi="Times New Roman" w:eastAsia="宋体" w:cs="Times New Roman"/>
                <w:color w:val="auto"/>
                <w:kern w:val="2"/>
                <w:sz w:val="24"/>
                <w:szCs w:val="24"/>
                <w:lang w:val="en-US" w:eastAsia="zh-CN" w:bidi="ar-SA"/>
              </w:rPr>
              <w:t>台、箱式35kV变压器</w:t>
            </w:r>
            <w:r>
              <w:rPr>
                <w:rFonts w:hint="eastAsia" w:ascii="Times New Roman" w:hAnsi="Times New Roman" w:eastAsia="宋体" w:cs="Times New Roman"/>
                <w:color w:val="auto"/>
                <w:kern w:val="2"/>
                <w:sz w:val="24"/>
                <w:szCs w:val="24"/>
                <w:lang w:val="en-US" w:eastAsia="zh-CN" w:bidi="ar-SA"/>
              </w:rPr>
              <w:t>21</w:t>
            </w:r>
            <w:r>
              <w:rPr>
                <w:rFonts w:hint="default" w:ascii="Times New Roman" w:hAnsi="Times New Roman" w:eastAsia="宋体" w:cs="Times New Roman"/>
                <w:color w:val="auto"/>
                <w:kern w:val="2"/>
                <w:sz w:val="24"/>
                <w:szCs w:val="24"/>
                <w:lang w:val="en-US" w:eastAsia="zh-CN" w:bidi="ar-SA"/>
              </w:rPr>
              <w:t>台。根据《国家危险废物名录》（2021年版），项目废旧光伏组件（不拆卸）、废逆变器、废箱式变压器属于一般工业固体废物，由厂家回收；拆除的混凝土基础、建构筑物等建筑垃圾送往当地建筑垃圾填埋场处置。</w:t>
            </w:r>
          </w:p>
          <w:p w14:paraId="05CA2FB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施工扬尘等废气采取设置拦挡，洒水降尘等措施，可降低对周围的大气环境影响。</w:t>
            </w:r>
          </w:p>
          <w:p w14:paraId="5DC032D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eastAsia="zh-CN"/>
              </w:rPr>
              <w:t>大气环境</w:t>
            </w:r>
            <w:r>
              <w:rPr>
                <w:rFonts w:hint="default" w:ascii="Times New Roman" w:hAnsi="Times New Roman" w:eastAsia="宋体" w:cs="Times New Roman"/>
                <w:b/>
                <w:bCs/>
                <w:color w:val="auto"/>
                <w:sz w:val="24"/>
                <w:szCs w:val="24"/>
              </w:rPr>
              <w:t>影响</w:t>
            </w:r>
            <w:r>
              <w:rPr>
                <w:rFonts w:hint="default" w:ascii="Times New Roman" w:hAnsi="Times New Roman" w:eastAsia="宋体" w:cs="Times New Roman"/>
                <w:b/>
                <w:bCs/>
                <w:color w:val="auto"/>
                <w:sz w:val="24"/>
                <w:szCs w:val="24"/>
                <w:lang w:eastAsia="zh-CN"/>
              </w:rPr>
              <w:t>分析</w:t>
            </w:r>
          </w:p>
          <w:p w14:paraId="6E8609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32"/>
                <w:lang w:val="en-US" w:eastAsia="zh-CN"/>
              </w:rPr>
            </w:pPr>
            <w:r>
              <w:rPr>
                <w:rFonts w:hint="eastAsia"/>
                <w:color w:val="auto"/>
                <w:sz w:val="24"/>
                <w:szCs w:val="32"/>
                <w:lang w:val="en-US" w:eastAsia="zh-CN"/>
              </w:rPr>
              <w:t>光伏场运营期无废气产生。</w:t>
            </w:r>
          </w:p>
          <w:p w14:paraId="69B134A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eastAsiaTheme="minorEastAsia"/>
                <w:b/>
                <w:bCs/>
                <w:color w:val="auto"/>
                <w:sz w:val="24"/>
                <w:szCs w:val="24"/>
                <w:highlight w:val="none"/>
                <w:lang w:eastAsia="zh-CN"/>
              </w:rPr>
            </w:pPr>
            <w:r>
              <w:rPr>
                <w:rFonts w:hint="eastAsia" w:ascii="Times New Roman" w:hAnsi="Times New Roman" w:cs="Times New Roman"/>
                <w:b/>
                <w:bCs/>
                <w:color w:val="auto"/>
                <w:sz w:val="24"/>
                <w:szCs w:val="24"/>
                <w:highlight w:val="none"/>
                <w:lang w:val="en-US" w:eastAsia="zh-CN"/>
              </w:rPr>
              <w:t>6</w:t>
            </w:r>
            <w:r>
              <w:rPr>
                <w:rFonts w:hint="default" w:ascii="Times New Roman" w:hAnsi="Times New Roman" w:cs="Times New Roman" w:eastAsiaTheme="minorEastAsia"/>
                <w:b/>
                <w:bCs/>
                <w:color w:val="auto"/>
                <w:sz w:val="24"/>
                <w:szCs w:val="24"/>
                <w:highlight w:val="none"/>
                <w:lang w:val="en-US" w:eastAsia="zh-CN"/>
              </w:rPr>
              <w:t>、</w:t>
            </w:r>
            <w:r>
              <w:rPr>
                <w:rFonts w:hint="default" w:ascii="Times New Roman" w:hAnsi="Times New Roman" w:cs="Times New Roman" w:eastAsiaTheme="minorEastAsia"/>
                <w:b/>
                <w:bCs/>
                <w:color w:val="auto"/>
                <w:sz w:val="24"/>
                <w:szCs w:val="24"/>
                <w:highlight w:val="none"/>
                <w:lang w:eastAsia="zh-CN"/>
              </w:rPr>
              <w:t>水环境</w:t>
            </w:r>
            <w:r>
              <w:rPr>
                <w:rFonts w:hint="default" w:ascii="Times New Roman" w:hAnsi="Times New Roman" w:cs="Times New Roman" w:eastAsiaTheme="minorEastAsia"/>
                <w:b/>
                <w:bCs/>
                <w:color w:val="auto"/>
                <w:sz w:val="24"/>
                <w:szCs w:val="24"/>
                <w:highlight w:val="none"/>
              </w:rPr>
              <w:t>影响</w:t>
            </w:r>
            <w:r>
              <w:rPr>
                <w:rFonts w:hint="default" w:ascii="Times New Roman" w:hAnsi="Times New Roman" w:cs="Times New Roman" w:eastAsiaTheme="minorEastAsia"/>
                <w:b/>
                <w:bCs/>
                <w:color w:val="auto"/>
                <w:sz w:val="24"/>
                <w:szCs w:val="24"/>
                <w:highlight w:val="none"/>
                <w:lang w:eastAsia="zh-CN"/>
              </w:rPr>
              <w:t>分析</w:t>
            </w:r>
          </w:p>
          <w:p w14:paraId="05679A2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eastAsiaTheme="minorEastAsia"/>
                <w:bCs/>
                <w:color w:val="auto"/>
                <w:sz w:val="24"/>
                <w:szCs w:val="24"/>
                <w:lang w:val="en-US" w:eastAsia="zh-CN"/>
              </w:rPr>
            </w:pPr>
            <w:r>
              <w:rPr>
                <w:rFonts w:hint="default" w:ascii="Times New Roman" w:hAnsi="Times New Roman" w:cs="Times New Roman" w:eastAsiaTheme="minorEastAsia"/>
                <w:bCs/>
                <w:color w:val="auto"/>
                <w:sz w:val="24"/>
                <w:szCs w:val="24"/>
                <w:lang w:val="en-US" w:eastAsia="zh-CN"/>
              </w:rPr>
              <w:t>本电站运营期废水主要是太阳能电池组件清洗废水。</w:t>
            </w:r>
          </w:p>
          <w:p w14:paraId="130E3EAD">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32"/>
                <w:highlight w:val="none"/>
                <w:lang w:val="en-US" w:eastAsia="zh-CN" w:bidi="ar-SA"/>
              </w:rPr>
            </w:pPr>
            <w:r>
              <w:rPr>
                <w:rFonts w:hint="eastAsia" w:ascii="Times New Roman" w:hAnsi="Times New Roman" w:eastAsia="宋体" w:cs="Times New Roman"/>
                <w:color w:val="auto"/>
                <w:kern w:val="2"/>
                <w:sz w:val="24"/>
                <w:szCs w:val="32"/>
                <w:highlight w:val="none"/>
                <w:lang w:val="en-US" w:eastAsia="zh-CN" w:bidi="ar-SA"/>
              </w:rPr>
              <w:t>光伏组件冲洗废水：本工程光伏板冲洗用水量约为1981</w:t>
            </w:r>
            <w:r>
              <w:rPr>
                <w:rFonts w:hint="default" w:ascii="Times New Roman" w:hAnsi="Times New Roman" w:eastAsia="宋体" w:cs="Times New Roman"/>
                <w:color w:val="auto"/>
                <w:kern w:val="2"/>
                <w:sz w:val="24"/>
                <w:szCs w:val="32"/>
                <w:highlight w:val="none"/>
                <w:lang w:val="en-US" w:eastAsia="zh-CN" w:bidi="ar-SA"/>
              </w:rPr>
              <w:t>m</w:t>
            </w:r>
            <w:r>
              <w:rPr>
                <w:rFonts w:hint="eastAsia" w:ascii="Times New Roman" w:hAnsi="Times New Roman" w:eastAsia="宋体" w:cs="Times New Roman"/>
                <w:color w:val="auto"/>
                <w:kern w:val="2"/>
                <w:sz w:val="24"/>
                <w:szCs w:val="32"/>
                <w:highlight w:val="none"/>
                <w:lang w:val="en-US" w:eastAsia="zh-CN" w:bidi="ar-SA"/>
              </w:rPr>
              <w:t>³</w:t>
            </w:r>
            <w:r>
              <w:rPr>
                <w:rFonts w:hint="default" w:ascii="Times New Roman" w:hAnsi="Times New Roman" w:eastAsia="宋体" w:cs="Times New Roman"/>
                <w:color w:val="auto"/>
                <w:kern w:val="2"/>
                <w:sz w:val="24"/>
                <w:szCs w:val="32"/>
                <w:highlight w:val="none"/>
                <w:lang w:val="en-US" w:eastAsia="zh-CN" w:bidi="ar-SA"/>
              </w:rPr>
              <w:t>/a</w:t>
            </w:r>
            <w:r>
              <w:rPr>
                <w:rFonts w:hint="eastAsia" w:ascii="Times New Roman" w:hAnsi="Times New Roman" w:eastAsia="宋体" w:cs="Times New Roman"/>
                <w:color w:val="auto"/>
                <w:kern w:val="2"/>
                <w:sz w:val="24"/>
                <w:szCs w:val="32"/>
                <w:highlight w:val="none"/>
                <w:lang w:val="en-US" w:eastAsia="zh-CN" w:bidi="ar-SA"/>
              </w:rPr>
              <w:t>，项目光伏组件清洗时不使用清洁剂，项目光伏发电电池板安装范围较大，发电面积较大，清洗废水很难收集，电池板清洗废水主要污染物为SS，全部经光伏板流到地面后自然蒸发损耗。</w:t>
            </w:r>
          </w:p>
          <w:p w14:paraId="21AFDA5D">
            <w:pPr>
              <w:keepNext w:val="0"/>
              <w:keepLines w:val="0"/>
              <w:pageBreakBefore w:val="0"/>
              <w:widowControl w:val="0"/>
              <w:kinsoku/>
              <w:wordWrap/>
              <w:overflowPunct/>
              <w:topLinePunct w:val="0"/>
              <w:autoSpaceDE w:val="0"/>
              <w:autoSpaceDN w:val="0"/>
              <w:bidi w:val="0"/>
              <w:adjustRightInd w:val="0"/>
              <w:snapToGrid w:val="0"/>
              <w:spacing w:line="360" w:lineRule="auto"/>
              <w:ind w:left="479" w:leftChars="228" w:firstLine="0"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综上所述，项目运营期无废水排放，不会对周边地表水体造成不良影响。</w:t>
            </w:r>
          </w:p>
          <w:p w14:paraId="1D24C5C2">
            <w:pPr>
              <w:keepNext w:val="0"/>
              <w:keepLines w:val="0"/>
              <w:pageBreakBefore w:val="0"/>
              <w:widowControl w:val="0"/>
              <w:kinsoku/>
              <w:wordWrap/>
              <w:overflowPunct/>
              <w:topLinePunct w:val="0"/>
              <w:autoSpaceDE w:val="0"/>
              <w:autoSpaceDN w:val="0"/>
              <w:bidi w:val="0"/>
              <w:adjustRightInd w:val="0"/>
              <w:snapToGrid w:val="0"/>
              <w:spacing w:line="360" w:lineRule="auto"/>
              <w:ind w:left="479" w:leftChars="228" w:firstLine="0" w:firstLineChars="0"/>
              <w:textAlignment w:val="auto"/>
              <w:rPr>
                <w:rFonts w:hint="default" w:ascii="Times New Roman" w:hAnsi="Times New Roman" w:cs="Times New Roman" w:eastAsiaTheme="minorEastAsia"/>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7</w:t>
            </w:r>
            <w:r>
              <w:rPr>
                <w:rFonts w:hint="eastAsia" w:ascii="Times New Roman" w:hAnsi="Times New Roman" w:cs="Times New Roman" w:eastAsiaTheme="minorEastAsia"/>
                <w:b/>
                <w:bCs/>
                <w:color w:val="auto"/>
                <w:sz w:val="24"/>
                <w:szCs w:val="24"/>
                <w:highlight w:val="none"/>
                <w:lang w:val="en-US" w:eastAsia="zh-CN"/>
              </w:rPr>
              <w:t>、</w:t>
            </w:r>
            <w:r>
              <w:rPr>
                <w:rFonts w:hint="default" w:ascii="Times New Roman" w:hAnsi="Times New Roman" w:cs="Times New Roman" w:eastAsiaTheme="minorEastAsia"/>
                <w:b/>
                <w:bCs/>
                <w:color w:val="auto"/>
                <w:sz w:val="24"/>
                <w:szCs w:val="24"/>
                <w:highlight w:val="none"/>
                <w:lang w:val="en-US" w:eastAsia="zh-CN"/>
              </w:rPr>
              <w:t>固体废物环境影响分析</w:t>
            </w:r>
          </w:p>
          <w:p w14:paraId="71547F8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Cs/>
                <w:color w:val="auto"/>
                <w:kern w:val="0"/>
                <w:sz w:val="24"/>
                <w:szCs w:val="24"/>
                <w:highlight w:val="none"/>
              </w:rPr>
              <w:t>主要包括检修过程产生的</w:t>
            </w:r>
            <w:r>
              <w:rPr>
                <w:rFonts w:hint="eastAsia" w:ascii="Times New Roman" w:hAnsi="Times New Roman" w:eastAsia="宋体" w:cs="Times New Roman"/>
                <w:color w:val="auto"/>
                <w:kern w:val="0"/>
                <w:sz w:val="24"/>
                <w:szCs w:val="24"/>
                <w:highlight w:val="none"/>
                <w:lang w:eastAsia="zh-CN"/>
              </w:rPr>
              <w:t>箱式变压器</w:t>
            </w:r>
            <w:r>
              <w:rPr>
                <w:rFonts w:hint="eastAsia" w:ascii="Times New Roman" w:hAnsi="Times New Roman" w:eastAsia="宋体" w:cs="Times New Roman"/>
                <w:color w:val="auto"/>
                <w:kern w:val="0"/>
                <w:sz w:val="24"/>
                <w:szCs w:val="24"/>
                <w:highlight w:val="none"/>
                <w:lang w:val="en-US" w:eastAsia="zh-CN"/>
              </w:rPr>
              <w:t>废油</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太阳能电池板组件等。</w:t>
            </w:r>
          </w:p>
          <w:p w14:paraId="689C2B2A">
            <w:pPr>
              <w:adjustRightInd w:val="0"/>
              <w:snapToGrid w:val="0"/>
              <w:spacing w:line="360" w:lineRule="auto"/>
              <w:ind w:firstLine="480" w:firstLineChars="200"/>
              <w:jc w:val="left"/>
              <w:rPr>
                <w:rFonts w:hint="eastAsia" w:ascii="Times New Roman" w:hAnsi="Times New Roman" w:cs="Times New Roman" w:eastAsiaTheme="minorEastAsia"/>
                <w:color w:val="auto"/>
                <w:kern w:val="0"/>
                <w:sz w:val="24"/>
                <w:lang w:eastAsia="zh-CN"/>
              </w:rPr>
            </w:pPr>
            <w:r>
              <w:rPr>
                <w:rFonts w:hint="default" w:ascii="Times New Roman" w:hAnsi="Times New Roman" w:cs="Times New Roman"/>
                <w:color w:val="auto"/>
                <w:kern w:val="0"/>
                <w:sz w:val="24"/>
                <w:lang w:eastAsia="zh-CN"/>
              </w:rPr>
              <w:t>①</w:t>
            </w:r>
            <w:r>
              <w:rPr>
                <w:rFonts w:hint="default" w:ascii="Times New Roman" w:hAnsi="Times New Roman" w:cs="Times New Roman"/>
                <w:color w:val="auto"/>
                <w:kern w:val="0"/>
                <w:sz w:val="24"/>
              </w:rPr>
              <w:t>废旧光伏组件</w:t>
            </w:r>
          </w:p>
          <w:p w14:paraId="3A84346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yellow"/>
              </w:rPr>
            </w:pPr>
            <w:r>
              <w:rPr>
                <w:rFonts w:hint="default" w:ascii="Times New Roman" w:hAnsi="Times New Roman" w:cs="Times New Roman"/>
                <w:color w:val="auto"/>
                <w:kern w:val="0"/>
                <w:sz w:val="24"/>
              </w:rPr>
              <w:t>为保证太阳能发电效率，需要对光伏电站损坏的光伏组件进行更换，更换的光伏组件属于一般固体废物，约1.7t/a，</w:t>
            </w:r>
            <w:r>
              <w:rPr>
                <w:rFonts w:hint="eastAsia" w:ascii="Times New Roman" w:hAnsi="Times New Roman" w:cs="Times New Roman"/>
                <w:color w:val="auto"/>
                <w:kern w:val="0"/>
                <w:sz w:val="24"/>
                <w:lang w:val="en-US" w:eastAsia="zh-CN"/>
              </w:rPr>
              <w:t>更换过程由厂家进行更换，更换后厂家收集带走，不在场区内暂存</w:t>
            </w:r>
            <w:r>
              <w:rPr>
                <w:rFonts w:hint="default" w:ascii="Times New Roman" w:hAnsi="Times New Roman" w:cs="Times New Roman"/>
                <w:color w:val="auto"/>
                <w:kern w:val="0"/>
                <w:sz w:val="24"/>
              </w:rPr>
              <w:t>。项目废光伏板含有有害物质，评价要求建设单位严格落实回收利用措施，不得现场拆解。</w:t>
            </w:r>
          </w:p>
          <w:p w14:paraId="7D2FDC10">
            <w:pPr>
              <w:adjustRightInd w:val="0"/>
              <w:snapToGrid w:val="0"/>
              <w:spacing w:line="360" w:lineRule="auto"/>
              <w:ind w:firstLine="480" w:firstLineChars="200"/>
              <w:jc w:val="left"/>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kern w:val="0"/>
                <w:sz w:val="24"/>
                <w:highlight w:val="none"/>
                <w:lang w:eastAsia="zh-CN"/>
              </w:rPr>
              <w:t>②</w:t>
            </w:r>
            <w:r>
              <w:rPr>
                <w:rFonts w:hint="default" w:ascii="Times New Roman" w:hAnsi="Times New Roman" w:cs="Times New Roman" w:eastAsiaTheme="minorEastAsia"/>
                <w:color w:val="auto"/>
                <w:kern w:val="0"/>
                <w:sz w:val="24"/>
                <w:highlight w:val="none"/>
              </w:rPr>
              <w:t>废</w:t>
            </w:r>
            <w:r>
              <w:rPr>
                <w:rFonts w:hint="default" w:ascii="Times New Roman" w:hAnsi="Times New Roman" w:cs="Times New Roman" w:eastAsiaTheme="minorEastAsia"/>
                <w:color w:val="auto"/>
                <w:kern w:val="0"/>
                <w:sz w:val="24"/>
                <w:highlight w:val="none"/>
                <w:lang w:eastAsia="zh-CN"/>
              </w:rPr>
              <w:t>变压器油</w:t>
            </w:r>
          </w:p>
          <w:p w14:paraId="4131C714">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cs="Times New Roman" w:eastAsiaTheme="minorEastAsia"/>
                <w:color w:val="auto"/>
                <w:sz w:val="24"/>
                <w:szCs w:val="24"/>
                <w:highlight w:val="none"/>
                <w:lang w:val="en-US" w:eastAsia="zh-CN"/>
              </w:rPr>
              <w:t>光伏发电系统箱变是</w:t>
            </w:r>
            <w:r>
              <w:rPr>
                <w:rFonts w:hint="eastAsia" w:ascii="Times New Roman" w:hAnsi="Times New Roman" w:cs="Times New Roman"/>
                <w:color w:val="auto"/>
                <w:sz w:val="24"/>
                <w:szCs w:val="24"/>
                <w:highlight w:val="none"/>
                <w:lang w:val="en-US" w:eastAsia="zh-CN"/>
              </w:rPr>
              <w:t>油浸式</w:t>
            </w:r>
            <w:r>
              <w:rPr>
                <w:rFonts w:hint="default" w:ascii="Times New Roman" w:hAnsi="Times New Roman" w:cs="Times New Roman" w:eastAsiaTheme="minorEastAsia"/>
                <w:color w:val="auto"/>
                <w:sz w:val="24"/>
                <w:szCs w:val="24"/>
                <w:highlight w:val="none"/>
                <w:lang w:val="en-US" w:eastAsia="zh-CN"/>
              </w:rPr>
              <w:t>的，</w:t>
            </w:r>
            <w:r>
              <w:rPr>
                <w:rFonts w:hint="eastAsia" w:ascii="Times New Roman" w:hAnsi="Times New Roman" w:cs="Times New Roman"/>
                <w:color w:val="auto"/>
                <w:sz w:val="24"/>
                <w:szCs w:val="24"/>
                <w:highlight w:val="none"/>
                <w:lang w:val="en-US" w:eastAsia="zh-CN"/>
              </w:rPr>
              <w:t>检修过程会产生废变压器油</w:t>
            </w:r>
            <w:r>
              <w:rPr>
                <w:rFonts w:hint="default" w:ascii="Times New Roman" w:hAnsi="Times New Roman" w:cs="Times New Roman" w:eastAsiaTheme="minorEastAsia"/>
                <w:color w:val="auto"/>
                <w:sz w:val="24"/>
                <w:szCs w:val="24"/>
                <w:highlight w:val="none"/>
              </w:rPr>
              <w:t>。</w:t>
            </w:r>
          </w:p>
          <w:p w14:paraId="4AC3C482">
            <w:pPr>
              <w:spacing w:line="360" w:lineRule="auto"/>
              <w:ind w:firstLine="480" w:firstLineChars="200"/>
              <w:rPr>
                <w:rFonts w:hint="default"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lang w:val="en-US" w:eastAsia="zh-CN"/>
              </w:rPr>
              <w:t>如果</w:t>
            </w:r>
            <w:r>
              <w:rPr>
                <w:rFonts w:hint="default" w:ascii="Times New Roman" w:hAnsi="Times New Roman" w:eastAsia="宋体" w:cs="Times New Roman"/>
                <w:color w:val="auto"/>
                <w:kern w:val="0"/>
                <w:sz w:val="24"/>
                <w:szCs w:val="24"/>
                <w:highlight w:val="none"/>
              </w:rPr>
              <w:t>箱变中绝缘油试验结果中变压油已严重变质，则需对其进行更换，更换产生的废变压油经对照《国家危险废物名录》（2021年版）属于危险废物。项目场区内单台箱变中变压油量最大</w:t>
            </w:r>
            <w:r>
              <w:rPr>
                <w:rFonts w:hint="eastAsia" w:ascii="Times New Roman" w:hAnsi="Times New Roman" w:eastAsia="宋体" w:cs="Times New Roman"/>
                <w:color w:val="auto"/>
                <w:kern w:val="0"/>
                <w:sz w:val="24"/>
                <w:szCs w:val="24"/>
                <w:highlight w:val="none"/>
                <w:lang w:eastAsia="zh-CN"/>
              </w:rPr>
              <w:t>油重</w:t>
            </w:r>
            <w:r>
              <w:rPr>
                <w:rFonts w:hint="default" w:ascii="Times New Roman" w:hAnsi="Times New Roman" w:eastAsia="宋体" w:cs="Times New Roman"/>
                <w:color w:val="auto"/>
                <w:kern w:val="0"/>
                <w:sz w:val="24"/>
                <w:szCs w:val="24"/>
                <w:highlight w:val="none"/>
              </w:rPr>
              <w:t>均为</w:t>
            </w:r>
            <w:r>
              <w:rPr>
                <w:rFonts w:hint="eastAsia" w:ascii="Times New Roman" w:hAnsi="Times New Roman" w:eastAsia="宋体" w:cs="Times New Roman"/>
                <w:color w:val="auto"/>
                <w:kern w:val="0"/>
                <w:sz w:val="24"/>
                <w:szCs w:val="24"/>
                <w:highlight w:val="none"/>
                <w:lang w:val="en-US" w:eastAsia="zh-CN"/>
              </w:rPr>
              <w:t>1.2t</w:t>
            </w:r>
            <w:r>
              <w:rPr>
                <w:rFonts w:hint="default" w:ascii="Times New Roman" w:hAnsi="Times New Roman" w:eastAsia="宋体" w:cs="Times New Roman"/>
                <w:color w:val="auto"/>
                <w:kern w:val="0"/>
                <w:sz w:val="24"/>
                <w:szCs w:val="24"/>
                <w:highlight w:val="none"/>
              </w:rPr>
              <w:t>，则单台箱变中变压油最大更换量约为</w:t>
            </w:r>
            <w:r>
              <w:rPr>
                <w:rFonts w:hint="eastAsia" w:ascii="Times New Roman" w:hAnsi="Times New Roman" w:eastAsia="宋体" w:cs="Times New Roman"/>
                <w:color w:val="auto"/>
                <w:kern w:val="0"/>
                <w:sz w:val="24"/>
                <w:szCs w:val="24"/>
                <w:highlight w:val="none"/>
                <w:lang w:val="en-US" w:eastAsia="zh-CN"/>
              </w:rPr>
              <w:t>1.2</w:t>
            </w:r>
            <w:r>
              <w:rPr>
                <w:rFonts w:hint="default" w:ascii="Times New Roman" w:hAnsi="Times New Roman" w:eastAsia="宋体" w:cs="Times New Roman"/>
                <w:color w:val="auto"/>
                <w:kern w:val="0"/>
                <w:sz w:val="24"/>
                <w:szCs w:val="24"/>
                <w:highlight w:val="none"/>
              </w:rPr>
              <w:t>t，场区内共设置</w:t>
            </w:r>
            <w:r>
              <w:rPr>
                <w:rFonts w:hint="eastAsia" w:ascii="Times New Roman" w:hAnsi="Times New Roman" w:eastAsia="宋体" w:cs="Times New Roman"/>
                <w:color w:val="auto"/>
                <w:kern w:val="0"/>
                <w:sz w:val="24"/>
                <w:szCs w:val="24"/>
                <w:highlight w:val="none"/>
                <w:lang w:val="en-US" w:eastAsia="zh-CN"/>
              </w:rPr>
              <w:t>21</w:t>
            </w:r>
            <w:r>
              <w:rPr>
                <w:rFonts w:hint="default" w:ascii="Times New Roman" w:hAnsi="Times New Roman" w:eastAsia="宋体" w:cs="Times New Roman"/>
                <w:color w:val="auto"/>
                <w:kern w:val="0"/>
                <w:sz w:val="24"/>
                <w:szCs w:val="24"/>
                <w:highlight w:val="none"/>
              </w:rPr>
              <w:t>台箱变，本次评价按最不利情况即3年内更换全部箱变中变压油进行考虑，则更换后平均每年产生的废变压油量约为</w:t>
            </w:r>
            <w:r>
              <w:rPr>
                <w:rFonts w:hint="eastAsia" w:ascii="Times New Roman" w:hAnsi="Times New Roman" w:eastAsia="宋体" w:cs="Times New Roman"/>
                <w:color w:val="auto"/>
                <w:kern w:val="0"/>
                <w:sz w:val="24"/>
                <w:szCs w:val="24"/>
                <w:highlight w:val="none"/>
                <w:lang w:val="en-US" w:eastAsia="zh-CN"/>
              </w:rPr>
              <w:t>8.4</w:t>
            </w:r>
            <w:r>
              <w:rPr>
                <w:rFonts w:hint="default" w:ascii="Times New Roman" w:hAnsi="Times New Roman" w:eastAsia="宋体" w:cs="Times New Roman"/>
                <w:color w:val="auto"/>
                <w:kern w:val="0"/>
                <w:sz w:val="24"/>
                <w:szCs w:val="24"/>
                <w:highlight w:val="none"/>
              </w:rPr>
              <w:t>t/a。</w:t>
            </w:r>
          </w:p>
          <w:p w14:paraId="6CF402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kern w:val="0"/>
                <w:sz w:val="24"/>
                <w:highlight w:val="none"/>
              </w:rPr>
            </w:pPr>
            <w:r>
              <w:rPr>
                <w:rFonts w:hint="default" w:ascii="Times New Roman" w:hAnsi="Times New Roman" w:eastAsia="宋体" w:cs="Times New Roman"/>
                <w:color w:val="auto"/>
                <w:sz w:val="24"/>
                <w:highlight w:val="none"/>
              </w:rPr>
              <w:t>设计每座箱变设置1座</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事故油池收集事故状态产生的废油，四壁及底面均采用防渗措施，防渗层要求为至少1m厚粘土层（渗透系数≤10</w:t>
            </w:r>
            <w:r>
              <w:rPr>
                <w:rFonts w:hint="default" w:ascii="Times New Roman" w:hAnsi="Times New Roman" w:eastAsia="宋体" w:cs="Times New Roman"/>
                <w:color w:val="auto"/>
                <w:sz w:val="24"/>
                <w:highlight w:val="none"/>
                <w:vertAlign w:val="superscript"/>
              </w:rPr>
              <w:t>-7</w:t>
            </w:r>
            <w:r>
              <w:rPr>
                <w:rFonts w:hint="default" w:ascii="Times New Roman" w:hAnsi="Times New Roman" w:eastAsia="宋体" w:cs="Times New Roman"/>
                <w:color w:val="auto"/>
                <w:sz w:val="24"/>
                <w:highlight w:val="none"/>
              </w:rPr>
              <w:t>cm/s），或2mm厚高密度聚乙烯，或至少2mm厚的其它人工材料，渗透系数≤10</w:t>
            </w:r>
            <w:r>
              <w:rPr>
                <w:rFonts w:hint="default" w:ascii="Times New Roman" w:hAnsi="Times New Roman" w:eastAsia="宋体" w:cs="Times New Roman"/>
                <w:color w:val="auto"/>
                <w:sz w:val="24"/>
                <w:highlight w:val="none"/>
                <w:vertAlign w:val="superscript"/>
              </w:rPr>
              <w:t>-10</w:t>
            </w:r>
            <w:r>
              <w:rPr>
                <w:rFonts w:hint="default" w:ascii="Times New Roman" w:hAnsi="Times New Roman" w:eastAsia="宋体" w:cs="Times New Roman"/>
                <w:color w:val="auto"/>
                <w:sz w:val="24"/>
                <w:highlight w:val="none"/>
              </w:rPr>
              <w:t>cm/s，防止废油渗漏产生污染。收集后委托有资质单位处置。</w:t>
            </w:r>
          </w:p>
          <w:p w14:paraId="38C02D7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cs="Times New Roman" w:eastAsiaTheme="minorEastAsia"/>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8、声</w:t>
            </w:r>
            <w:r>
              <w:rPr>
                <w:rFonts w:hint="default" w:ascii="Times New Roman" w:hAnsi="Times New Roman" w:cs="Times New Roman" w:eastAsiaTheme="minorEastAsia"/>
                <w:b/>
                <w:bCs/>
                <w:color w:val="auto"/>
                <w:sz w:val="24"/>
                <w:szCs w:val="24"/>
                <w:highlight w:val="none"/>
                <w:lang w:val="en-US" w:eastAsia="zh-CN"/>
              </w:rPr>
              <w:t>环境影响分析</w:t>
            </w:r>
          </w:p>
          <w:p w14:paraId="3058B58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项目建成后，</w:t>
            </w:r>
            <w:r>
              <w:rPr>
                <w:rFonts w:hint="eastAsia" w:ascii="Times New Roman" w:hAnsi="Times New Roman" w:eastAsia="宋体" w:cs="Times New Roman"/>
                <w:bCs/>
                <w:color w:val="auto"/>
                <w:sz w:val="24"/>
                <w:szCs w:val="24"/>
                <w:lang w:val="en-US" w:eastAsia="zh-CN"/>
              </w:rPr>
              <w:t>光伏区域</w:t>
            </w:r>
            <w:r>
              <w:rPr>
                <w:rFonts w:hint="default" w:ascii="Times New Roman" w:hAnsi="Times New Roman" w:eastAsia="宋体" w:cs="Times New Roman"/>
                <w:bCs/>
                <w:color w:val="auto"/>
                <w:sz w:val="24"/>
                <w:szCs w:val="24"/>
              </w:rPr>
              <w:t>噪声主要来源于</w:t>
            </w:r>
            <w:r>
              <w:rPr>
                <w:rFonts w:hint="eastAsia" w:ascii="Times New Roman" w:hAnsi="Times New Roman" w:eastAsia="宋体" w:cs="Times New Roman"/>
                <w:color w:val="auto"/>
                <w:kern w:val="0"/>
                <w:sz w:val="24"/>
                <w:szCs w:val="24"/>
                <w:highlight w:val="none"/>
                <w:lang w:eastAsia="zh-CN"/>
              </w:rPr>
              <w:t>箱式变压器</w:t>
            </w:r>
            <w:r>
              <w:rPr>
                <w:rFonts w:hint="default" w:ascii="Times New Roman" w:hAnsi="Times New Roman" w:eastAsia="宋体" w:cs="Times New Roman"/>
                <w:color w:val="auto"/>
                <w:sz w:val="24"/>
                <w:szCs w:val="24"/>
              </w:rPr>
              <w:t>。</w:t>
            </w:r>
          </w:p>
          <w:p w14:paraId="72F84718">
            <w:pPr>
              <w:spacing w:line="360" w:lineRule="auto"/>
              <w:ind w:firstLine="480" w:firstLineChars="200"/>
              <w:rPr>
                <w:rFonts w:hint="eastAsia" w:ascii="Times New Roman" w:hAnsi="Times New Roman" w:eastAsia="宋体" w:cs="Times New Roman"/>
                <w:color w:val="auto"/>
                <w:kern w:val="0"/>
                <w:sz w:val="24"/>
                <w:szCs w:val="24"/>
                <w:highlight w:val="none"/>
                <w:lang w:eastAsia="zh-CN"/>
              </w:rPr>
            </w:pP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1</w:t>
            </w:r>
            <w:r>
              <w:rPr>
                <w:rFonts w:hint="eastAsia" w:ascii="Times New Roman" w:hAnsi="Times New Roman" w:eastAsia="宋体" w:cs="Times New Roman"/>
                <w:color w:val="auto"/>
                <w:kern w:val="0"/>
                <w:sz w:val="24"/>
                <w:szCs w:val="24"/>
                <w:highlight w:val="none"/>
                <w:lang w:eastAsia="zh-CN"/>
              </w:rPr>
              <w:t>）箱式变压器噪声</w:t>
            </w:r>
          </w:p>
          <w:p w14:paraId="365D58FC">
            <w:pPr>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rPr>
              <w:t>运营期</w:t>
            </w:r>
            <w:r>
              <w:rPr>
                <w:rFonts w:hint="eastAsia" w:ascii="Times New Roman" w:hAnsi="Times New Roman" w:eastAsia="宋体" w:cs="Times New Roman"/>
                <w:color w:val="auto"/>
                <w:kern w:val="0"/>
                <w:sz w:val="24"/>
                <w:szCs w:val="24"/>
                <w:highlight w:val="none"/>
                <w:lang w:eastAsia="zh-CN"/>
              </w:rPr>
              <w:t>光伏场</w:t>
            </w:r>
            <w:r>
              <w:rPr>
                <w:rFonts w:hint="default" w:ascii="Times New Roman" w:hAnsi="Times New Roman" w:eastAsia="宋体" w:cs="Times New Roman"/>
                <w:color w:val="auto"/>
                <w:kern w:val="0"/>
                <w:sz w:val="24"/>
                <w:szCs w:val="24"/>
                <w:highlight w:val="none"/>
              </w:rPr>
              <w:t>噪声源主要是箱式变压器的运行噪声，来源于变压器内部的铁心振动，参照《6kV~1000kV级电力变压器声级》（JB/T10088-2016），基础减振后，2000kVA/35kV变压器的声功率按</w:t>
            </w:r>
            <w:r>
              <w:rPr>
                <w:rFonts w:hint="eastAsia" w:ascii="Times New Roman" w:hAnsi="Times New Roman" w:eastAsia="宋体" w:cs="Times New Roman"/>
                <w:color w:val="auto"/>
                <w:kern w:val="0"/>
                <w:sz w:val="24"/>
                <w:szCs w:val="24"/>
                <w:highlight w:val="none"/>
                <w:lang w:val="en-US" w:eastAsia="zh-CN"/>
              </w:rPr>
              <w:t>58</w:t>
            </w:r>
            <w:r>
              <w:rPr>
                <w:rFonts w:hint="default" w:ascii="Times New Roman" w:hAnsi="Times New Roman" w:eastAsia="宋体" w:cs="Times New Roman"/>
                <w:color w:val="auto"/>
                <w:kern w:val="0"/>
                <w:sz w:val="24"/>
                <w:szCs w:val="24"/>
                <w:highlight w:val="none"/>
              </w:rPr>
              <w:t>dB(A)考虑。采用《环境影响评价技术导则声环境》（HJ2.4-20</w:t>
            </w:r>
            <w:r>
              <w:rPr>
                <w:rFonts w:hint="eastAsia" w:ascii="Times New Roman" w:hAnsi="Times New Roman" w:eastAsia="宋体" w:cs="Times New Roman"/>
                <w:color w:val="auto"/>
                <w:kern w:val="0"/>
                <w:sz w:val="24"/>
                <w:szCs w:val="24"/>
                <w:highlight w:val="none"/>
                <w:lang w:val="en-US" w:eastAsia="zh-CN"/>
              </w:rPr>
              <w:t>21</w:t>
            </w:r>
            <w:r>
              <w:rPr>
                <w:rFonts w:hint="default" w:ascii="Times New Roman" w:hAnsi="Times New Roman" w:eastAsia="宋体" w:cs="Times New Roman"/>
                <w:color w:val="auto"/>
                <w:kern w:val="0"/>
                <w:sz w:val="24"/>
                <w:szCs w:val="24"/>
                <w:highlight w:val="none"/>
              </w:rPr>
              <w:t>）中推荐的工业噪声单源预测模式LA(r)=LAW-20Lg(r)-8进行预测，在离声源5m处已低至</w:t>
            </w:r>
            <w:r>
              <w:rPr>
                <w:rFonts w:hint="eastAsia" w:ascii="Times New Roman" w:hAnsi="Times New Roman" w:eastAsia="宋体" w:cs="Times New Roman"/>
                <w:color w:val="auto"/>
                <w:kern w:val="0"/>
                <w:sz w:val="24"/>
                <w:szCs w:val="24"/>
                <w:highlight w:val="none"/>
                <w:lang w:val="en-US" w:eastAsia="zh-CN"/>
              </w:rPr>
              <w:t>46.02</w:t>
            </w:r>
            <w:r>
              <w:rPr>
                <w:rFonts w:hint="default" w:ascii="Times New Roman" w:hAnsi="Times New Roman" w:eastAsia="宋体" w:cs="Times New Roman"/>
                <w:color w:val="auto"/>
                <w:kern w:val="0"/>
                <w:sz w:val="24"/>
                <w:szCs w:val="24"/>
                <w:highlight w:val="none"/>
              </w:rPr>
              <w:t>dB（A），离声源10m处已衰减至</w:t>
            </w:r>
            <w:r>
              <w:rPr>
                <w:rFonts w:hint="eastAsia" w:ascii="Times New Roman" w:hAnsi="Times New Roman" w:eastAsia="宋体" w:cs="Times New Roman"/>
                <w:color w:val="auto"/>
                <w:kern w:val="0"/>
                <w:sz w:val="24"/>
                <w:szCs w:val="24"/>
                <w:highlight w:val="none"/>
                <w:lang w:val="en-US" w:eastAsia="zh-CN"/>
              </w:rPr>
              <w:t>40</w:t>
            </w:r>
            <w:r>
              <w:rPr>
                <w:rFonts w:hint="default" w:ascii="Times New Roman" w:hAnsi="Times New Roman" w:eastAsia="宋体" w:cs="Times New Roman"/>
                <w:color w:val="auto"/>
                <w:kern w:val="0"/>
                <w:sz w:val="24"/>
                <w:szCs w:val="24"/>
                <w:highlight w:val="none"/>
              </w:rPr>
              <w:t>dB（A）</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且各地块箱变布置在远离敏感点的位置</w:t>
            </w:r>
            <w:r>
              <w:rPr>
                <w:rFonts w:hint="default"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en-US" w:eastAsia="zh-CN"/>
              </w:rPr>
              <w:t>运行期光伏区域箱变对周边环境及敏感点声环境影响较小。</w:t>
            </w:r>
          </w:p>
          <w:p w14:paraId="77297DD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cs="Times New Roman" w:eastAsiaTheme="minorEastAsia"/>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9、环境风险</w:t>
            </w:r>
            <w:r>
              <w:rPr>
                <w:rFonts w:hint="default" w:ascii="Times New Roman" w:hAnsi="Times New Roman" w:cs="Times New Roman" w:eastAsiaTheme="minorEastAsia"/>
                <w:b/>
                <w:bCs/>
                <w:color w:val="auto"/>
                <w:sz w:val="24"/>
                <w:szCs w:val="24"/>
                <w:highlight w:val="none"/>
                <w:lang w:val="en-US" w:eastAsia="zh-CN"/>
              </w:rPr>
              <w:t>影响分析</w:t>
            </w:r>
          </w:p>
          <w:p w14:paraId="5567FB66">
            <w:pPr>
              <w:pageBreakBefore w:val="0"/>
              <w:kinsoku/>
              <w:wordWrap/>
              <w:overflowPunct/>
              <w:topLinePunct w:val="0"/>
              <w:bidi w:val="0"/>
              <w:adjustRightInd w:val="0"/>
              <w:snapToGrid w:val="0"/>
              <w:spacing w:line="360" w:lineRule="auto"/>
              <w:ind w:firstLine="470" w:firstLineChars="196"/>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运行期间可能引发</w:t>
            </w:r>
            <w:r>
              <w:rPr>
                <w:rFonts w:hint="default" w:ascii="Times New Roman" w:hAnsi="Times New Roman" w:eastAsia="宋体" w:cs="Times New Roman"/>
                <w:color w:val="auto"/>
                <w:sz w:val="24"/>
                <w:highlight w:val="none"/>
                <w:lang w:eastAsia="zh-CN"/>
              </w:rPr>
              <w:t>的</w:t>
            </w:r>
            <w:r>
              <w:rPr>
                <w:rFonts w:hint="default" w:ascii="Times New Roman" w:hAnsi="Times New Roman" w:eastAsia="宋体" w:cs="Times New Roman"/>
                <w:color w:val="auto"/>
                <w:sz w:val="24"/>
                <w:highlight w:val="none"/>
              </w:rPr>
              <w:t>环境风险事故主要为</w:t>
            </w:r>
            <w:r>
              <w:rPr>
                <w:rFonts w:hint="eastAsia" w:ascii="Times New Roman" w:hAnsi="Times New Roman" w:eastAsia="宋体" w:cs="Times New Roman"/>
                <w:color w:val="auto"/>
                <w:sz w:val="24"/>
                <w:highlight w:val="none"/>
                <w:lang w:val="en-US" w:eastAsia="zh-CN"/>
              </w:rPr>
              <w:t>箱式</w:t>
            </w:r>
            <w:r>
              <w:rPr>
                <w:rFonts w:hint="default" w:ascii="Times New Roman" w:hAnsi="Times New Roman" w:eastAsia="宋体" w:cs="Times New Roman"/>
                <w:color w:val="auto"/>
                <w:sz w:val="24"/>
                <w:highlight w:val="none"/>
              </w:rPr>
              <w:t>变压器在事故状态壳体破损时造成变压器油泄漏，事故废油属于废矿物油与含矿物油废物（HW08），废物代码为900-220-08。</w:t>
            </w:r>
          </w:p>
          <w:p w14:paraId="5F7C082D">
            <w:pPr>
              <w:keepNext w:val="0"/>
              <w:keepLines w:val="0"/>
              <w:pageBreakBefore w:val="0"/>
              <w:widowControl w:val="0"/>
              <w:kinsoku/>
              <w:wordWrap/>
              <w:overflowPunct/>
              <w:topLinePunct w:val="0"/>
              <w:bidi w:val="0"/>
              <w:adjustRightInd w:val="0"/>
              <w:snapToGrid w:val="0"/>
              <w:spacing w:line="360" w:lineRule="auto"/>
              <w:ind w:firstLine="470" w:firstLineChars="196"/>
              <w:jc w:val="left"/>
              <w:textAlignment w:val="auto"/>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sz w:val="24"/>
                <w:highlight w:val="none"/>
                <w:lang w:val="en-US" w:eastAsia="zh-CN"/>
              </w:rPr>
              <w:t>箱变下方设置2m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事故油池，</w:t>
            </w:r>
            <w:r>
              <w:rPr>
                <w:rFonts w:hint="default" w:ascii="Times New Roman" w:hAnsi="Times New Roman" w:eastAsia="宋体" w:cs="Times New Roman"/>
                <w:color w:val="auto"/>
                <w:sz w:val="24"/>
                <w:highlight w:val="none"/>
              </w:rPr>
              <w:t>当变压器在事故状态，一旦发生油泄漏，事故废油</w:t>
            </w:r>
            <w:r>
              <w:rPr>
                <w:rFonts w:hint="default" w:ascii="Times New Roman" w:hAnsi="Times New Roman" w:eastAsia="宋体" w:cs="Times New Roman"/>
                <w:color w:val="auto"/>
                <w:sz w:val="24"/>
                <w:highlight w:val="none"/>
                <w:lang w:eastAsia="zh-CN"/>
              </w:rPr>
              <w:t>由</w:t>
            </w:r>
            <w:r>
              <w:rPr>
                <w:rFonts w:hint="default" w:ascii="Times New Roman" w:hAnsi="Times New Roman" w:eastAsia="宋体" w:cs="Times New Roman"/>
                <w:color w:val="auto"/>
                <w:sz w:val="24"/>
                <w:highlight w:val="none"/>
              </w:rPr>
              <w:t>变压器下设</w:t>
            </w:r>
            <w:r>
              <w:rPr>
                <w:rFonts w:hint="default" w:ascii="Times New Roman" w:hAnsi="Times New Roman" w:eastAsia="宋体" w:cs="Times New Roman"/>
                <w:color w:val="auto"/>
                <w:sz w:val="24"/>
                <w:highlight w:val="none"/>
                <w:lang w:eastAsia="zh-CN"/>
              </w:rPr>
              <w:t>的</w:t>
            </w:r>
            <w:r>
              <w:rPr>
                <w:rFonts w:hint="default" w:ascii="Times New Roman" w:hAnsi="Times New Roman" w:eastAsia="宋体" w:cs="Times New Roman"/>
                <w:color w:val="auto"/>
                <w:sz w:val="24"/>
                <w:highlight w:val="none"/>
              </w:rPr>
              <w:t>事故油坑收集，交由有资质单位处置。</w:t>
            </w:r>
          </w:p>
          <w:p w14:paraId="05580A7F">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同时</w:t>
            </w:r>
            <w:r>
              <w:rPr>
                <w:rFonts w:hint="default" w:ascii="Times New Roman" w:hAnsi="Times New Roman" w:eastAsia="宋体" w:cs="Times New Roman"/>
                <w:color w:val="auto"/>
                <w:kern w:val="0"/>
                <w:sz w:val="24"/>
                <w:highlight w:val="none"/>
                <w:lang w:val="en-US" w:eastAsia="zh-CN"/>
              </w:rPr>
              <w:t>建设单位应</w:t>
            </w:r>
            <w:r>
              <w:rPr>
                <w:rFonts w:hint="default" w:ascii="Times New Roman" w:hAnsi="Times New Roman" w:eastAsia="宋体" w:cs="Times New Roman"/>
                <w:color w:val="auto"/>
                <w:kern w:val="0"/>
                <w:sz w:val="24"/>
                <w:highlight w:val="none"/>
              </w:rPr>
              <w:t>制定《环境污染事件处置应急预案》，常设应急领导小组针对突发环境污染事件</w:t>
            </w:r>
            <w:r>
              <w:rPr>
                <w:rFonts w:hint="eastAsia" w:ascii="Times New Roman" w:hAnsi="Times New Roman" w:eastAsia="宋体" w:cs="Times New Roman"/>
                <w:color w:val="auto"/>
                <w:kern w:val="0"/>
                <w:sz w:val="24"/>
                <w:highlight w:val="none"/>
                <w:lang w:val="en-US" w:eastAsia="zh-CN"/>
              </w:rPr>
              <w:t>作出</w:t>
            </w:r>
            <w:r>
              <w:rPr>
                <w:rFonts w:hint="default" w:ascii="Times New Roman" w:hAnsi="Times New Roman" w:eastAsia="宋体" w:cs="Times New Roman"/>
                <w:color w:val="auto"/>
                <w:kern w:val="0"/>
                <w:sz w:val="24"/>
                <w:highlight w:val="none"/>
              </w:rPr>
              <w:t>环境响应，以最大程度地预防和减少环境污染事件及其造成的影响。</w:t>
            </w:r>
          </w:p>
          <w:p w14:paraId="36B0F98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10、</w:t>
            </w:r>
            <w:r>
              <w:rPr>
                <w:rFonts w:hint="default" w:ascii="Times New Roman" w:hAnsi="Times New Roman" w:cs="Times New Roman"/>
                <w:b/>
                <w:bCs/>
                <w:color w:val="auto"/>
                <w:sz w:val="24"/>
                <w:szCs w:val="24"/>
                <w:highlight w:val="none"/>
                <w:lang w:val="en-US" w:eastAsia="zh-CN"/>
              </w:rPr>
              <w:t>服务期满后环境影响分析</w:t>
            </w:r>
          </w:p>
          <w:p w14:paraId="2570D7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太阳能电池板寿命约25年，待项目运营期满后，按国家相关要求，将对生产区（电池组件及支架、变压器等）进行全部拆除或者更换。光伏电站服务期满后影响主要为拆除的太阳能电池板、变压器等固体废物影响及基础拆除产生的生态环境影响。</w:t>
            </w:r>
          </w:p>
          <w:p w14:paraId="0BC29D4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拆除的太阳能电池板、变压器等固体废物</w:t>
            </w:r>
          </w:p>
          <w:p w14:paraId="7561DE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在光伏电站服务期满后，拆除所有太阳能电池板、变压器等固体废物，对环境具有一定的破坏性。本项目服务期满后将对废弃物进行安全处置。</w:t>
            </w:r>
          </w:p>
          <w:p w14:paraId="1682449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1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项目服务期满后废太阳能电池属于一般废物，由太阳能电池</w:t>
            </w:r>
            <w:r>
              <w:rPr>
                <w:rFonts w:hint="eastAsia" w:ascii="Times New Roman" w:hAnsi="Times New Roman" w:eastAsia="宋体" w:cs="Times New Roman"/>
                <w:color w:val="auto"/>
                <w:sz w:val="24"/>
                <w:szCs w:val="24"/>
                <w:lang w:eastAsia="zh-CN"/>
              </w:rPr>
              <w:t>厂家</w:t>
            </w:r>
            <w:r>
              <w:rPr>
                <w:rFonts w:hint="default" w:ascii="Times New Roman" w:hAnsi="Times New Roman" w:eastAsia="宋体" w:cs="Times New Roman"/>
                <w:color w:val="auto"/>
                <w:sz w:val="24"/>
                <w:szCs w:val="24"/>
                <w:lang w:eastAsia="zh-CN"/>
              </w:rPr>
              <w:t>回收</w:t>
            </w:r>
            <w:r>
              <w:rPr>
                <w:rFonts w:hint="default" w:ascii="Times New Roman" w:hAnsi="Times New Roman" w:eastAsia="宋体" w:cs="Times New Roman"/>
                <w:color w:val="auto"/>
                <w:sz w:val="24"/>
                <w:szCs w:val="24"/>
              </w:rPr>
              <w:t>。</w:t>
            </w:r>
          </w:p>
          <w:p w14:paraId="23D49A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2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val="en-US" w:eastAsia="zh-CN"/>
              </w:rPr>
              <w:t>本项目使用</w:t>
            </w:r>
            <w:r>
              <w:rPr>
                <w:rFonts w:hint="eastAsia" w:ascii="Times New Roman" w:hAnsi="Times New Roman" w:eastAsia="宋体" w:cs="Times New Roman"/>
                <w:color w:val="auto"/>
                <w:sz w:val="24"/>
                <w:szCs w:val="24"/>
                <w:lang w:val="en-US" w:eastAsia="zh-CN"/>
              </w:rPr>
              <w:t>的</w:t>
            </w:r>
            <w:r>
              <w:rPr>
                <w:rFonts w:hint="default" w:ascii="Times New Roman" w:hAnsi="Times New Roman" w:eastAsia="宋体" w:cs="Times New Roman"/>
                <w:color w:val="auto"/>
                <w:sz w:val="24"/>
                <w:szCs w:val="24"/>
              </w:rPr>
              <w:t>变压器服务期满后由</w:t>
            </w:r>
            <w:r>
              <w:rPr>
                <w:rFonts w:hint="default" w:ascii="Times New Roman" w:hAnsi="Times New Roman" w:eastAsia="宋体" w:cs="Times New Roman"/>
                <w:color w:val="auto"/>
                <w:sz w:val="24"/>
                <w:szCs w:val="24"/>
                <w:lang w:val="en-US" w:eastAsia="zh-CN"/>
              </w:rPr>
              <w:t>专业回收</w:t>
            </w:r>
            <w:r>
              <w:rPr>
                <w:rFonts w:hint="default" w:ascii="Times New Roman" w:hAnsi="Times New Roman" w:eastAsia="宋体" w:cs="Times New Roman"/>
                <w:color w:val="auto"/>
                <w:sz w:val="24"/>
                <w:szCs w:val="24"/>
                <w:lang w:eastAsia="zh-CN"/>
              </w:rPr>
              <w:t>单位回收</w:t>
            </w:r>
            <w:r>
              <w:rPr>
                <w:rFonts w:hint="default" w:ascii="Times New Roman" w:hAnsi="Times New Roman" w:eastAsia="宋体" w:cs="Times New Roman"/>
                <w:color w:val="auto"/>
                <w:sz w:val="24"/>
                <w:szCs w:val="24"/>
              </w:rPr>
              <w:t>处置</w:t>
            </w:r>
            <w:r>
              <w:rPr>
                <w:rFonts w:hint="default" w:ascii="Times New Roman" w:hAnsi="Times New Roman" w:eastAsia="宋体" w:cs="Times New Roman"/>
                <w:color w:val="auto"/>
                <w:sz w:val="24"/>
                <w:szCs w:val="24"/>
                <w:lang w:eastAsia="zh-CN"/>
              </w:rPr>
              <w:t>。</w:t>
            </w:r>
          </w:p>
          <w:p w14:paraId="049B89D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基础拆除产生的生态环境影响</w:t>
            </w:r>
          </w:p>
          <w:p w14:paraId="56F970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本项目服务期满后将对电池组件及支架、变压器等进行全部拆除，这些活动会造成光伏组件基础土地部分破坏。因此，拆除作业完成后应进行生态恢复：</w:t>
            </w:r>
          </w:p>
          <w:p w14:paraId="7117AE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1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掘除硬化地面基础，对场地进行恢复；</w:t>
            </w:r>
          </w:p>
          <w:p w14:paraId="0393DF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2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拆除过程中应尽量减小对土地的扰动，对于项目厂区原绿化土地应保留；</w:t>
            </w:r>
          </w:p>
          <w:p w14:paraId="470864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3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③</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掘除基础部分场地应进行恢复，恢复后的场地则进行洒水和压实，以固结地表，防止产生扬尘和对土壤的风蚀。</w:t>
            </w:r>
          </w:p>
          <w:p w14:paraId="658BA7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rPr>
              <w:t>综上所述，光伏电站服务期满后，企业必须严格采取上述环境保护措施，确保无遗留环保问题。</w:t>
            </w:r>
          </w:p>
        </w:tc>
      </w:tr>
      <w:tr w14:paraId="44D5BC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0" w:hRule="atLeast"/>
          <w:jc w:val="center"/>
        </w:trPr>
        <w:tc>
          <w:tcPr>
            <w:tcW w:w="476" w:type="dxa"/>
            <w:noWrap w:val="0"/>
            <w:vAlign w:val="center"/>
          </w:tcPr>
          <w:p w14:paraId="3C5CF4E4">
            <w:pPr>
              <w:pStyle w:val="21"/>
              <w:adjustRightInd w:val="0"/>
              <w:snapToGrid w:val="0"/>
              <w:spacing w:before="0" w:beforeAutospacing="0" w:after="0" w:afterAutospacing="0"/>
              <w:jc w:val="center"/>
              <w:rPr>
                <w:rFonts w:ascii="Times New Roman" w:hAnsi="Times New Roman" w:eastAsia="宋体" w:cs="Times New Roman"/>
                <w:bCs/>
                <w:color w:val="auto"/>
                <w:spacing w:val="10"/>
                <w:kern w:val="2"/>
                <w:sz w:val="24"/>
                <w:szCs w:val="24"/>
                <w:highlight w:val="none"/>
              </w:rPr>
            </w:pPr>
          </w:p>
          <w:p w14:paraId="199F5AF2">
            <w:pPr>
              <w:pStyle w:val="21"/>
              <w:adjustRightInd w:val="0"/>
              <w:snapToGrid w:val="0"/>
              <w:spacing w:before="0" w:beforeAutospacing="0" w:after="0" w:afterAutospacing="0"/>
              <w:jc w:val="center"/>
              <w:rPr>
                <w:rFonts w:ascii="Times New Roman" w:hAnsi="Times New Roman" w:eastAsia="宋体" w:cs="Times New Roman"/>
                <w:bCs/>
                <w:color w:val="auto"/>
                <w:spacing w:val="10"/>
                <w:kern w:val="2"/>
                <w:sz w:val="24"/>
                <w:szCs w:val="24"/>
                <w:highlight w:val="none"/>
              </w:rPr>
            </w:pPr>
          </w:p>
          <w:p w14:paraId="37854C1C">
            <w:pPr>
              <w:pStyle w:val="21"/>
              <w:adjustRightInd w:val="0"/>
              <w:snapToGrid w:val="0"/>
              <w:spacing w:before="0" w:beforeAutospacing="0" w:after="0" w:afterAutospacing="0"/>
              <w:jc w:val="center"/>
              <w:rPr>
                <w:rFonts w:ascii="Times New Roman" w:hAnsi="Times New Roman" w:eastAsia="宋体" w:cs="Times New Roman"/>
                <w:bCs/>
                <w:color w:val="auto"/>
                <w:spacing w:val="10"/>
                <w:kern w:val="2"/>
                <w:sz w:val="24"/>
                <w:szCs w:val="24"/>
                <w:highlight w:val="none"/>
              </w:rPr>
            </w:pPr>
          </w:p>
          <w:p w14:paraId="5C431CC8">
            <w:pPr>
              <w:pStyle w:val="21"/>
              <w:adjustRightInd w:val="0"/>
              <w:snapToGrid w:val="0"/>
              <w:spacing w:before="0" w:beforeAutospacing="0" w:after="0" w:afterAutospacing="0"/>
              <w:jc w:val="center"/>
              <w:rPr>
                <w:rFonts w:ascii="Times New Roman" w:hAnsi="Times New Roman" w:eastAsia="宋体" w:cs="Times New Roman"/>
                <w:bCs/>
                <w:color w:val="auto"/>
                <w:spacing w:val="10"/>
                <w:kern w:val="2"/>
                <w:sz w:val="24"/>
                <w:szCs w:val="24"/>
                <w:highlight w:val="none"/>
              </w:rPr>
            </w:pPr>
          </w:p>
          <w:p w14:paraId="5BDF0EA9">
            <w:pPr>
              <w:pStyle w:val="21"/>
              <w:adjustRightInd w:val="0"/>
              <w:snapToGrid w:val="0"/>
              <w:spacing w:before="0" w:beforeAutospacing="0" w:after="0" w:afterAutospacing="0"/>
              <w:jc w:val="center"/>
              <w:rPr>
                <w:rFonts w:ascii="Times New Roman" w:hAnsi="Times New Roman" w:eastAsia="宋体" w:cs="Times New Roman"/>
                <w:bCs/>
                <w:color w:val="auto"/>
                <w:spacing w:val="10"/>
                <w:kern w:val="2"/>
                <w:sz w:val="24"/>
                <w:szCs w:val="24"/>
                <w:highlight w:val="none"/>
              </w:rPr>
            </w:pPr>
          </w:p>
          <w:p w14:paraId="76E15E76">
            <w:pPr>
              <w:pStyle w:val="21"/>
              <w:adjustRightInd w:val="0"/>
              <w:snapToGrid w:val="0"/>
              <w:spacing w:before="0" w:beforeAutospacing="0" w:after="0" w:afterAutospacing="0"/>
              <w:jc w:val="center"/>
              <w:rPr>
                <w:rFonts w:ascii="Times New Roman" w:hAnsi="Times New Roman" w:eastAsia="宋体" w:cs="Times New Roman"/>
                <w:bCs/>
                <w:color w:val="auto"/>
                <w:kern w:val="2"/>
                <w:sz w:val="24"/>
                <w:szCs w:val="24"/>
                <w:highlight w:val="none"/>
              </w:rPr>
            </w:pPr>
            <w:r>
              <w:rPr>
                <w:rFonts w:ascii="Times New Roman" w:hAnsi="Times New Roman" w:eastAsia="宋体" w:cs="Times New Roman"/>
                <w:bCs/>
                <w:color w:val="auto"/>
                <w:spacing w:val="10"/>
                <w:kern w:val="2"/>
                <w:sz w:val="24"/>
                <w:szCs w:val="24"/>
                <w:highlight w:val="none"/>
              </w:rPr>
              <w:t>选址环境合理性分析</w:t>
            </w:r>
          </w:p>
        </w:tc>
        <w:tc>
          <w:tcPr>
            <w:tcW w:w="9124" w:type="dxa"/>
            <w:noWrap w:val="0"/>
            <w:vAlign w:val="top"/>
          </w:tcPr>
          <w:p w14:paraId="3629E5AA">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62" w:leftChars="0" w:firstLine="482" w:firstLineChars="0"/>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光伏</w:t>
            </w:r>
            <w:r>
              <w:rPr>
                <w:rFonts w:hint="eastAsia" w:ascii="Times New Roman" w:hAnsi="Times New Roman" w:cs="Times New Roman"/>
                <w:b/>
                <w:color w:val="auto"/>
                <w:sz w:val="24"/>
                <w:lang w:val="en-US" w:eastAsia="zh-CN"/>
              </w:rPr>
              <w:t>厂</w:t>
            </w:r>
            <w:r>
              <w:rPr>
                <w:rFonts w:hint="default" w:ascii="Times New Roman" w:hAnsi="Times New Roman" w:cs="Times New Roman"/>
                <w:b/>
                <w:color w:val="auto"/>
                <w:sz w:val="24"/>
              </w:rPr>
              <w:t>选址合理性分析</w:t>
            </w:r>
          </w:p>
          <w:p w14:paraId="457D0E88">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光能资源</w:t>
            </w:r>
          </w:p>
          <w:p w14:paraId="268B062A">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项目场址代表年水平面总辐射量取值为4419.8MJ/m</w:t>
            </w:r>
            <w:r>
              <w:rPr>
                <w:rFonts w:hint="default" w:ascii="Times New Roman" w:hAnsi="Times New Roman" w:cs="Times New Roman"/>
                <w:color w:val="auto"/>
                <w:kern w:val="0"/>
                <w:sz w:val="24"/>
                <w:vertAlign w:val="superscript"/>
              </w:rPr>
              <w:t>2</w:t>
            </w:r>
            <w:r>
              <w:rPr>
                <w:rFonts w:hint="default" w:ascii="Times New Roman" w:hAnsi="Times New Roman" w:cs="Times New Roman"/>
                <w:color w:val="auto"/>
                <w:kern w:val="0"/>
                <w:sz w:val="24"/>
              </w:rPr>
              <w:t>，处于3780-5040MJ/m</w:t>
            </w:r>
            <w:r>
              <w:rPr>
                <w:rFonts w:hint="default" w:ascii="Times New Roman" w:hAnsi="Times New Roman" w:cs="Times New Roman"/>
                <w:color w:val="auto"/>
                <w:kern w:val="0"/>
                <w:sz w:val="24"/>
                <w:vertAlign w:val="superscript"/>
              </w:rPr>
              <w:t>2</w:t>
            </w:r>
            <w:r>
              <w:rPr>
                <w:rFonts w:hint="default" w:ascii="Times New Roman" w:hAnsi="Times New Roman" w:cs="Times New Roman"/>
                <w:color w:val="auto"/>
                <w:kern w:val="0"/>
                <w:sz w:val="24"/>
              </w:rPr>
              <w:t>范围内，年水平面总辐射量属于C类“丰富”，具备一定的开发潜力。</w:t>
            </w:r>
          </w:p>
          <w:p w14:paraId="5A0BBCCB">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占地合理性</w:t>
            </w:r>
          </w:p>
          <w:p w14:paraId="52F0204A">
            <w:pPr>
              <w:pStyle w:val="32"/>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b/>
                <w:color w:val="auto"/>
                <w:kern w:val="0"/>
                <w:highlight w:val="none"/>
              </w:rPr>
            </w:pPr>
            <w:r>
              <w:rPr>
                <w:rFonts w:hint="default" w:ascii="Times New Roman" w:hAnsi="Times New Roman" w:cs="Times New Roman" w:eastAsiaTheme="minorEastAsia"/>
                <w:b w:val="0"/>
                <w:bCs w:val="0"/>
                <w:color w:val="auto"/>
                <w:kern w:val="0"/>
                <w:sz w:val="24"/>
                <w:szCs w:val="22"/>
                <w:lang w:val="en-US" w:eastAsia="zh-CN" w:bidi="ar-SA"/>
              </w:rPr>
              <w:t>项目符合《国土资源部国务院扶贫办国家能源局关于支持光伏扶贫和规范光伏发</w:t>
            </w:r>
            <w:r>
              <w:rPr>
                <w:rFonts w:hint="default" w:ascii="Times New Roman" w:hAnsi="Times New Roman" w:cs="Times New Roman" w:eastAsiaTheme="minorEastAsia"/>
                <w:b w:val="0"/>
                <w:bCs w:val="0"/>
                <w:color w:val="auto"/>
                <w:kern w:val="0"/>
                <w:sz w:val="24"/>
                <w:szCs w:val="22"/>
                <w:highlight w:val="none"/>
                <w:lang w:val="en-US" w:eastAsia="zh-CN" w:bidi="ar-SA"/>
              </w:rPr>
              <w:t>电产业用地的意见》（国土资规（2017）8号）中相关要求，详见表4-</w:t>
            </w:r>
            <w:r>
              <w:rPr>
                <w:rFonts w:hint="eastAsia" w:ascii="Times New Roman" w:cs="Times New Roman" w:eastAsiaTheme="minorEastAsia"/>
                <w:b w:val="0"/>
                <w:bCs w:val="0"/>
                <w:color w:val="auto"/>
                <w:kern w:val="0"/>
                <w:sz w:val="24"/>
                <w:szCs w:val="22"/>
                <w:highlight w:val="none"/>
                <w:lang w:val="en-US" w:eastAsia="zh-CN" w:bidi="ar-SA"/>
              </w:rPr>
              <w:t>6</w:t>
            </w:r>
            <w:r>
              <w:rPr>
                <w:rFonts w:hint="default" w:ascii="Times New Roman" w:hAnsi="Times New Roman" w:cs="Times New Roman" w:eastAsiaTheme="minorEastAsia"/>
                <w:b w:val="0"/>
                <w:bCs w:val="0"/>
                <w:color w:val="auto"/>
                <w:kern w:val="0"/>
                <w:sz w:val="24"/>
                <w:szCs w:val="22"/>
                <w:highlight w:val="none"/>
                <w:lang w:val="en-US" w:eastAsia="zh-CN" w:bidi="ar-SA"/>
              </w:rPr>
              <w:t>。</w:t>
            </w:r>
          </w:p>
          <w:p w14:paraId="14F43203">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w:t>
            </w:r>
            <w:r>
              <w:rPr>
                <w:rFonts w:hint="default" w:ascii="Times New Roman" w:hAnsi="Times New Roman" w:cs="Times New Roman"/>
                <w:b/>
                <w:color w:val="auto"/>
                <w:kern w:val="0"/>
                <w:highlight w:val="none"/>
                <w:lang w:val="en-US" w:eastAsia="zh-CN"/>
              </w:rPr>
              <w:t>4-</w:t>
            </w:r>
            <w:r>
              <w:rPr>
                <w:rFonts w:hint="eastAsia" w:ascii="Times New Roman" w:hAnsi="Times New Roman" w:cs="Times New Roman"/>
                <w:b/>
                <w:color w:val="auto"/>
                <w:kern w:val="0"/>
                <w:highlight w:val="none"/>
                <w:lang w:val="en-US" w:eastAsia="zh-CN"/>
              </w:rPr>
              <w:t>6</w:t>
            </w:r>
            <w:r>
              <w:rPr>
                <w:rFonts w:hint="default" w:ascii="Times New Roman" w:hAnsi="Times New Roman" w:cs="Times New Roman"/>
                <w:b/>
                <w:color w:val="auto"/>
                <w:kern w:val="0"/>
                <w:highlight w:val="none"/>
              </w:rPr>
              <w:t xml:space="preserve">  项目用地管理符合性分析</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3794"/>
              <w:gridCol w:w="3127"/>
              <w:gridCol w:w="1201"/>
            </w:tblGrid>
            <w:tr w14:paraId="0179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tcBorders>
                    <w:tl2br w:val="nil"/>
                    <w:tr2bl w:val="nil"/>
                  </w:tcBorders>
                  <w:noWrap w:val="0"/>
                  <w:vAlign w:val="center"/>
                </w:tcPr>
                <w:p w14:paraId="61E5A1DC">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2132" w:type="pct"/>
                  <w:tcBorders>
                    <w:tl2br w:val="nil"/>
                    <w:tr2bl w:val="nil"/>
                  </w:tcBorders>
                  <w:noWrap w:val="0"/>
                  <w:vAlign w:val="center"/>
                </w:tcPr>
                <w:p w14:paraId="00B01775">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内容</w:t>
                  </w:r>
                </w:p>
              </w:tc>
              <w:tc>
                <w:tcPr>
                  <w:tcW w:w="1757" w:type="pct"/>
                  <w:tcBorders>
                    <w:tl2br w:val="nil"/>
                    <w:tr2bl w:val="nil"/>
                  </w:tcBorders>
                  <w:noWrap w:val="0"/>
                  <w:vAlign w:val="center"/>
                </w:tcPr>
                <w:p w14:paraId="3B0F0FF8">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本项目情况</w:t>
                  </w:r>
                </w:p>
              </w:tc>
              <w:tc>
                <w:tcPr>
                  <w:tcW w:w="675" w:type="pct"/>
                  <w:tcBorders>
                    <w:tl2br w:val="nil"/>
                    <w:tr2bl w:val="nil"/>
                  </w:tcBorders>
                  <w:noWrap w:val="0"/>
                  <w:vAlign w:val="center"/>
                </w:tcPr>
                <w:p w14:paraId="6715155E">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符合性</w:t>
                  </w:r>
                </w:p>
              </w:tc>
            </w:tr>
            <w:tr w14:paraId="7846C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tcBorders>
                    <w:tl2br w:val="nil"/>
                    <w:tr2bl w:val="nil"/>
                  </w:tcBorders>
                  <w:noWrap w:val="0"/>
                  <w:vAlign w:val="center"/>
                </w:tcPr>
                <w:p w14:paraId="299E6D3F">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2132" w:type="pct"/>
                  <w:tcBorders>
                    <w:tl2br w:val="nil"/>
                    <w:tr2bl w:val="nil"/>
                  </w:tcBorders>
                  <w:noWrap w:val="0"/>
                  <w:vAlign w:val="center"/>
                </w:tcPr>
                <w:p w14:paraId="36851C9E">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可以利用未利用地的，不得占用耕地；可以利用劣地的，不得占用好地。禁止以任何方式占用永久基本农田，严禁在国家相关法律法规和规划明确禁止的区域发展光伏发电项目</w:t>
                  </w:r>
                </w:p>
              </w:tc>
              <w:tc>
                <w:tcPr>
                  <w:tcW w:w="1757" w:type="pct"/>
                  <w:tcBorders>
                    <w:tl2br w:val="nil"/>
                    <w:tr2bl w:val="nil"/>
                  </w:tcBorders>
                  <w:noWrap w:val="0"/>
                  <w:vAlign w:val="center"/>
                </w:tcPr>
                <w:p w14:paraId="40A7CBEE">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auto"/>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rPr>
                    <w:t>项目位于</w:t>
                  </w:r>
                  <w:r>
                    <w:rPr>
                      <w:rFonts w:hint="eastAsia" w:ascii="Times New Roman" w:hAnsi="Times New Roman" w:cs="Times New Roman"/>
                      <w:color w:val="auto"/>
                      <w:szCs w:val="21"/>
                      <w:highlight w:val="none"/>
                      <w:lang w:eastAsia="zh-CN"/>
                    </w:rPr>
                    <w:t>陕西省汉中市洋县磨子桥镇</w:t>
                  </w:r>
                  <w:r>
                    <w:rPr>
                      <w:rFonts w:hint="eastAsia" w:ascii="Times New Roman" w:hAnsi="Times New Roman" w:eastAsia="宋体" w:cs="Times New Roman"/>
                      <w:color w:val="auto"/>
                      <w:szCs w:val="21"/>
                      <w:highlight w:val="none"/>
                      <w:lang w:eastAsia="zh-CN"/>
                    </w:rPr>
                    <w:t>，项目用地性质</w:t>
                  </w:r>
                  <w:r>
                    <w:rPr>
                      <w:rFonts w:hint="default" w:ascii="Times New Roman" w:hAnsi="Times New Roman" w:cs="Times New Roman"/>
                      <w:color w:val="auto"/>
                      <w:szCs w:val="21"/>
                      <w:highlight w:val="none"/>
                    </w:rPr>
                    <w:t>属于</w:t>
                  </w:r>
                  <w:r>
                    <w:rPr>
                      <w:rFonts w:hint="eastAsia" w:ascii="Times New Roman" w:hAnsi="Times New Roman" w:cs="Times New Roman"/>
                      <w:color w:val="auto"/>
                      <w:szCs w:val="21"/>
                      <w:highlight w:val="none"/>
                      <w:lang w:val="en-US" w:eastAsia="zh-CN"/>
                    </w:rPr>
                    <w:t>果园、其他园地</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不涉及耕地及基本农田</w:t>
                  </w:r>
                </w:p>
              </w:tc>
              <w:tc>
                <w:tcPr>
                  <w:tcW w:w="675" w:type="pct"/>
                  <w:tcBorders>
                    <w:tl2br w:val="nil"/>
                    <w:tr2bl w:val="nil"/>
                  </w:tcBorders>
                  <w:noWrap w:val="0"/>
                  <w:vAlign w:val="center"/>
                </w:tcPr>
                <w:p w14:paraId="41800E45">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3CEC5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434" w:type="pct"/>
                  <w:tcBorders>
                    <w:tl2br w:val="nil"/>
                    <w:tr2bl w:val="nil"/>
                  </w:tcBorders>
                  <w:noWrap w:val="0"/>
                  <w:vAlign w:val="center"/>
                </w:tcPr>
                <w:p w14:paraId="5B4BBDB3">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2132" w:type="pct"/>
                  <w:tcBorders>
                    <w:tl2br w:val="nil"/>
                    <w:tr2bl w:val="nil"/>
                  </w:tcBorders>
                  <w:noWrap w:val="0"/>
                  <w:vAlign w:val="center"/>
                </w:tcPr>
                <w:p w14:paraId="0852C812">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光伏发电站项目用地中按农用地、未利用地管理的，除桩基础用地外，不得硬化地面、破坏耕作层，否则，应当依法办理建设用地审批手续，未办理审批手续的，按违法用地查处</w:t>
                  </w:r>
                </w:p>
              </w:tc>
              <w:tc>
                <w:tcPr>
                  <w:tcW w:w="1757" w:type="pct"/>
                  <w:tcBorders>
                    <w:tl2br w:val="nil"/>
                    <w:tr2bl w:val="nil"/>
                  </w:tcBorders>
                  <w:noWrap w:val="0"/>
                  <w:vAlign w:val="center"/>
                </w:tcPr>
                <w:p w14:paraId="771EF827">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auto"/>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kern w:val="0"/>
                      <w:szCs w:val="21"/>
                      <w:highlight w:val="none"/>
                    </w:rPr>
                    <w:t>本项目除设备基础用地外，不对地面进行硬化。</w:t>
                  </w:r>
                </w:p>
              </w:tc>
              <w:tc>
                <w:tcPr>
                  <w:tcW w:w="675" w:type="pct"/>
                  <w:tcBorders>
                    <w:tl2br w:val="nil"/>
                    <w:tr2bl w:val="nil"/>
                  </w:tcBorders>
                  <w:noWrap w:val="0"/>
                  <w:vAlign w:val="center"/>
                </w:tcPr>
                <w:p w14:paraId="20F09B0E">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bl>
          <w:p w14:paraId="5CFB186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val="en-US" w:eastAsia="zh-CN"/>
              </w:rPr>
              <w:t>①选址</w:t>
            </w:r>
          </w:p>
          <w:p w14:paraId="4698644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sz w:val="24"/>
              </w:rPr>
              <w:t>根据洋县</w:t>
            </w:r>
            <w:r>
              <w:rPr>
                <w:rFonts w:hint="eastAsia" w:ascii="Times New Roman" w:hAnsi="Times New Roman" w:cs="Times New Roman"/>
                <w:color w:val="auto"/>
                <w:sz w:val="24"/>
                <w:lang w:val="en-US" w:eastAsia="zh-CN"/>
              </w:rPr>
              <w:t>自然资源局</w:t>
            </w:r>
            <w:r>
              <w:rPr>
                <w:rFonts w:hint="default" w:ascii="Times New Roman" w:hAnsi="Times New Roman" w:cs="Times New Roman"/>
                <w:color w:val="auto"/>
                <w:sz w:val="24"/>
              </w:rPr>
              <w:t>关于</w:t>
            </w:r>
            <w:r>
              <w:rPr>
                <w:rFonts w:hint="eastAsia" w:ascii="Times New Roman" w:hAnsi="Times New Roman" w:cs="Times New Roman"/>
                <w:color w:val="auto"/>
                <w:sz w:val="24"/>
                <w:lang w:val="en-US" w:eastAsia="zh-CN"/>
              </w:rPr>
              <w:t>对大唐洋县60MW光伏发电项目（一期）选址土地情况的说明，该项目位于洋县磨子桥镇，涉及白河村、常牟村、冯杨村、金土村、磨子桥社区、牛家砭村、水田坝村、小江村、袁寨村、张山下村、周铺村11个村（社区），总面积115.4974公顷，套合洋县2021年国土变更调查数据，该项目选址用地土地利用现状分别为果园106.5426公顷、坑塘水面0.0011公顷、农村道路0.2888公顷、农村宅基地0.4071公顷、其他草地0.1528公顷、其他园地8.0889公顷、设施农用地0.0151公顷，整理筛分后项目总占用地面积为1043562.34m</w:t>
            </w:r>
            <w:r>
              <w:rPr>
                <w:rFonts w:hint="eastAsia" w:ascii="Times New Roman" w:hAnsi="Times New Roman" w:cs="Times New Roman"/>
                <w:color w:val="auto"/>
                <w:sz w:val="24"/>
                <w:vertAlign w:val="superscript"/>
                <w:lang w:val="en-US" w:eastAsia="zh-CN"/>
              </w:rPr>
              <w:t>2</w:t>
            </w:r>
            <w:r>
              <w:rPr>
                <w:rFonts w:hint="eastAsia" w:ascii="Times New Roman" w:hAnsi="Times New Roman" w:cs="Times New Roman"/>
                <w:color w:val="auto"/>
                <w:sz w:val="24"/>
                <w:lang w:val="en-US" w:eastAsia="zh-CN"/>
              </w:rPr>
              <w:t>，永久占地面积为26787.78m</w:t>
            </w:r>
            <w:r>
              <w:rPr>
                <w:rFonts w:hint="eastAsia" w:ascii="Times New Roman" w:hAnsi="Times New Roman" w:cs="Times New Roman"/>
                <w:color w:val="auto"/>
                <w:sz w:val="24"/>
                <w:vertAlign w:val="superscript"/>
                <w:lang w:val="en-US" w:eastAsia="zh-CN"/>
              </w:rPr>
              <w:t>2</w:t>
            </w:r>
            <w:r>
              <w:rPr>
                <w:rFonts w:hint="eastAsia" w:ascii="Times New Roman" w:hAnsi="Times New Roman" w:cs="Times New Roman"/>
                <w:color w:val="auto"/>
                <w:sz w:val="24"/>
                <w:lang w:val="en-US" w:eastAsia="zh-CN"/>
              </w:rPr>
              <w:t>；临时占地面积为1016774.56m</w:t>
            </w:r>
            <w:r>
              <w:rPr>
                <w:rFonts w:hint="eastAsia" w:ascii="Times New Roman" w:hAnsi="Times New Roman" w:cs="Times New Roman"/>
                <w:color w:val="auto"/>
                <w:sz w:val="24"/>
                <w:vertAlign w:val="superscript"/>
                <w:lang w:val="en-US" w:eastAsia="zh-CN"/>
              </w:rPr>
              <w:t>2</w:t>
            </w:r>
            <w:r>
              <w:rPr>
                <w:rFonts w:hint="eastAsia" w:ascii="Times New Roman" w:hAnsi="Times New Roman" w:cs="Times New Roman"/>
                <w:color w:val="auto"/>
                <w:sz w:val="24"/>
                <w:lang w:val="en-US" w:eastAsia="zh-CN"/>
              </w:rPr>
              <w:t>。套合洋县矿产资源规划相关数据和自然资源部下发的洋县“三区三线”划定成果，该项目选址拟用地不涉及生态保护红线和永久基本农田，不在城镇开发边界内，不压覆矿产资源，不压覆已设和拟设采矿权、探矿权；根据洋县人民政府关于支持大唐洋县60MW光伏发电项目（一期）建设的说明，经核实，该项目用地属于国家允许建设光伏项目的场地、不占用耕地且不涉及生态红线等限制开发的区域。根据洋县林业局关于大唐洋县60MW光伏发电项目（一期）选址查询情况的复函，按照最新林地管理政策，项目建设应当避让各类林地。你单位用地范围线叠加我县最新森林资源管理“一张图”数据库，已剔各类林地后剩余106.2222公顷的范围，不涉及林地，请你单位与项目所在镇、村现地核实，项目区入涉及退耕还林地，也应当避让，在项目落地实施前，请你单位将拟实施地块数据及村镇出具的该区域是否属退耕还林证明一并报我局核实后方可建设。</w:t>
            </w:r>
            <w:r>
              <w:rPr>
                <w:rFonts w:hint="default" w:ascii="Times New Roman" w:hAnsi="Times New Roman" w:cs="Times New Roman"/>
                <w:color w:val="auto"/>
                <w:sz w:val="24"/>
              </w:rPr>
              <w:t>根据陕西汉中朱鹮国家级自然保护区管理局关于</w:t>
            </w:r>
            <w:r>
              <w:rPr>
                <w:rFonts w:hint="default" w:ascii="Times New Roman" w:hAnsi="Times New Roman" w:cs="Times New Roman"/>
                <w:color w:val="auto"/>
                <w:sz w:val="24"/>
                <w:lang w:val="en-US" w:eastAsia="zh-CN"/>
              </w:rPr>
              <w:t>大唐洋县60MW光伏发电项目（一期）</w:t>
            </w:r>
            <w:r>
              <w:rPr>
                <w:rFonts w:hint="eastAsia" w:ascii="Times New Roman" w:hAnsi="Times New Roman" w:cs="Times New Roman"/>
                <w:color w:val="auto"/>
                <w:sz w:val="24"/>
                <w:lang w:val="en-US" w:eastAsia="zh-CN"/>
              </w:rPr>
              <w:t>选址是否位于朱鹮保护区</w:t>
            </w:r>
            <w:r>
              <w:rPr>
                <w:rFonts w:hint="default" w:ascii="Times New Roman" w:hAnsi="Times New Roman" w:cs="Times New Roman"/>
                <w:color w:val="auto"/>
                <w:sz w:val="24"/>
              </w:rPr>
              <w:t>的复函，</w:t>
            </w:r>
            <w:r>
              <w:rPr>
                <w:rFonts w:hint="eastAsia" w:ascii="Times New Roman" w:hAnsi="Times New Roman" w:cs="Times New Roman"/>
                <w:color w:val="auto"/>
                <w:sz w:val="24"/>
                <w:lang w:val="en-US" w:eastAsia="zh-CN"/>
              </w:rPr>
              <w:t>本项目选址不在保护区范围内，但部分点位距保护区边界较近，根据《在国家级自然保护区修筑设施审批管理暂行办法》第四条，保护区严禁修筑光伏发电设施，贵司在该项目建设过程中应注意避让，不得随意更改、扩大建设选址</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根据中国人民解放军陕西省洋县人民武装部关于大唐（洋县）新能源有限责任公司在洋县开展60MW光伏发电项目（一期）军事设施情况调查的复函，经我部联合66389驻汉中部队核查，在磨子桥镇内（</w:t>
            </w:r>
            <w:r>
              <w:rPr>
                <w:rFonts w:hint="default" w:ascii="Times New Roman" w:hAnsi="Times New Roman" w:cs="Times New Roman"/>
                <w:color w:val="auto"/>
                <w:sz w:val="24"/>
                <w:lang w:eastAsia="en-US"/>
              </w:rPr>
              <w:t>E</w:t>
            </w:r>
            <w:r>
              <w:rPr>
                <w:rFonts w:hint="eastAsia" w:ascii="Times New Roman" w:hAnsi="Times New Roman" w:cs="Times New Roman"/>
                <w:color w:val="auto"/>
                <w:sz w:val="24"/>
                <w:lang w:val="en-US" w:eastAsia="zh-CN"/>
              </w:rPr>
              <w:t>107</w:t>
            </w:r>
            <w:r>
              <w:rPr>
                <w:rFonts w:hint="default" w:ascii="Times New Roman" w:hAnsi="Times New Roman" w:cs="Times New Roman"/>
                <w:color w:val="auto"/>
                <w:sz w:val="24"/>
              </w:rPr>
              <w:t>度</w:t>
            </w:r>
            <w:r>
              <w:rPr>
                <w:rFonts w:hint="eastAsia" w:ascii="Times New Roman" w:hAnsi="Times New Roman" w:cs="Times New Roman"/>
                <w:color w:val="auto"/>
                <w:sz w:val="24"/>
                <w:lang w:val="en-US" w:eastAsia="zh-CN"/>
              </w:rPr>
              <w:t>30</w:t>
            </w:r>
            <w:r>
              <w:rPr>
                <w:rFonts w:hint="default" w:ascii="Times New Roman" w:hAnsi="Times New Roman" w:cs="Times New Roman"/>
                <w:color w:val="auto"/>
                <w:sz w:val="24"/>
              </w:rPr>
              <w:t>分</w:t>
            </w:r>
            <w:r>
              <w:rPr>
                <w:rFonts w:hint="eastAsia" w:ascii="Times New Roman" w:hAnsi="Times New Roman" w:cs="Times New Roman"/>
                <w:color w:val="auto"/>
                <w:sz w:val="24"/>
                <w:lang w:val="en-US" w:eastAsia="zh-CN"/>
              </w:rPr>
              <w:t>32</w:t>
            </w:r>
            <w:r>
              <w:rPr>
                <w:rFonts w:hint="default" w:ascii="Times New Roman" w:hAnsi="Times New Roman" w:cs="Times New Roman"/>
                <w:color w:val="auto"/>
                <w:sz w:val="24"/>
              </w:rPr>
              <w:t>秒，</w:t>
            </w:r>
            <w:r>
              <w:rPr>
                <w:rFonts w:hint="default" w:ascii="Times New Roman" w:hAnsi="Times New Roman" w:cs="Times New Roman"/>
                <w:color w:val="auto"/>
                <w:sz w:val="24"/>
                <w:lang w:eastAsia="en-US"/>
              </w:rPr>
              <w:t>N</w:t>
            </w:r>
            <w:r>
              <w:rPr>
                <w:rFonts w:hint="eastAsia" w:ascii="Times New Roman" w:hAnsi="Times New Roman" w:cs="Times New Roman"/>
                <w:color w:val="auto"/>
                <w:sz w:val="24"/>
                <w:lang w:val="en-US" w:eastAsia="zh-CN"/>
              </w:rPr>
              <w:t>33</w:t>
            </w:r>
            <w:r>
              <w:rPr>
                <w:rFonts w:hint="default" w:ascii="Times New Roman" w:hAnsi="Times New Roman" w:cs="Times New Roman"/>
                <w:color w:val="auto"/>
                <w:sz w:val="24"/>
              </w:rPr>
              <w:t>度</w:t>
            </w:r>
            <w:r>
              <w:rPr>
                <w:rFonts w:hint="eastAsia" w:ascii="Times New Roman" w:hAnsi="Times New Roman" w:cs="Times New Roman"/>
                <w:color w:val="auto"/>
                <w:sz w:val="24"/>
                <w:lang w:val="en-US" w:eastAsia="zh-CN"/>
              </w:rPr>
              <w:t>11</w:t>
            </w:r>
            <w:r>
              <w:rPr>
                <w:rFonts w:hint="default" w:ascii="Times New Roman" w:hAnsi="Times New Roman" w:cs="Times New Roman"/>
                <w:color w:val="auto"/>
                <w:sz w:val="24"/>
              </w:rPr>
              <w:t>分</w:t>
            </w:r>
            <w:r>
              <w:rPr>
                <w:rFonts w:hint="eastAsia" w:ascii="Times New Roman" w:hAnsi="Times New Roman" w:cs="Times New Roman"/>
                <w:color w:val="auto"/>
                <w:sz w:val="24"/>
                <w:lang w:val="en-US" w:eastAsia="zh-CN"/>
              </w:rPr>
              <w:t>37</w:t>
            </w:r>
            <w:r>
              <w:rPr>
                <w:rFonts w:hint="default" w:ascii="Times New Roman" w:hAnsi="Times New Roman" w:cs="Times New Roman"/>
                <w:color w:val="auto"/>
                <w:sz w:val="24"/>
              </w:rPr>
              <w:t>秒</w:t>
            </w:r>
            <w:r>
              <w:rPr>
                <w:rFonts w:hint="eastAsia" w:ascii="Times New Roman" w:hAnsi="Times New Roman" w:cs="Times New Roman"/>
                <w:color w:val="auto"/>
                <w:sz w:val="24"/>
                <w:lang w:val="en-US" w:eastAsia="zh-CN"/>
              </w:rPr>
              <w:t>）道路西侧100米，东侧100米军用标示桩连线处设有军用光缆，请贵单位对军用标示桩连线处进行避让施工或者更改此点选址范围。根据洋县文物广电局关于大唐（洋县）新能源有限责任公司在洋县60MW光伏发电项目选址文物影响评估的复函，根据项目用地选址，结合三普资料排查，项目选址处无文物保护单位。按照汉中市文物广电局、汉中市自然资源局《关于印发&lt;汉中市土地供应文勘前置工作管理办法(试行)&gt;的通知》规定要求，项目实施前，需委托具有文物考古勘探资质的单位对项目用地进行文物勘探工作，勘探工作完成后向我局提交正式文物勘探报告。项目的实施过程中，如有发现地下文物遗存，请施工单位立即停止施工，并做好现场保护工作，及时报告我局。根据洋县水利局关于大唐洋县60MW光伏发电项目(一期)拟选场址的复函，</w:t>
            </w:r>
            <w:r>
              <w:rPr>
                <w:rFonts w:hint="default" w:ascii="Times New Roman" w:hAnsi="Times New Roman" w:cs="Times New Roman"/>
                <w:color w:val="auto"/>
                <w:sz w:val="24"/>
              </w:rPr>
              <w:t>该项目选址位于丹江口库区及上游国家级水土流失重点预防区，属陕西省水土流失重点治理区；不影响河流两岸、湖泊和水库周边的植物保护带；周边无全国水土保持监测站点、重点试验区及国家确定的水土保持长期定位观测站。基本符合水土保持对主体工程选址规定，原则同意项目选址。鉴于项目无法避让水土流失重点预防区和重点治理区，项目应提高防治标准，优化施工工艺，减少地表扰动和植被损坏范围</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有效控制可能造成的水土流失。项目落地后，应按照《中华人民共和国水土保持法》、《陕</w:t>
            </w:r>
            <w:r>
              <w:rPr>
                <w:rFonts w:hint="default" w:ascii="Times New Roman" w:hAnsi="Times New Roman" w:cs="Times New Roman"/>
                <w:color w:val="auto"/>
                <w:sz w:val="24"/>
              </w:rPr>
              <mc:AlternateContent>
                <mc:Choice Requires="wps">
                  <w:drawing>
                    <wp:anchor distT="0" distB="0" distL="114300" distR="114300" simplePos="0" relativeHeight="251667456" behindDoc="0" locked="0" layoutInCell="1" allowOverlap="1">
                      <wp:simplePos x="0" y="0"/>
                      <wp:positionH relativeFrom="column">
                        <wp:posOffset>2768600</wp:posOffset>
                      </wp:positionH>
                      <wp:positionV relativeFrom="paragraph">
                        <wp:posOffset>214630</wp:posOffset>
                      </wp:positionV>
                      <wp:extent cx="269875" cy="9588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269875" cy="95885"/>
                              </a:xfrm>
                              <a:prstGeom prst="rect">
                                <a:avLst/>
                              </a:prstGeom>
                              <a:noFill/>
                              <a:ln>
                                <a:noFill/>
                              </a:ln>
                            </wps:spPr>
                            <wps:txbx>
                              <w:txbxContent>
                                <w:p w14:paraId="26EB1F7A">
                                  <w:pPr>
                                    <w:pStyle w:val="12"/>
                                    <w:spacing w:before="20" w:line="110" w:lineRule="exact"/>
                                    <w:jc w:val="right"/>
                                    <w:rPr>
                                      <w:sz w:val="33"/>
                                      <w:szCs w:val="33"/>
                                    </w:rPr>
                                  </w:pPr>
                                  <w:r>
                                    <w:rPr>
                                      <w:spacing w:val="-22"/>
                                      <w:w w:val="53"/>
                                      <w:position w:val="-3"/>
                                      <w:sz w:val="33"/>
                                      <w:szCs w:val="33"/>
                                    </w:rPr>
                                    <w:t xml:space="preserve">— </w:t>
                                  </w:r>
                                  <w:r>
                                    <w:rPr>
                                      <w:spacing w:val="-10"/>
                                      <w:w w:val="53"/>
                                      <w:position w:val="-3"/>
                                      <w:sz w:val="33"/>
                                      <w:szCs w:val="33"/>
                                    </w:rPr>
                                    <w:t>—</w:t>
                                  </w:r>
                                </w:p>
                              </w:txbxContent>
                            </wps:txbx>
                            <wps:bodyPr lIns="0" tIns="0" rIns="0" bIns="0" upright="1"/>
                          </wps:wsp>
                        </a:graphicData>
                      </a:graphic>
                    </wp:anchor>
                  </w:drawing>
                </mc:Choice>
                <mc:Fallback>
                  <w:pict>
                    <v:shape id="_x0000_s1026" o:spid="_x0000_s1026" o:spt="202" type="#_x0000_t202" style="position:absolute;left:0pt;margin-left:218pt;margin-top:16.9pt;height:7.55pt;width:21.25pt;z-index:251667456;mso-width-relative:page;mso-height-relative:page;" filled="f" stroked="f" coordsize="21600,21600" o:gfxdata="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zEOHm2QAAAAkBAAAPAAAAAAAAAAEAIAAAACIAAABkcnMvZG93bnJldi54bWxQSwEC&#10;FAAUAAAACACHTuJAQagARLoBAAByAwAADgAAAAAAAAABACAAAAAoAQAAZHJzL2Uyb0RvYy54bWxQ&#10;SwUGAAAAAAYABgBZAQAAVAUAAAAA&#10;">
                      <v:fill on="f" focussize="0,0"/>
                      <v:stroke on="f"/>
                      <v:imagedata o:title=""/>
                      <o:lock v:ext="edit" aspectratio="f"/>
                      <v:textbox inset="0mm,0mm,0mm,0mm">
                        <w:txbxContent>
                          <w:p w14:paraId="26EB1F7A">
                            <w:pPr>
                              <w:pStyle w:val="12"/>
                              <w:spacing w:before="20" w:line="110" w:lineRule="exact"/>
                              <w:jc w:val="right"/>
                              <w:rPr>
                                <w:sz w:val="33"/>
                                <w:szCs w:val="33"/>
                              </w:rPr>
                            </w:pPr>
                            <w:r>
                              <w:rPr>
                                <w:spacing w:val="-22"/>
                                <w:w w:val="53"/>
                                <w:position w:val="-3"/>
                                <w:sz w:val="33"/>
                                <w:szCs w:val="33"/>
                              </w:rPr>
                              <w:t xml:space="preserve">— </w:t>
                            </w:r>
                            <w:r>
                              <w:rPr>
                                <w:spacing w:val="-10"/>
                                <w:w w:val="53"/>
                                <w:position w:val="-3"/>
                                <w:sz w:val="33"/>
                                <w:szCs w:val="33"/>
                              </w:rPr>
                              <w:t>—</w:t>
                            </w:r>
                          </w:p>
                        </w:txbxContent>
                      </v:textbox>
                    </v:shape>
                  </w:pict>
                </mc:Fallback>
              </mc:AlternateContent>
            </w:r>
            <w:r>
              <w:rPr>
                <w:rFonts w:hint="default" w:ascii="Times New Roman" w:hAnsi="Times New Roman" w:cs="Times New Roman"/>
                <w:color w:val="auto"/>
                <w:sz w:val="24"/>
              </w:rPr>
              <w:t>西省水土保持条例》等相关规定，在开工前按程序办理水土保持相关手续，否则不得开工建设。</w:t>
            </w:r>
          </w:p>
          <w:p w14:paraId="10CA47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本项目位于</w:t>
            </w:r>
            <w:r>
              <w:rPr>
                <w:rFonts w:hint="eastAsia" w:ascii="Times New Roman" w:hAnsi="Times New Roman" w:cs="Times New Roman"/>
                <w:color w:val="auto"/>
                <w:sz w:val="24"/>
                <w:lang w:eastAsia="zh-CN"/>
              </w:rPr>
              <w:t>陕西省汉中市洋县磨子桥镇</w:t>
            </w:r>
            <w:r>
              <w:rPr>
                <w:rFonts w:hint="default" w:ascii="Times New Roman" w:hAnsi="Times New Roman" w:cs="Times New Roman"/>
                <w:color w:val="auto"/>
                <w:sz w:val="24"/>
              </w:rPr>
              <w:t>，根据</w:t>
            </w:r>
            <w:r>
              <w:rPr>
                <w:rFonts w:hint="eastAsia" w:ascii="Times New Roman" w:hAnsi="Times New Roman" w:cs="Times New Roman"/>
                <w:color w:val="auto"/>
                <w:sz w:val="24"/>
                <w:lang w:val="en-US" w:eastAsia="zh-CN"/>
              </w:rPr>
              <w:t>洋县人民政府</w:t>
            </w:r>
            <w:r>
              <w:rPr>
                <w:rFonts w:hint="default" w:ascii="Times New Roman" w:hAnsi="Times New Roman" w:cs="Times New Roman"/>
                <w:color w:val="auto"/>
                <w:sz w:val="24"/>
                <w:lang w:val="en-US" w:eastAsia="zh-CN"/>
              </w:rPr>
              <w:t>关于支持大唐洋县60MW光伏发电项目（一期）建设的说明，经核实，该项目用地属于国家允许建设光伏项目的场地、不占用耕地且不涉及生态红线等限制开发的区域。</w:t>
            </w:r>
          </w:p>
          <w:p w14:paraId="1FC7971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②污染影响</w:t>
            </w:r>
          </w:p>
          <w:p w14:paraId="5E6836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color w:val="auto"/>
                <w:sz w:val="24"/>
                <w:lang w:val="en-US" w:eastAsia="zh-CN"/>
              </w:rPr>
            </w:pPr>
            <w:r>
              <w:rPr>
                <w:rFonts w:hint="eastAsia" w:ascii="Times New Roman" w:hAnsi="Times New Roman" w:cs="Times New Roman"/>
                <w:color w:val="auto"/>
                <w:sz w:val="24"/>
                <w:lang w:val="en-US" w:eastAsia="zh-CN"/>
              </w:rPr>
              <w:t>项目光伏区域运营期污染物主要为光伏板清洗废水，箱变噪声，光伏板清洗过程不添加任何清洗剂，清洗后的水顺流而下至地面，自然蒸发，箱式变压器位于箱体内，且布置于远离居民位置，对周围环境影响不大</w:t>
            </w:r>
          </w:p>
          <w:p w14:paraId="54B5F4EB">
            <w:pPr>
              <w:pStyle w:val="2"/>
              <w:rPr>
                <w:rFonts w:hint="default" w:ascii="Times New Roman" w:hAnsi="Times New Roman" w:eastAsia="宋体" w:cs="Times New Roman"/>
                <w:color w:val="auto"/>
                <w:sz w:val="24"/>
                <w:szCs w:val="24"/>
              </w:rPr>
            </w:pPr>
          </w:p>
          <w:p w14:paraId="530DE910">
            <w:pPr>
              <w:pStyle w:val="3"/>
              <w:rPr>
                <w:rFonts w:hint="default" w:ascii="Times New Roman" w:hAnsi="Times New Roman" w:eastAsia="宋体" w:cs="Times New Roman"/>
                <w:color w:val="auto"/>
                <w:sz w:val="24"/>
                <w:szCs w:val="24"/>
              </w:rPr>
            </w:pPr>
          </w:p>
          <w:p w14:paraId="5565BE80">
            <w:pPr>
              <w:rPr>
                <w:rFonts w:hint="default" w:ascii="Times New Roman" w:hAnsi="Times New Roman" w:eastAsia="宋体" w:cs="Times New Roman"/>
                <w:color w:val="auto"/>
                <w:sz w:val="24"/>
                <w:szCs w:val="24"/>
              </w:rPr>
            </w:pPr>
          </w:p>
          <w:p w14:paraId="26617637">
            <w:pPr>
              <w:pStyle w:val="2"/>
              <w:rPr>
                <w:rFonts w:hint="default" w:ascii="Times New Roman" w:hAnsi="Times New Roman" w:eastAsia="宋体" w:cs="Times New Roman"/>
                <w:color w:val="auto"/>
                <w:sz w:val="24"/>
                <w:szCs w:val="24"/>
              </w:rPr>
            </w:pPr>
          </w:p>
          <w:p w14:paraId="0708893A">
            <w:pPr>
              <w:pStyle w:val="3"/>
              <w:rPr>
                <w:rFonts w:hint="default" w:ascii="Times New Roman" w:hAnsi="Times New Roman" w:eastAsia="宋体" w:cs="Times New Roman"/>
                <w:color w:val="auto"/>
                <w:sz w:val="24"/>
                <w:szCs w:val="24"/>
              </w:rPr>
            </w:pPr>
          </w:p>
          <w:p w14:paraId="31FB6AA9">
            <w:pPr>
              <w:rPr>
                <w:rFonts w:hint="default" w:ascii="Times New Roman" w:hAnsi="Times New Roman" w:eastAsia="宋体" w:cs="Times New Roman"/>
                <w:color w:val="auto"/>
                <w:sz w:val="24"/>
                <w:szCs w:val="24"/>
              </w:rPr>
            </w:pPr>
          </w:p>
          <w:p w14:paraId="3EDB65D7">
            <w:pPr>
              <w:pStyle w:val="2"/>
              <w:rPr>
                <w:rFonts w:hint="default" w:ascii="Times New Roman" w:hAnsi="Times New Roman" w:eastAsia="宋体" w:cs="Times New Roman"/>
                <w:color w:val="auto"/>
                <w:sz w:val="24"/>
                <w:szCs w:val="24"/>
              </w:rPr>
            </w:pPr>
          </w:p>
          <w:p w14:paraId="194E1D53">
            <w:pPr>
              <w:pStyle w:val="3"/>
              <w:rPr>
                <w:rFonts w:hint="default" w:ascii="Times New Roman" w:hAnsi="Times New Roman" w:eastAsia="宋体" w:cs="Times New Roman"/>
                <w:color w:val="auto"/>
                <w:sz w:val="24"/>
                <w:szCs w:val="24"/>
              </w:rPr>
            </w:pPr>
          </w:p>
          <w:p w14:paraId="4659F1DD">
            <w:pPr>
              <w:rPr>
                <w:rFonts w:hint="default" w:ascii="Times New Roman" w:hAnsi="Times New Roman" w:eastAsia="宋体" w:cs="Times New Roman"/>
                <w:color w:val="auto"/>
                <w:sz w:val="24"/>
                <w:szCs w:val="24"/>
              </w:rPr>
            </w:pPr>
          </w:p>
          <w:p w14:paraId="33AF8A49">
            <w:pPr>
              <w:pStyle w:val="2"/>
              <w:rPr>
                <w:rFonts w:hint="default" w:ascii="Times New Roman" w:hAnsi="Times New Roman" w:eastAsia="宋体" w:cs="Times New Roman"/>
                <w:color w:val="auto"/>
                <w:sz w:val="24"/>
                <w:szCs w:val="24"/>
              </w:rPr>
            </w:pPr>
          </w:p>
          <w:p w14:paraId="72A6793C">
            <w:pPr>
              <w:pStyle w:val="3"/>
              <w:rPr>
                <w:rFonts w:hint="default" w:ascii="Times New Roman" w:hAnsi="Times New Roman" w:eastAsia="宋体" w:cs="Times New Roman"/>
                <w:color w:val="auto"/>
                <w:sz w:val="24"/>
                <w:szCs w:val="24"/>
              </w:rPr>
            </w:pPr>
          </w:p>
          <w:p w14:paraId="21AF5F9D">
            <w:pPr>
              <w:pStyle w:val="2"/>
              <w:rPr>
                <w:rFonts w:hint="default"/>
                <w:color w:val="auto"/>
              </w:rPr>
            </w:pPr>
          </w:p>
          <w:p w14:paraId="6FC251E8">
            <w:pPr>
              <w:rPr>
                <w:rFonts w:hint="default" w:ascii="Times New Roman" w:hAnsi="Times New Roman" w:eastAsia="宋体" w:cs="Times New Roman"/>
                <w:color w:val="auto"/>
                <w:sz w:val="24"/>
                <w:szCs w:val="24"/>
              </w:rPr>
            </w:pPr>
          </w:p>
          <w:p w14:paraId="507BB181">
            <w:pPr>
              <w:rPr>
                <w:rFonts w:hint="default" w:ascii="Times New Roman" w:hAnsi="Times New Roman" w:eastAsia="宋体" w:cs="Times New Roman"/>
                <w:color w:val="auto"/>
                <w:sz w:val="24"/>
                <w:szCs w:val="24"/>
              </w:rPr>
            </w:pPr>
          </w:p>
          <w:p w14:paraId="1326B6CB">
            <w:pPr>
              <w:rPr>
                <w:rFonts w:hint="default" w:ascii="Times New Roman" w:hAnsi="Times New Roman" w:eastAsia="宋体" w:cs="Times New Roman"/>
                <w:color w:val="auto"/>
                <w:sz w:val="24"/>
                <w:szCs w:val="24"/>
              </w:rPr>
            </w:pPr>
          </w:p>
          <w:p w14:paraId="7AB6B3C2">
            <w:pPr>
              <w:rPr>
                <w:rFonts w:hint="default" w:ascii="Times New Roman" w:hAnsi="Times New Roman" w:eastAsia="宋体" w:cs="Times New Roman"/>
                <w:color w:val="auto"/>
                <w:sz w:val="24"/>
                <w:szCs w:val="24"/>
              </w:rPr>
            </w:pPr>
          </w:p>
          <w:p w14:paraId="588F6163">
            <w:pPr>
              <w:rPr>
                <w:rFonts w:hint="default" w:ascii="Times New Roman" w:hAnsi="Times New Roman" w:eastAsia="宋体" w:cs="Times New Roman"/>
                <w:color w:val="auto"/>
                <w:sz w:val="24"/>
                <w:szCs w:val="24"/>
              </w:rPr>
            </w:pPr>
          </w:p>
          <w:p w14:paraId="3418C68F">
            <w:pPr>
              <w:rPr>
                <w:rFonts w:hint="default" w:ascii="Times New Roman" w:hAnsi="Times New Roman" w:eastAsia="宋体" w:cs="Times New Roman"/>
                <w:color w:val="auto"/>
                <w:sz w:val="24"/>
                <w:szCs w:val="24"/>
              </w:rPr>
            </w:pPr>
          </w:p>
          <w:p w14:paraId="200A64A7">
            <w:pPr>
              <w:pStyle w:val="28"/>
              <w:rPr>
                <w:rFonts w:hint="default" w:ascii="Times New Roman" w:hAnsi="Times New Roman" w:eastAsia="宋体" w:cs="Times New Roman"/>
                <w:color w:val="auto"/>
                <w:sz w:val="24"/>
                <w:szCs w:val="24"/>
              </w:rPr>
            </w:pPr>
          </w:p>
          <w:p w14:paraId="24CB1DE6">
            <w:pPr>
              <w:rPr>
                <w:rFonts w:hint="default" w:ascii="Times New Roman" w:hAnsi="Times New Roman" w:eastAsia="宋体" w:cs="Times New Roman"/>
                <w:color w:val="auto"/>
                <w:sz w:val="24"/>
                <w:szCs w:val="24"/>
              </w:rPr>
            </w:pPr>
          </w:p>
          <w:p w14:paraId="0D6229DF">
            <w:pPr>
              <w:rPr>
                <w:rFonts w:hint="default" w:ascii="Times New Roman" w:hAnsi="Times New Roman" w:eastAsia="宋体" w:cs="Times New Roman"/>
                <w:color w:val="auto"/>
                <w:sz w:val="24"/>
                <w:szCs w:val="24"/>
              </w:rPr>
            </w:pPr>
          </w:p>
          <w:p w14:paraId="457FB51C">
            <w:pPr>
              <w:pStyle w:val="2"/>
              <w:rPr>
                <w:rFonts w:hint="default"/>
                <w:color w:val="auto"/>
              </w:rPr>
            </w:pPr>
          </w:p>
          <w:p w14:paraId="384AEF71">
            <w:pPr>
              <w:pStyle w:val="28"/>
              <w:rPr>
                <w:rFonts w:hint="default" w:ascii="Times New Roman" w:hAnsi="Times New Roman" w:eastAsia="宋体" w:cs="Times New Roman"/>
                <w:color w:val="auto"/>
                <w:sz w:val="24"/>
                <w:szCs w:val="24"/>
              </w:rPr>
            </w:pPr>
          </w:p>
          <w:p w14:paraId="14C05782">
            <w:pPr>
              <w:rPr>
                <w:rFonts w:hint="default" w:ascii="Times New Roman" w:hAnsi="Times New Roman" w:eastAsia="宋体" w:cs="Times New Roman"/>
                <w:color w:val="auto"/>
                <w:sz w:val="24"/>
                <w:szCs w:val="24"/>
              </w:rPr>
            </w:pPr>
          </w:p>
          <w:p w14:paraId="23911DC3">
            <w:pPr>
              <w:pStyle w:val="28"/>
              <w:rPr>
                <w:rFonts w:hint="default" w:ascii="Times New Roman" w:hAnsi="Times New Roman" w:eastAsia="宋体" w:cs="Times New Roman"/>
                <w:color w:val="auto"/>
                <w:sz w:val="24"/>
                <w:szCs w:val="24"/>
              </w:rPr>
            </w:pPr>
          </w:p>
          <w:p w14:paraId="5215126F">
            <w:pPr>
              <w:pStyle w:val="28"/>
              <w:rPr>
                <w:color w:val="auto"/>
              </w:rPr>
            </w:pPr>
          </w:p>
        </w:tc>
      </w:tr>
    </w:tbl>
    <w:p w14:paraId="54704FB1">
      <w:pPr>
        <w:pStyle w:val="21"/>
        <w:jc w:val="both"/>
        <w:rPr>
          <w:rFonts w:ascii="Times New Roman" w:hAnsi="Times New Roman" w:eastAsia="黑体"/>
          <w:snapToGrid w:val="0"/>
          <w:color w:val="auto"/>
          <w:sz w:val="36"/>
          <w:szCs w:val="36"/>
          <w:highlight w:val="none"/>
        </w:rPr>
        <w:sectPr>
          <w:footerReference r:id="rId6" w:type="default"/>
          <w:pgSz w:w="11906" w:h="16838"/>
          <w:pgMar w:top="1440" w:right="1800" w:bottom="1440" w:left="1800" w:header="851" w:footer="1077" w:gutter="0"/>
          <w:pgBorders>
            <w:top w:val="none" w:sz="0" w:space="0"/>
            <w:left w:val="none" w:sz="0" w:space="0"/>
            <w:bottom w:val="none" w:sz="0" w:space="0"/>
            <w:right w:val="none" w:sz="0" w:space="0"/>
          </w:pgBorders>
          <w:cols w:space="425" w:num="1"/>
          <w:docGrid w:linePitch="312" w:charSpace="0"/>
        </w:sectPr>
      </w:pPr>
    </w:p>
    <w:p w14:paraId="1060E29A">
      <w:pPr>
        <w:pStyle w:val="21"/>
        <w:adjustRightInd w:val="0"/>
        <w:snapToGrid w:val="0"/>
        <w:spacing w:before="0" w:beforeAutospacing="0" w:after="0" w:afterAutospacing="0" w:line="14" w:lineRule="auto"/>
        <w:jc w:val="center"/>
        <w:rPr>
          <w:rFonts w:ascii="Times New Roman" w:hAnsi="Times New Roman" w:eastAsia="黑体" w:cs="Times New Roman"/>
          <w:snapToGrid w:val="0"/>
          <w:color w:val="auto"/>
          <w:sz w:val="30"/>
          <w:szCs w:val="30"/>
          <w:highlight w:val="none"/>
        </w:rPr>
      </w:pPr>
    </w:p>
    <w:p w14:paraId="54941871">
      <w:pPr>
        <w:pStyle w:val="21"/>
        <w:jc w:val="center"/>
        <w:outlineLvl w:val="0"/>
        <w:rPr>
          <w:rFonts w:ascii="Times New Roman" w:hAnsi="Times New Roman" w:eastAsia="黑体" w:cs="Times New Roman"/>
          <w:snapToGrid w:val="0"/>
          <w:color w:val="auto"/>
          <w:sz w:val="30"/>
          <w:szCs w:val="30"/>
          <w:highlight w:val="none"/>
        </w:rPr>
      </w:pPr>
      <w:r>
        <w:rPr>
          <w:rFonts w:ascii="Times New Roman" w:hAnsi="Times New Roman" w:eastAsia="黑体" w:cs="Times New Roman"/>
          <w:snapToGrid w:val="0"/>
          <w:color w:val="auto"/>
          <w:sz w:val="30"/>
          <w:szCs w:val="30"/>
          <w:highlight w:val="none"/>
        </w:rPr>
        <w:t>五、主要生态环境保护措施</w:t>
      </w:r>
    </w:p>
    <w:tbl>
      <w:tblPr>
        <w:tblStyle w:val="24"/>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2"/>
        <w:gridCol w:w="8468"/>
      </w:tblGrid>
      <w:tr w14:paraId="605041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42" w:type="dxa"/>
            <w:noWrap w:val="0"/>
            <w:tcMar>
              <w:left w:w="28" w:type="dxa"/>
              <w:right w:w="28" w:type="dxa"/>
            </w:tcMar>
            <w:vAlign w:val="center"/>
          </w:tcPr>
          <w:p w14:paraId="41BF90AB">
            <w:pPr>
              <w:adjustRightInd w:val="0"/>
              <w:snapToGrid w:val="0"/>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pacing w:val="10"/>
                <w:kern w:val="2"/>
                <w:sz w:val="24"/>
                <w:szCs w:val="24"/>
                <w:highlight w:val="none"/>
                <w:lang w:val="en-US" w:eastAsia="zh-CN" w:bidi="ar-SA"/>
              </w:rPr>
              <w:t>施工期生态环境保护措施</w:t>
            </w:r>
          </w:p>
        </w:tc>
        <w:tc>
          <w:tcPr>
            <w:tcW w:w="8468" w:type="dxa"/>
            <w:noWrap w:val="0"/>
            <w:vAlign w:val="top"/>
          </w:tcPr>
          <w:p w14:paraId="57F4CD9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1</w:t>
            </w:r>
            <w:r>
              <w:rPr>
                <w:rFonts w:ascii="Times New Roman" w:hAnsi="Times New Roman" w:eastAsia="宋体" w:cs="Times New Roman"/>
                <w:b/>
                <w:bCs/>
                <w:color w:val="auto"/>
                <w:sz w:val="24"/>
                <w:szCs w:val="24"/>
                <w:highlight w:val="none"/>
              </w:rPr>
              <w:t>、生态保护措施及恢复方案</w:t>
            </w:r>
          </w:p>
          <w:p w14:paraId="0B7029AA">
            <w:pPr>
              <w:adjustRightInd w:val="0"/>
              <w:snapToGrid w:val="0"/>
              <w:spacing w:line="360" w:lineRule="auto"/>
              <w:ind w:firstLine="480" w:firstLineChars="200"/>
              <w:rPr>
                <w:rFonts w:hint="eastAsia" w:ascii="Times New Roman" w:hAnsi="Times New Roman" w:cs="Times New Roman"/>
                <w:color w:val="auto"/>
                <w:sz w:val="24"/>
                <w:lang w:eastAsia="zh-CN"/>
              </w:rPr>
            </w:pPr>
            <w:r>
              <w:rPr>
                <w:rFonts w:hint="eastAsia" w:ascii="Times New Roman" w:hAnsi="Times New Roman" w:cs="Times New Roman"/>
                <w:color w:val="auto"/>
                <w:sz w:val="24"/>
                <w:lang w:val="en-US" w:eastAsia="zh-CN"/>
              </w:rPr>
              <w:t xml:space="preserve">项目施工过程中，为保护生态环境，项目施工期应进行精密设计，尽量缩短工期，减小施工对周围地形地貌等环境的影响。项目具体采取以下工程生态保护措施： </w:t>
            </w:r>
          </w:p>
          <w:p w14:paraId="13788CFC">
            <w:pPr>
              <w:adjustRightInd w:val="0"/>
              <w:snapToGrid w:val="0"/>
              <w:spacing w:line="360" w:lineRule="auto"/>
              <w:ind w:firstLine="480" w:firstLineChars="200"/>
              <w:rPr>
                <w:rFonts w:hint="eastAsia" w:ascii="Times New Roman" w:hAnsi="Times New Roman" w:cs="Times New Roman"/>
                <w:color w:val="auto"/>
                <w:sz w:val="24"/>
                <w:lang w:eastAsia="zh-CN"/>
              </w:rPr>
            </w:pPr>
            <w:r>
              <w:rPr>
                <w:rFonts w:hint="eastAsia" w:ascii="Times New Roman" w:hAnsi="Times New Roman" w:cs="Times New Roman"/>
                <w:color w:val="auto"/>
                <w:sz w:val="24"/>
                <w:lang w:val="en-US" w:eastAsia="zh-CN"/>
              </w:rPr>
              <w:t xml:space="preserve">1、施工活动严格控制在征地范围内，尽可能减少对周围土地的破坏；考虑对进场道路与施工道路进行一次性规划，施工道路不再单独临时征用土地；道路尽可能在现有道路的基础上布置规划，尽量减少对土地的破坏、占用。 </w:t>
            </w:r>
          </w:p>
          <w:p w14:paraId="0F1F37DF">
            <w:pPr>
              <w:adjustRightInd w:val="0"/>
              <w:snapToGrid w:val="0"/>
              <w:spacing w:line="360" w:lineRule="auto"/>
              <w:ind w:firstLine="480" w:firstLineChars="200"/>
              <w:rPr>
                <w:rFonts w:hint="eastAsia" w:ascii="Times New Roman" w:hAnsi="Times New Roman" w:cs="Times New Roman"/>
                <w:color w:val="auto"/>
                <w:sz w:val="24"/>
                <w:lang w:eastAsia="zh-CN"/>
              </w:rPr>
            </w:pPr>
            <w:r>
              <w:rPr>
                <w:rFonts w:hint="eastAsia" w:ascii="Times New Roman" w:hAnsi="Times New Roman" w:cs="Times New Roman"/>
                <w:color w:val="auto"/>
                <w:sz w:val="24"/>
                <w:lang w:val="en-US" w:eastAsia="zh-CN"/>
              </w:rPr>
              <w:t xml:space="preserve">2、光伏阵列及电气设备必须严格按设计规划指定位置来放置，各施工机械和设备不得随意堆放，以便能有效地控制占地面积，更好地保护原地貌。 </w:t>
            </w:r>
          </w:p>
          <w:p w14:paraId="403D532E">
            <w:pPr>
              <w:adjustRightInd w:val="0"/>
              <w:snapToGrid w:val="0"/>
              <w:spacing w:line="360" w:lineRule="auto"/>
              <w:ind w:firstLine="480" w:firstLineChars="200"/>
              <w:rPr>
                <w:rFonts w:hint="eastAsia" w:ascii="Times New Roman" w:hAnsi="Times New Roman" w:cs="Times New Roman"/>
                <w:color w:val="auto"/>
                <w:sz w:val="24"/>
                <w:lang w:eastAsia="zh-CN"/>
              </w:rPr>
            </w:pPr>
            <w:r>
              <w:rPr>
                <w:rFonts w:hint="eastAsia" w:ascii="Times New Roman" w:hAnsi="Times New Roman" w:cs="Times New Roman"/>
                <w:color w:val="auto"/>
                <w:sz w:val="24"/>
                <w:lang w:val="en-US" w:eastAsia="zh-CN"/>
              </w:rPr>
              <w:t xml:space="preserve">3、施工优先采用环保型设备，在施工条件和环境允许的条件下，进行“绿 色”施工，可以有效降低扬尘及噪声排放强度，保证其达标排放。 </w:t>
            </w:r>
          </w:p>
          <w:p w14:paraId="4F7236FF">
            <w:pPr>
              <w:adjustRightInd w:val="0"/>
              <w:snapToGrid w:val="0"/>
              <w:spacing w:line="360" w:lineRule="auto"/>
              <w:ind w:firstLine="480" w:firstLineChars="200"/>
              <w:rPr>
                <w:rFonts w:hint="eastAsia" w:ascii="Times New Roman" w:hAnsi="Times New Roman" w:cs="Times New Roman"/>
                <w:color w:val="auto"/>
                <w:sz w:val="24"/>
                <w:lang w:eastAsia="zh-CN"/>
              </w:rPr>
            </w:pPr>
            <w:r>
              <w:rPr>
                <w:rFonts w:hint="eastAsia" w:ascii="Times New Roman" w:hAnsi="Times New Roman" w:cs="Times New Roman"/>
                <w:color w:val="auto"/>
                <w:sz w:val="24"/>
                <w:lang w:val="en-US" w:eastAsia="zh-CN"/>
              </w:rPr>
              <w:t xml:space="preserve">4、在施工过程中，做好表土的集中堆存和保护，并要求完工后及时利用原表土对施工造成的裸露面进行覆土。由于光伏电站未进行整体场平处理，支架基础和建筑物基础等开挖产生的土方量又很少且较为分散，故对产生的开挖土方量尽量进行就地摊平，不做弃渣外运处理，尽量减少车辆对场地的碾压，保护地表生态，降低土方施工费用。 </w:t>
            </w:r>
          </w:p>
          <w:p w14:paraId="3099A9DE">
            <w:pPr>
              <w:adjustRightInd w:val="0"/>
              <w:snapToGrid w:val="0"/>
              <w:spacing w:line="360" w:lineRule="auto"/>
              <w:ind w:firstLine="480" w:firstLineChars="200"/>
              <w:rPr>
                <w:rFonts w:hint="eastAsia" w:ascii="Times New Roman" w:hAnsi="Times New Roman" w:cs="Times New Roman"/>
                <w:color w:val="auto"/>
                <w:sz w:val="24"/>
                <w:lang w:eastAsia="zh-CN"/>
              </w:rPr>
            </w:pPr>
            <w:r>
              <w:rPr>
                <w:rFonts w:hint="eastAsia" w:ascii="Times New Roman" w:hAnsi="Times New Roman" w:cs="Times New Roman"/>
                <w:color w:val="auto"/>
                <w:sz w:val="24"/>
                <w:lang w:val="en-US" w:eastAsia="zh-CN"/>
              </w:rPr>
              <w:t xml:space="preserve">5、尽量减少大型机械施工，基坑开挖后，尽快浇筑混凝土，并及时回填，其表层进行碾压，缩短裸露时间，减少扬尘发生。 </w:t>
            </w:r>
          </w:p>
          <w:p w14:paraId="2ABBFE8D">
            <w:pPr>
              <w:adjustRightInd w:val="0"/>
              <w:snapToGrid w:val="0"/>
              <w:spacing w:line="360" w:lineRule="auto"/>
              <w:ind w:firstLine="480" w:firstLineChars="200"/>
              <w:rPr>
                <w:rFonts w:hint="eastAsia" w:ascii="Times New Roman" w:hAnsi="Times New Roman" w:cs="Times New Roman"/>
                <w:color w:val="auto"/>
                <w:sz w:val="24"/>
                <w:lang w:eastAsia="zh-CN"/>
              </w:rPr>
            </w:pPr>
            <w:r>
              <w:rPr>
                <w:rFonts w:hint="eastAsia" w:ascii="Times New Roman" w:hAnsi="Times New Roman" w:cs="Times New Roman"/>
                <w:color w:val="auto"/>
                <w:sz w:val="24"/>
                <w:lang w:val="en-US" w:eastAsia="zh-CN"/>
              </w:rPr>
              <w:t xml:space="preserve">6、电缆沟施工后应及时回填，并恢复原有地貌。 </w:t>
            </w:r>
          </w:p>
          <w:p w14:paraId="0A5D87A7">
            <w:pPr>
              <w:adjustRightInd w:val="0"/>
              <w:snapToGrid w:val="0"/>
              <w:spacing w:line="360" w:lineRule="auto"/>
              <w:ind w:firstLine="480" w:firstLineChars="200"/>
              <w:rPr>
                <w:rFonts w:hint="eastAsia" w:ascii="Times New Roman" w:hAnsi="Times New Roman" w:cs="Times New Roman"/>
                <w:color w:val="auto"/>
                <w:sz w:val="24"/>
                <w:lang w:eastAsia="zh-CN"/>
              </w:rPr>
            </w:pPr>
            <w:r>
              <w:rPr>
                <w:rFonts w:hint="eastAsia" w:ascii="Times New Roman" w:hAnsi="Times New Roman" w:cs="Times New Roman"/>
                <w:color w:val="auto"/>
                <w:sz w:val="24"/>
                <w:lang w:val="en-US" w:eastAsia="zh-CN"/>
              </w:rPr>
              <w:t xml:space="preserve">7、对项目施工剥离的表土表面种植草类，加培肥措施进行养护，工程上不使用，项目完成后再将种植土进行表土回填，整平、压实后进行农业生产，将最大限度地土壤恢复耕种条件，对土地耕作层不会造成影响。 </w:t>
            </w:r>
          </w:p>
          <w:p w14:paraId="6007D99D">
            <w:pPr>
              <w:adjustRightInd w:val="0"/>
              <w:snapToGrid w:val="0"/>
              <w:spacing w:line="360" w:lineRule="auto"/>
              <w:ind w:firstLine="480" w:firstLineChars="200"/>
              <w:rPr>
                <w:rFonts w:hint="eastAsia" w:ascii="Times New Roman" w:hAnsi="Times New Roman" w:cs="Times New Roman"/>
                <w:color w:val="auto"/>
                <w:sz w:val="24"/>
                <w:lang w:eastAsia="zh-CN"/>
              </w:rPr>
            </w:pPr>
            <w:r>
              <w:rPr>
                <w:rFonts w:hint="eastAsia" w:ascii="Times New Roman" w:hAnsi="Times New Roman" w:cs="Times New Roman"/>
                <w:color w:val="auto"/>
                <w:sz w:val="24"/>
                <w:lang w:val="en-US" w:eastAsia="zh-CN"/>
              </w:rPr>
              <w:t>8、工程施工过程中和施工结束后，应及时并严格按照本工程所提出的各种水土保持措施对各水土流失防治部位进行治理，防止新增水土流失；对于施工生产生活区等临时占地扰动区域，进行土地复垦。</w:t>
            </w:r>
          </w:p>
          <w:p w14:paraId="272F59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4"/>
                <w:szCs w:val="32"/>
                <w:highlight w:val="none"/>
                <w:lang w:val="en-US" w:eastAsia="zh-CN"/>
              </w:rPr>
            </w:pPr>
            <w:r>
              <w:rPr>
                <w:rFonts w:hint="eastAsia" w:ascii="Times New Roman" w:hAnsi="Times New Roman" w:eastAsia="宋体" w:cs="Times New Roman"/>
                <w:color w:val="auto"/>
                <w:sz w:val="24"/>
                <w:szCs w:val="24"/>
                <w:lang w:eastAsia="zh-CN"/>
              </w:rPr>
              <w:t>生态保护措施图见附图</w:t>
            </w:r>
            <w:r>
              <w:rPr>
                <w:rFonts w:hint="eastAsia" w:ascii="Times New Roman" w:hAnsi="Times New Roman" w:eastAsia="宋体" w:cs="Times New Roman"/>
                <w:color w:val="auto"/>
                <w:sz w:val="24"/>
                <w:szCs w:val="24"/>
                <w:lang w:val="en-US" w:eastAsia="zh-CN"/>
              </w:rPr>
              <w:t>9。</w:t>
            </w:r>
          </w:p>
          <w:p w14:paraId="0D67323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lang w:val="en-US" w:eastAsia="zh-CN"/>
              </w:rPr>
              <w:t>2</w:t>
            </w:r>
            <w:r>
              <w:rPr>
                <w:rFonts w:ascii="Times New Roman" w:hAnsi="Times New Roman" w:eastAsia="宋体" w:cs="Times New Roman"/>
                <w:b/>
                <w:bCs/>
                <w:color w:val="auto"/>
                <w:sz w:val="24"/>
                <w:szCs w:val="32"/>
                <w:highlight w:val="none"/>
              </w:rPr>
              <w:t>、环境空气污染防治措施</w:t>
            </w:r>
          </w:p>
          <w:p w14:paraId="071140F3">
            <w:pPr>
              <w:keepNext w:val="0"/>
              <w:keepLines w:val="0"/>
              <w:pageBreakBefore w:val="0"/>
              <w:widowControl w:val="0"/>
              <w:tabs>
                <w:tab w:val="decimal" w:pos="900"/>
              </w:tabs>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sz w:val="24"/>
                <w:szCs w:val="32"/>
                <w:highlight w:val="none"/>
              </w:rPr>
            </w:pPr>
            <w:r>
              <w:rPr>
                <w:rFonts w:ascii="Times New Roman" w:hAnsi="Times New Roman" w:eastAsia="宋体" w:cs="Times New Roman"/>
                <w:color w:val="auto"/>
                <w:sz w:val="24"/>
                <w:szCs w:val="32"/>
                <w:highlight w:val="none"/>
              </w:rPr>
              <w:t>（1）施工扬尘防治措施</w:t>
            </w:r>
          </w:p>
          <w:p w14:paraId="0988FBF9">
            <w:pPr>
              <w:keepNext w:val="0"/>
              <w:keepLines w:val="0"/>
              <w:pageBreakBefore w:val="0"/>
              <w:widowControl w:val="0"/>
              <w:tabs>
                <w:tab w:val="decimal" w:pos="900"/>
              </w:tabs>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sz w:val="24"/>
                <w:szCs w:val="32"/>
                <w:highlight w:val="none"/>
              </w:rPr>
            </w:pPr>
            <w:r>
              <w:rPr>
                <w:rFonts w:ascii="Times New Roman" w:hAnsi="Times New Roman" w:eastAsia="宋体" w:cs="Times New Roman"/>
                <w:color w:val="auto"/>
                <w:sz w:val="24"/>
                <w:szCs w:val="32"/>
                <w:highlight w:val="none"/>
              </w:rPr>
              <w:t>为了避免施工扬尘对区域空气环境质量产生影响，在施工中必须采取一定的措施减轻扬尘影响，应严格执行《陕西省大气污染防治条例》（201</w:t>
            </w:r>
            <w:r>
              <w:rPr>
                <w:rFonts w:hint="eastAsia" w:ascii="Times New Roman" w:hAnsi="Times New Roman" w:eastAsia="宋体" w:cs="Times New Roman"/>
                <w:color w:val="auto"/>
                <w:sz w:val="24"/>
                <w:szCs w:val="32"/>
                <w:highlight w:val="none"/>
                <w:lang w:val="en-US" w:eastAsia="zh-CN"/>
              </w:rPr>
              <w:t>9</w:t>
            </w:r>
            <w:r>
              <w:rPr>
                <w:rFonts w:ascii="Times New Roman" w:hAnsi="Times New Roman" w:eastAsia="宋体" w:cs="Times New Roman"/>
                <w:color w:val="auto"/>
                <w:sz w:val="24"/>
                <w:szCs w:val="32"/>
                <w:highlight w:val="none"/>
              </w:rPr>
              <w:t>年</w:t>
            </w:r>
            <w:r>
              <w:rPr>
                <w:rFonts w:hint="eastAsia" w:ascii="Times New Roman" w:hAnsi="Times New Roman" w:eastAsia="宋体" w:cs="Times New Roman"/>
                <w:color w:val="auto"/>
                <w:sz w:val="24"/>
                <w:szCs w:val="32"/>
                <w:highlight w:val="none"/>
                <w:lang w:eastAsia="zh-CN"/>
              </w:rPr>
              <w:t>修正</w:t>
            </w:r>
            <w:r>
              <w:rPr>
                <w:rFonts w:ascii="Times New Roman" w:hAnsi="Times New Roman" w:eastAsia="宋体" w:cs="Times New Roman"/>
                <w:color w:val="auto"/>
                <w:sz w:val="24"/>
                <w:szCs w:val="32"/>
                <w:highlight w:val="none"/>
              </w:rPr>
              <w:t>）、《汉中市</w:t>
            </w:r>
            <w:r>
              <w:rPr>
                <w:rFonts w:hint="eastAsia" w:ascii="Times New Roman" w:hAnsi="Times New Roman" w:eastAsia="宋体" w:cs="Times New Roman"/>
                <w:color w:val="auto"/>
                <w:sz w:val="24"/>
                <w:szCs w:val="32"/>
                <w:highlight w:val="none"/>
                <w:lang w:eastAsia="zh-CN"/>
              </w:rPr>
              <w:t>大气污染防治条例</w:t>
            </w:r>
            <w:r>
              <w:rPr>
                <w:rFonts w:ascii="Times New Roman" w:hAnsi="Times New Roman" w:eastAsia="宋体" w:cs="Times New Roman"/>
                <w:color w:val="auto"/>
                <w:sz w:val="24"/>
                <w:szCs w:val="32"/>
                <w:highlight w:val="none"/>
              </w:rPr>
              <w:t>》（20</w:t>
            </w:r>
            <w:r>
              <w:rPr>
                <w:rFonts w:hint="eastAsia" w:ascii="Times New Roman" w:hAnsi="Times New Roman" w:eastAsia="宋体" w:cs="Times New Roman"/>
                <w:color w:val="auto"/>
                <w:sz w:val="24"/>
                <w:szCs w:val="32"/>
                <w:highlight w:val="none"/>
                <w:lang w:val="en-US" w:eastAsia="zh-CN"/>
              </w:rPr>
              <w:t>20</w:t>
            </w:r>
            <w:r>
              <w:rPr>
                <w:rFonts w:ascii="Times New Roman" w:hAnsi="Times New Roman" w:eastAsia="宋体" w:cs="Times New Roman"/>
                <w:color w:val="auto"/>
                <w:sz w:val="24"/>
                <w:szCs w:val="32"/>
                <w:highlight w:val="none"/>
              </w:rPr>
              <w:t>.</w:t>
            </w:r>
            <w:r>
              <w:rPr>
                <w:rFonts w:hint="eastAsia" w:ascii="Times New Roman" w:hAnsi="Times New Roman" w:eastAsia="宋体" w:cs="Times New Roman"/>
                <w:color w:val="auto"/>
                <w:sz w:val="24"/>
                <w:szCs w:val="32"/>
                <w:highlight w:val="none"/>
                <w:lang w:val="en-US" w:eastAsia="zh-CN"/>
              </w:rPr>
              <w:t>8</w:t>
            </w:r>
            <w:r>
              <w:rPr>
                <w:rFonts w:ascii="Times New Roman" w:hAnsi="Times New Roman" w:eastAsia="宋体" w:cs="Times New Roman"/>
                <w:color w:val="auto"/>
                <w:sz w:val="24"/>
                <w:szCs w:val="32"/>
                <w:highlight w:val="none"/>
              </w:rPr>
              <w:t>.</w:t>
            </w:r>
            <w:r>
              <w:rPr>
                <w:rFonts w:hint="eastAsia" w:ascii="Times New Roman" w:hAnsi="Times New Roman" w:eastAsia="宋体" w:cs="Times New Roman"/>
                <w:color w:val="auto"/>
                <w:sz w:val="24"/>
                <w:szCs w:val="32"/>
                <w:highlight w:val="none"/>
                <w:lang w:val="en-US" w:eastAsia="zh-CN"/>
              </w:rPr>
              <w:t>1</w:t>
            </w:r>
            <w:r>
              <w:rPr>
                <w:rFonts w:ascii="Times New Roman" w:hAnsi="Times New Roman" w:eastAsia="宋体" w:cs="Times New Roman"/>
                <w:color w:val="auto"/>
                <w:sz w:val="24"/>
                <w:szCs w:val="32"/>
                <w:highlight w:val="none"/>
              </w:rPr>
              <w:t>）等文件的相关规定，且为保证施工场界满足《施工场界扬尘排放限值》（DB61/1078-2017）标准要求，施工废气污染防治要求如下：</w:t>
            </w:r>
          </w:p>
          <w:p w14:paraId="5268E54B">
            <w:pPr>
              <w:adjustRightInd w:val="0"/>
              <w:snapToGrid w:val="0"/>
              <w:spacing w:line="360"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eastAsia="zh-CN"/>
              </w:rPr>
              <w:t>①</w:t>
            </w:r>
            <w:r>
              <w:rPr>
                <w:rFonts w:hint="default" w:ascii="Times New Roman" w:hAnsi="Times New Roman" w:cs="Times New Roman"/>
                <w:color w:val="auto"/>
                <w:sz w:val="24"/>
              </w:rPr>
              <w:t>施工期间，在边界四周设置高度2.0米以上的围挡；</w:t>
            </w:r>
          </w:p>
          <w:p w14:paraId="34D211BA">
            <w:pPr>
              <w:adjustRightInd w:val="0"/>
              <w:snapToGrid w:val="0"/>
              <w:spacing w:line="360"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eastAsia="zh-CN"/>
              </w:rPr>
              <w:t>②</w:t>
            </w:r>
            <w:r>
              <w:rPr>
                <w:rFonts w:hint="default" w:ascii="Times New Roman" w:hAnsi="Times New Roman" w:cs="Times New Roman"/>
                <w:color w:val="auto"/>
                <w:sz w:val="24"/>
              </w:rPr>
              <w:t>对于在易起尘的土方工程作业时（如土方开挖、运输和填筑等），应辅以洒水抑尘，尽量缩短起尘操作时间。场地内挖出的土方需辅以洒水保证一定的含水率，及时回填，遇到四级或四级以上大风天气时，应停止土方作业，同时在作业处覆以防尘网。</w:t>
            </w:r>
          </w:p>
          <w:p w14:paraId="30FD6F4A">
            <w:pPr>
              <w:adjustRightInd w:val="0"/>
              <w:snapToGrid w:val="0"/>
              <w:spacing w:line="360"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eastAsia="zh-CN"/>
              </w:rPr>
              <w:t>③</w:t>
            </w:r>
            <w:r>
              <w:rPr>
                <w:rFonts w:hint="default" w:ascii="Times New Roman" w:hAnsi="Times New Roman" w:cs="Times New Roman"/>
                <w:color w:val="auto"/>
                <w:sz w:val="24"/>
              </w:rPr>
              <w:t>施工过程中产生的建筑垃圾应及时清运，且在清运过程中密闭运输。</w:t>
            </w:r>
          </w:p>
          <w:p w14:paraId="32305555">
            <w:pPr>
              <w:adjustRightInd w:val="0"/>
              <w:snapToGrid w:val="0"/>
              <w:spacing w:line="360"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④</w:t>
            </w:r>
            <w:r>
              <w:rPr>
                <w:rFonts w:hint="default" w:ascii="Times New Roman" w:hAnsi="Times New Roman" w:cs="Times New Roman"/>
                <w:color w:val="auto"/>
                <w:sz w:val="24"/>
              </w:rPr>
              <w:t>运输车辆尽可能采用密闭车斗，并保证物料不遗撒外漏。若无密闭车斗，物料、垃圾、渣土的装载高度不得超过车辆槽帮上沿，车斗必须用</w:t>
            </w:r>
            <w:r>
              <w:rPr>
                <w:rFonts w:hint="eastAsia" w:ascii="Times New Roman" w:hAnsi="Times New Roman" w:cs="Times New Roman"/>
                <w:color w:val="auto"/>
                <w:sz w:val="24"/>
                <w:lang w:eastAsia="zh-CN"/>
              </w:rPr>
              <w:t>篷布</w:t>
            </w:r>
            <w:r>
              <w:rPr>
                <w:rFonts w:hint="default" w:ascii="Times New Roman" w:hAnsi="Times New Roman" w:cs="Times New Roman"/>
                <w:color w:val="auto"/>
                <w:sz w:val="24"/>
              </w:rPr>
              <w:t>遮盖严实，保证物料、渣土、垃圾不露出。车辆应按照批准的路线和时间进行运输。如运输过程发生洒落现象，建设方应及时打扫清理。</w:t>
            </w:r>
          </w:p>
          <w:p w14:paraId="52DA28C8">
            <w:pPr>
              <w:adjustRightInd w:val="0"/>
              <w:snapToGrid w:val="0"/>
              <w:spacing w:line="360"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⑤</w:t>
            </w:r>
            <w:r>
              <w:rPr>
                <w:rFonts w:hint="default" w:ascii="Times New Roman" w:hAnsi="Times New Roman" w:cs="Times New Roman"/>
                <w:color w:val="auto"/>
                <w:sz w:val="24"/>
              </w:rPr>
              <w:t>对于工地内裸露地面，应及时种植植被绿化，不能绿化的应覆盖防尘布或防尘网。</w:t>
            </w:r>
          </w:p>
          <w:p w14:paraId="07561350">
            <w:pPr>
              <w:adjustRightInd w:val="0"/>
              <w:snapToGrid w:val="0"/>
              <w:spacing w:line="360"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⑥</w:t>
            </w:r>
            <w:r>
              <w:rPr>
                <w:rFonts w:hint="default" w:ascii="Times New Roman" w:hAnsi="Times New Roman" w:cs="Times New Roman"/>
                <w:color w:val="auto"/>
                <w:sz w:val="24"/>
              </w:rPr>
              <w:t>对于施工工地道路扬尘的清洁，可采用吸尘或洒水喷淋的方法进行施工工地道路清洁，不得在未实施洒水等抑尘措施情况下进行直接清扫。</w:t>
            </w:r>
          </w:p>
          <w:p w14:paraId="5540ABD7">
            <w:pPr>
              <w:adjustRightInd w:val="0"/>
              <w:snapToGrid w:val="0"/>
              <w:spacing w:line="360"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⑦</w:t>
            </w:r>
            <w:r>
              <w:rPr>
                <w:rFonts w:hint="default" w:ascii="Times New Roman" w:hAnsi="Times New Roman" w:cs="Times New Roman"/>
                <w:color w:val="auto"/>
                <w:sz w:val="24"/>
              </w:rPr>
              <w:t>加强施工队伍的管理，提高施工人员的环境意识，做到文明施工。</w:t>
            </w:r>
          </w:p>
          <w:p w14:paraId="28FB101B">
            <w:pPr>
              <w:adjustRightInd w:val="0"/>
              <w:snapToGrid w:val="0"/>
              <w:spacing w:line="360"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⑧</w:t>
            </w:r>
            <w:r>
              <w:rPr>
                <w:rFonts w:hint="default" w:ascii="Times New Roman" w:hAnsi="Times New Roman" w:cs="Times New Roman"/>
                <w:color w:val="auto"/>
                <w:sz w:val="24"/>
              </w:rPr>
              <w:t>严格执行“禁土令”。冬防期间，除市政抢修、抢险工程外的建筑、拆迁工地等一律停止出土、拆迁、倒土等土石方作业；渣土车、砂石车、商砼车按规定停止作业，禁止上路。</w:t>
            </w:r>
          </w:p>
          <w:p w14:paraId="351DE6D6">
            <w:pPr>
              <w:adjustRightInd w:val="0"/>
              <w:snapToGrid w:val="0"/>
              <w:spacing w:line="360" w:lineRule="auto"/>
              <w:ind w:firstLine="480" w:firstLineChars="200"/>
              <w:jc w:val="left"/>
              <w:rPr>
                <w:rFonts w:ascii="Times New Roman" w:hAnsi="Times New Roman" w:eastAsia="宋体" w:cs="Times New Roman"/>
                <w:color w:val="auto"/>
                <w:sz w:val="24"/>
                <w:szCs w:val="36"/>
                <w:highlight w:val="none"/>
              </w:rPr>
            </w:pPr>
            <w:r>
              <w:rPr>
                <w:rFonts w:ascii="Times New Roman" w:hAnsi="Times New Roman" w:eastAsia="宋体" w:cs="Times New Roman"/>
                <w:color w:val="auto"/>
                <w:sz w:val="24"/>
                <w:szCs w:val="36"/>
                <w:highlight w:val="none"/>
              </w:rPr>
              <w:t>（2）施工机械、车辆废气控制措施</w:t>
            </w:r>
          </w:p>
          <w:p w14:paraId="3067F49C">
            <w:pPr>
              <w:adjustRightInd w:val="0"/>
              <w:snapToGrid w:val="0"/>
              <w:spacing w:line="360" w:lineRule="auto"/>
              <w:ind w:firstLine="480" w:firstLineChars="200"/>
              <w:jc w:val="left"/>
              <w:rPr>
                <w:rFonts w:hint="default" w:ascii="Times New Roman" w:hAnsi="Times New Roman" w:eastAsia="宋体" w:cs="Times New Roman"/>
                <w:bCs/>
                <w:color w:val="auto"/>
                <w:sz w:val="24"/>
                <w:szCs w:val="36"/>
                <w:highlight w:val="none"/>
              </w:rPr>
            </w:pPr>
            <w:r>
              <w:rPr>
                <w:rFonts w:ascii="Times New Roman" w:hAnsi="Times New Roman" w:eastAsia="宋体" w:cs="Times New Roman"/>
                <w:bCs/>
                <w:color w:val="auto"/>
                <w:sz w:val="24"/>
                <w:szCs w:val="36"/>
                <w:highlight w:val="none"/>
              </w:rPr>
              <w:fldChar w:fldCharType="begin"/>
            </w:r>
            <w:r>
              <w:rPr>
                <w:rFonts w:ascii="Times New Roman" w:hAnsi="Times New Roman" w:eastAsia="宋体" w:cs="Times New Roman"/>
                <w:bCs/>
                <w:color w:val="auto"/>
                <w:sz w:val="24"/>
                <w:szCs w:val="36"/>
                <w:highlight w:val="none"/>
              </w:rPr>
              <w:instrText xml:space="preserve"> = 1 \* GB3 </w:instrText>
            </w:r>
            <w:r>
              <w:rPr>
                <w:rFonts w:ascii="Times New Roman" w:hAnsi="Times New Roman" w:eastAsia="宋体" w:cs="Times New Roman"/>
                <w:bCs/>
                <w:color w:val="auto"/>
                <w:sz w:val="24"/>
                <w:szCs w:val="36"/>
                <w:highlight w:val="none"/>
              </w:rPr>
              <w:fldChar w:fldCharType="separate"/>
            </w:r>
            <w:r>
              <w:rPr>
                <w:rFonts w:hint="eastAsia" w:ascii="宋体" w:hAnsi="宋体" w:eastAsia="宋体" w:cs="宋体"/>
                <w:bCs/>
                <w:color w:val="auto"/>
                <w:sz w:val="24"/>
                <w:szCs w:val="36"/>
                <w:highlight w:val="none"/>
              </w:rPr>
              <w:t>①</w:t>
            </w:r>
            <w:r>
              <w:rPr>
                <w:rFonts w:ascii="Times New Roman" w:hAnsi="Times New Roman" w:eastAsia="宋体" w:cs="Times New Roman"/>
                <w:bCs/>
                <w:color w:val="auto"/>
                <w:sz w:val="24"/>
                <w:szCs w:val="36"/>
                <w:highlight w:val="none"/>
              </w:rPr>
              <w:fldChar w:fldCharType="end"/>
            </w:r>
            <w:r>
              <w:rPr>
                <w:rFonts w:ascii="Times New Roman" w:hAnsi="Times New Roman" w:eastAsia="宋体" w:cs="Times New Roman"/>
                <w:bCs/>
                <w:color w:val="auto"/>
                <w:sz w:val="24"/>
                <w:szCs w:val="36"/>
                <w:highlight w:val="none"/>
              </w:rPr>
              <w:t>施工单位必须选用符合国家有关卫生标准的施工机械和运输工具，使其</w:t>
            </w:r>
            <w:r>
              <w:rPr>
                <w:rFonts w:hint="default" w:ascii="Times New Roman" w:hAnsi="Times New Roman" w:eastAsia="宋体" w:cs="Times New Roman"/>
                <w:bCs/>
                <w:color w:val="auto"/>
                <w:sz w:val="24"/>
                <w:szCs w:val="36"/>
                <w:highlight w:val="none"/>
              </w:rPr>
              <w:t>排放的废气符合环保有关标准。对于不符合排气标准的运输车辆和施工机械，需安装尾气净化器，降低废气排放量。</w:t>
            </w:r>
          </w:p>
          <w:p w14:paraId="7C11FBEF">
            <w:pPr>
              <w:adjustRightInd w:val="0"/>
              <w:snapToGrid w:val="0"/>
              <w:spacing w:line="360" w:lineRule="auto"/>
              <w:ind w:firstLine="480" w:firstLineChars="200"/>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Cs/>
                <w:color w:val="auto"/>
                <w:sz w:val="24"/>
                <w:szCs w:val="36"/>
                <w:highlight w:val="none"/>
              </w:rPr>
              <w:fldChar w:fldCharType="begin"/>
            </w:r>
            <w:r>
              <w:rPr>
                <w:rFonts w:hint="default" w:ascii="Times New Roman" w:hAnsi="Times New Roman" w:eastAsia="宋体" w:cs="Times New Roman"/>
                <w:bCs/>
                <w:color w:val="auto"/>
                <w:sz w:val="24"/>
                <w:szCs w:val="36"/>
                <w:highlight w:val="none"/>
              </w:rPr>
              <w:instrText xml:space="preserve"> = 2 \* GB3 </w:instrText>
            </w:r>
            <w:r>
              <w:rPr>
                <w:rFonts w:hint="default" w:ascii="Times New Roman" w:hAnsi="Times New Roman" w:eastAsia="宋体" w:cs="Times New Roman"/>
                <w:bCs/>
                <w:color w:val="auto"/>
                <w:sz w:val="24"/>
                <w:szCs w:val="36"/>
                <w:highlight w:val="none"/>
              </w:rPr>
              <w:fldChar w:fldCharType="separate"/>
            </w:r>
            <w:r>
              <w:rPr>
                <w:rFonts w:hint="default" w:ascii="Times New Roman" w:hAnsi="Times New Roman" w:eastAsia="宋体" w:cs="Times New Roman"/>
                <w:bCs/>
                <w:color w:val="auto"/>
                <w:sz w:val="24"/>
                <w:szCs w:val="36"/>
                <w:highlight w:val="none"/>
              </w:rPr>
              <w:t>②</w:t>
            </w:r>
            <w:r>
              <w:rPr>
                <w:rFonts w:hint="default" w:ascii="Times New Roman" w:hAnsi="Times New Roman" w:eastAsia="宋体" w:cs="Times New Roman"/>
                <w:bCs/>
                <w:color w:val="auto"/>
                <w:sz w:val="24"/>
                <w:szCs w:val="36"/>
                <w:highlight w:val="none"/>
              </w:rPr>
              <w:fldChar w:fldCharType="end"/>
            </w:r>
            <w:r>
              <w:rPr>
                <w:rFonts w:hint="default" w:ascii="Times New Roman" w:hAnsi="Times New Roman" w:eastAsia="宋体" w:cs="Times New Roman"/>
                <w:bCs/>
                <w:color w:val="auto"/>
                <w:sz w:val="24"/>
                <w:szCs w:val="36"/>
                <w:highlight w:val="none"/>
              </w:rPr>
              <w:t>施工现场应合理布置运输车辆行驶路线，配合有关部门搞好施工期间周围道路的交通组织，保证行驶速度，减少怠速时间，以减少机动车尾气的排放；加强对施工机械，运输车辆的维修保养，禁止施工机械超负荷工作和运输车辆超载；不得使用劣质燃料。</w:t>
            </w:r>
          </w:p>
          <w:p w14:paraId="60E9968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综上所述，采取以上措施后施工扬尘、</w:t>
            </w:r>
            <w:r>
              <w:rPr>
                <w:rFonts w:hint="eastAsia" w:ascii="Times New Roman" w:hAnsi="Times New Roman" w:eastAsia="宋体" w:cs="Times New Roman"/>
                <w:color w:val="auto"/>
                <w:sz w:val="24"/>
                <w:szCs w:val="24"/>
                <w:lang w:eastAsia="zh-CN"/>
              </w:rPr>
              <w:t>焊接烟尘、</w:t>
            </w:r>
            <w:r>
              <w:rPr>
                <w:rFonts w:hint="eastAsia" w:ascii="Times New Roman" w:hAnsi="Times New Roman" w:eastAsia="宋体" w:cs="Times New Roman"/>
                <w:color w:val="auto"/>
                <w:sz w:val="24"/>
                <w:szCs w:val="24"/>
                <w:lang w:val="en-US" w:eastAsia="zh-CN"/>
              </w:rPr>
              <w:t>拌合废气</w:t>
            </w:r>
            <w:r>
              <w:rPr>
                <w:rFonts w:hint="eastAsia" w:ascii="Times New Roman" w:hAnsi="Times New Roman" w:eastAsia="宋体" w:cs="Times New Roman"/>
                <w:color w:val="auto"/>
                <w:sz w:val="24"/>
                <w:szCs w:val="24"/>
                <w:lang w:eastAsia="zh-CN"/>
              </w:rPr>
              <w:t>和</w:t>
            </w:r>
            <w:r>
              <w:rPr>
                <w:rFonts w:hint="default" w:ascii="Times New Roman" w:hAnsi="Times New Roman" w:eastAsia="宋体" w:cs="Times New Roman"/>
                <w:color w:val="auto"/>
                <w:sz w:val="24"/>
                <w:szCs w:val="24"/>
              </w:rPr>
              <w:t>施工机械、车辆废气影响随施工结束而结束，对环境的影响可以接受。</w:t>
            </w:r>
          </w:p>
          <w:p w14:paraId="6426919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3</w:t>
            </w:r>
            <w:r>
              <w:rPr>
                <w:rFonts w:ascii="Times New Roman" w:hAnsi="Times New Roman" w:eastAsia="宋体" w:cs="Times New Roman"/>
                <w:b/>
                <w:bCs/>
                <w:color w:val="auto"/>
                <w:sz w:val="24"/>
                <w:szCs w:val="24"/>
                <w:highlight w:val="none"/>
              </w:rPr>
              <w:t>、废水污染防治措施</w:t>
            </w:r>
          </w:p>
          <w:p w14:paraId="213854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施工期废水主要为施工废水和生活污水。施工废水主要是机械设备及车辆冲洗废水等，主要污染物为悬浮物。生活污水来自施工人员日常生活污水。针对上述不同废水，采取如下防治措施：</w:t>
            </w:r>
          </w:p>
          <w:p w14:paraId="4964DD53">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施工废水：机械泥土清洗废水等其悬浮物含量大。施工期在施工区出入口设置洗车平台，并设沉淀池收集冲洗废水，悬浮物经沉淀处理后，循环利用，也可用于施工场地及道路的洒水防尘。施工期结束后，洗车平台拆除，沉淀池填平</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并进行植被恢复。</w:t>
            </w:r>
          </w:p>
          <w:p w14:paraId="680B266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bCs/>
                <w:color w:val="auto"/>
                <w:sz w:val="24"/>
                <w:szCs w:val="32"/>
                <w:highlight w:val="none"/>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生活污水：根据前文分析，施工期生活污水产生量为</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/d。施工期</w:t>
            </w:r>
            <w:r>
              <w:rPr>
                <w:rFonts w:hint="default" w:ascii="Times New Roman" w:hAnsi="Times New Roman" w:eastAsia="宋体" w:cs="Times New Roman"/>
                <w:color w:val="auto"/>
                <w:sz w:val="24"/>
                <w:szCs w:val="24"/>
                <w:highlight w:val="none"/>
              </w:rPr>
              <w:t>生活污水</w:t>
            </w:r>
            <w:r>
              <w:rPr>
                <w:rFonts w:hint="eastAsia" w:ascii="Times New Roman" w:hAnsi="Times New Roman" w:eastAsia="宋体" w:cs="Times New Roman"/>
                <w:color w:val="auto"/>
                <w:sz w:val="24"/>
                <w:szCs w:val="24"/>
                <w:highlight w:val="none"/>
                <w:lang w:val="en-US" w:eastAsia="zh-CN"/>
              </w:rPr>
              <w:t>洒水降尘、如厕依托周边民居环保厕所处置</w:t>
            </w:r>
            <w:r>
              <w:rPr>
                <w:rFonts w:hint="default" w:ascii="Times New Roman" w:hAnsi="Times New Roman" w:eastAsia="宋体" w:cs="Times New Roman"/>
                <w:color w:val="auto"/>
                <w:sz w:val="24"/>
                <w:szCs w:val="24"/>
                <w:highlight w:val="none"/>
              </w:rPr>
              <w:t>。</w:t>
            </w:r>
          </w:p>
          <w:p w14:paraId="5AABD5B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lang w:val="en-US" w:eastAsia="zh-CN"/>
              </w:rPr>
              <w:t>4</w:t>
            </w:r>
            <w:r>
              <w:rPr>
                <w:rFonts w:hint="default" w:ascii="Times New Roman" w:hAnsi="Times New Roman" w:eastAsia="宋体" w:cs="Times New Roman"/>
                <w:b/>
                <w:bCs/>
                <w:color w:val="auto"/>
                <w:sz w:val="24"/>
                <w:szCs w:val="32"/>
                <w:highlight w:val="none"/>
              </w:rPr>
              <w:t>、噪声防治措施</w:t>
            </w:r>
          </w:p>
          <w:p w14:paraId="78580CFF">
            <w:pPr>
              <w:adjustRightInd w:val="0"/>
              <w:snapToGrid w:val="0"/>
              <w:spacing w:line="360" w:lineRule="auto"/>
              <w:ind w:firstLine="480" w:firstLineChars="200"/>
              <w:rPr>
                <w:rFonts w:hint="default" w:ascii="Times New Roman" w:hAnsi="Times New Roman" w:eastAsia="宋体" w:cs="Times New Roman"/>
                <w:bCs/>
                <w:color w:val="auto"/>
                <w:sz w:val="24"/>
                <w:szCs w:val="32"/>
                <w:highlight w:val="none"/>
              </w:rPr>
            </w:pPr>
            <w:r>
              <w:rPr>
                <w:rFonts w:hint="default" w:ascii="Times New Roman" w:hAnsi="Times New Roman" w:eastAsia="宋体" w:cs="Times New Roman"/>
                <w:bCs/>
                <w:color w:val="auto"/>
                <w:sz w:val="24"/>
                <w:szCs w:val="32"/>
                <w:highlight w:val="none"/>
                <w:lang w:val="en-US" w:eastAsia="zh-CN"/>
              </w:rPr>
              <w:t>本项目声环境敏感目标主要为居民，为了降低施工期噪声对当地居民的影响，本项目采取的噪声污染防治措施如下所示：</w:t>
            </w:r>
          </w:p>
          <w:p w14:paraId="5C11D0F9">
            <w:pPr>
              <w:adjustRightInd w:val="0"/>
              <w:snapToGrid w:val="0"/>
              <w:spacing w:line="360" w:lineRule="auto"/>
              <w:ind w:firstLine="480" w:firstLineChars="200"/>
              <w:rPr>
                <w:rFonts w:hint="default" w:ascii="Times New Roman" w:hAnsi="Times New Roman" w:eastAsia="宋体" w:cs="Times New Roman"/>
                <w:bCs/>
                <w:color w:val="auto"/>
                <w:sz w:val="24"/>
                <w:szCs w:val="32"/>
                <w:highlight w:val="none"/>
              </w:rPr>
            </w:pPr>
            <w:r>
              <w:rPr>
                <w:rFonts w:hint="default" w:ascii="Times New Roman" w:hAnsi="Times New Roman" w:eastAsia="宋体" w:cs="Times New Roman"/>
                <w:bCs/>
                <w:color w:val="auto"/>
                <w:sz w:val="24"/>
                <w:szCs w:val="32"/>
                <w:highlight w:val="none"/>
                <w:lang w:val="en-US" w:eastAsia="zh-CN"/>
              </w:rPr>
              <w:t>1、工程应严格控制高噪声设备运行时间段，加强施工管理，合理安排施工作业时间，非特殊情况，避免夜间（22:00～6:00）施工作业，避免扰民。若夜间必须施工，要求建设单位办理相关手续，完善夜间施工证明申报、审核、时限及施工管理要求，并依法进行公示公告。</w:t>
            </w:r>
          </w:p>
          <w:p w14:paraId="6ABE2A19">
            <w:pPr>
              <w:adjustRightInd w:val="0"/>
              <w:snapToGrid w:val="0"/>
              <w:spacing w:line="360" w:lineRule="auto"/>
              <w:ind w:firstLine="480" w:firstLineChars="200"/>
              <w:rPr>
                <w:rFonts w:hint="default" w:ascii="Times New Roman" w:hAnsi="Times New Roman" w:eastAsia="宋体" w:cs="Times New Roman"/>
                <w:bCs/>
                <w:color w:val="auto"/>
                <w:sz w:val="24"/>
                <w:szCs w:val="32"/>
                <w:highlight w:val="none"/>
              </w:rPr>
            </w:pPr>
            <w:r>
              <w:rPr>
                <w:rFonts w:hint="default" w:ascii="Times New Roman" w:hAnsi="Times New Roman" w:eastAsia="宋体" w:cs="Times New Roman"/>
                <w:bCs/>
                <w:color w:val="auto"/>
                <w:sz w:val="24"/>
                <w:szCs w:val="32"/>
                <w:highlight w:val="none"/>
                <w:lang w:val="en-US" w:eastAsia="zh-CN"/>
              </w:rPr>
              <w:t>2、采取降噪措施：在施工设备的选型上尽量采用低噪声设备。</w:t>
            </w:r>
          </w:p>
          <w:p w14:paraId="78202570">
            <w:pPr>
              <w:adjustRightInd w:val="0"/>
              <w:snapToGrid w:val="0"/>
              <w:spacing w:line="360" w:lineRule="auto"/>
              <w:ind w:firstLine="480" w:firstLineChars="200"/>
              <w:rPr>
                <w:rFonts w:hint="default" w:ascii="Times New Roman" w:hAnsi="Times New Roman" w:eastAsia="宋体" w:cs="Times New Roman"/>
                <w:bCs/>
                <w:color w:val="auto"/>
                <w:sz w:val="24"/>
                <w:szCs w:val="32"/>
                <w:highlight w:val="none"/>
              </w:rPr>
            </w:pPr>
            <w:r>
              <w:rPr>
                <w:rFonts w:hint="default" w:ascii="Times New Roman" w:hAnsi="Times New Roman" w:eastAsia="宋体" w:cs="Times New Roman"/>
                <w:bCs/>
                <w:color w:val="auto"/>
                <w:sz w:val="24"/>
                <w:szCs w:val="32"/>
                <w:highlight w:val="none"/>
                <w:lang w:val="en-US" w:eastAsia="zh-CN"/>
              </w:rPr>
              <w:t>3、降低人为噪声影响：按操作规范操作机械设备，减少碰撞噪声；对工人进行环保方面指导。在装卸进程中，禁止野蛮作业，减少作业噪声，规范物料进出车辆进出场地高速行驶、鸣笛等。</w:t>
            </w:r>
          </w:p>
          <w:p w14:paraId="78CACF43">
            <w:pPr>
              <w:adjustRightInd w:val="0"/>
              <w:snapToGrid w:val="0"/>
              <w:spacing w:line="360" w:lineRule="auto"/>
              <w:ind w:firstLine="480" w:firstLineChars="200"/>
              <w:rPr>
                <w:rFonts w:hint="default" w:ascii="Times New Roman" w:hAnsi="Times New Roman" w:eastAsia="宋体" w:cs="Times New Roman"/>
                <w:bCs/>
                <w:color w:val="auto"/>
                <w:sz w:val="24"/>
                <w:szCs w:val="32"/>
                <w:highlight w:val="none"/>
              </w:rPr>
            </w:pPr>
            <w:r>
              <w:rPr>
                <w:rFonts w:hint="default" w:ascii="Times New Roman" w:hAnsi="Times New Roman" w:eastAsia="宋体" w:cs="Times New Roman"/>
                <w:bCs/>
                <w:color w:val="auto"/>
                <w:sz w:val="24"/>
                <w:szCs w:val="32"/>
                <w:highlight w:val="none"/>
                <w:lang w:val="en-US" w:eastAsia="zh-CN"/>
              </w:rPr>
              <w:t>4、施工前及时做好沟通工作，工人做到文明施工，绿色施工，合理调配车辆来往行车密度，规范物料车辆进出场地，减速行驶等；</w:t>
            </w:r>
          </w:p>
          <w:p w14:paraId="2092AB8A">
            <w:pPr>
              <w:adjustRightInd w:val="0"/>
              <w:snapToGrid w:val="0"/>
              <w:spacing w:line="360" w:lineRule="auto"/>
              <w:ind w:firstLine="480" w:firstLineChars="200"/>
              <w:rPr>
                <w:rFonts w:hint="default" w:ascii="Times New Roman" w:hAnsi="Times New Roman" w:eastAsia="宋体" w:cs="Times New Roman"/>
                <w:bCs/>
                <w:color w:val="auto"/>
                <w:sz w:val="24"/>
                <w:szCs w:val="32"/>
                <w:highlight w:val="none"/>
              </w:rPr>
            </w:pPr>
            <w:r>
              <w:rPr>
                <w:rFonts w:hint="default" w:ascii="Times New Roman" w:hAnsi="Times New Roman" w:eastAsia="宋体" w:cs="Times New Roman"/>
                <w:bCs/>
                <w:color w:val="auto"/>
                <w:sz w:val="24"/>
                <w:szCs w:val="32"/>
                <w:highlight w:val="none"/>
                <w:lang w:val="en-US" w:eastAsia="zh-CN"/>
              </w:rPr>
              <w:t>5、合理安排强噪声施工机械的工作频次，合理调配车辆来往行车密度。</w:t>
            </w:r>
          </w:p>
          <w:p w14:paraId="1C386862">
            <w:pPr>
              <w:adjustRightInd w:val="0"/>
              <w:snapToGrid w:val="0"/>
              <w:spacing w:line="360" w:lineRule="auto"/>
              <w:ind w:firstLine="480" w:firstLineChars="200"/>
              <w:rPr>
                <w:rFonts w:hint="default"/>
                <w:color w:val="auto"/>
              </w:rPr>
            </w:pPr>
            <w:r>
              <w:rPr>
                <w:rFonts w:hint="default" w:ascii="Times New Roman" w:hAnsi="Times New Roman" w:eastAsia="宋体" w:cs="Times New Roman"/>
                <w:bCs/>
                <w:color w:val="auto"/>
                <w:sz w:val="24"/>
                <w:szCs w:val="32"/>
                <w:highlight w:val="none"/>
                <w:lang w:val="en-US" w:eastAsia="zh-CN"/>
              </w:rPr>
              <w:t>综上，在做好沟通工作，合理安排施工时段，缩短施工周期的前提下，施工噪声影响可得到有效控制。在采取评价提出的以上措施后，施工噪声对当地居民生活环境的影响将会减小到最小</w:t>
            </w:r>
            <w:r>
              <w:rPr>
                <w:rFonts w:hint="eastAsia" w:ascii="Times New Roman" w:hAnsi="Times New Roman" w:eastAsia="宋体" w:cs="Times New Roman"/>
                <w:bCs/>
                <w:color w:val="auto"/>
                <w:sz w:val="24"/>
                <w:szCs w:val="32"/>
                <w:highlight w:val="none"/>
                <w:lang w:val="en-US" w:eastAsia="zh-CN"/>
              </w:rPr>
              <w:t>。</w:t>
            </w:r>
          </w:p>
          <w:p w14:paraId="1D58603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5</w:t>
            </w:r>
            <w:r>
              <w:rPr>
                <w:rFonts w:ascii="Times New Roman" w:hAnsi="Times New Roman" w:eastAsia="宋体" w:cs="Times New Roman"/>
                <w:b/>
                <w:bCs/>
                <w:color w:val="auto"/>
                <w:sz w:val="24"/>
                <w:szCs w:val="24"/>
                <w:highlight w:val="none"/>
              </w:rPr>
              <w:t>、固体废物处置措施要求</w:t>
            </w:r>
          </w:p>
          <w:p w14:paraId="521F2A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施工期产生的固废主要为生活垃圾、建筑垃圾与设备安装过程中损坏的材料或组件。</w:t>
            </w:r>
          </w:p>
          <w:p w14:paraId="49C18BC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1</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生活垃圾：施工期生活垃圾主要为纸屑、烟盒、塑料袋等，在施工场地设垃圾桶对生活统一收集后，送至</w:t>
            </w:r>
            <w:r>
              <w:rPr>
                <w:rFonts w:hint="eastAsia" w:ascii="Times New Roman" w:hAnsi="Times New Roman" w:eastAsia="宋体" w:cs="Times New Roman"/>
                <w:color w:val="auto"/>
                <w:kern w:val="0"/>
                <w:sz w:val="24"/>
                <w:szCs w:val="24"/>
                <w:lang w:eastAsia="zh-CN"/>
              </w:rPr>
              <w:t>附近</w:t>
            </w:r>
            <w:r>
              <w:rPr>
                <w:rFonts w:hint="default" w:ascii="Times New Roman" w:hAnsi="Times New Roman" w:eastAsia="宋体" w:cs="Times New Roman"/>
                <w:color w:val="auto"/>
                <w:kern w:val="0"/>
                <w:sz w:val="24"/>
                <w:szCs w:val="24"/>
              </w:rPr>
              <w:t>垃圾收集点，交由环卫部门统一处置。</w:t>
            </w:r>
          </w:p>
          <w:p w14:paraId="0D62E6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rPr>
            </w:pP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2</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建筑垃圾：根据前文分析，本项目施工期无弃方产生，建筑垃圾主要为废弃建材，以及现场清理的砖石等，对于建筑垃圾，</w:t>
            </w:r>
            <w:r>
              <w:rPr>
                <w:rFonts w:hint="default" w:ascii="Times New Roman" w:hAnsi="Times New Roman" w:eastAsia="宋体" w:cs="Times New Roman"/>
                <w:bCs/>
                <w:color w:val="auto"/>
                <w:sz w:val="24"/>
                <w:szCs w:val="24"/>
              </w:rPr>
              <w:t>可回用的进行综合利用或外售回收单位，不能回用的需及时收集后运往指定的建筑垃圾填埋场处置。</w:t>
            </w:r>
          </w:p>
          <w:p w14:paraId="7177DF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3</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光伏板废弃包装材料和少量废弃钢筋边角料可外售废品回收单位；</w:t>
            </w:r>
            <w:r>
              <w:rPr>
                <w:rFonts w:hint="default" w:ascii="Times New Roman" w:hAnsi="Times New Roman" w:eastAsia="宋体" w:cs="Times New Roman"/>
                <w:color w:val="auto"/>
                <w:sz w:val="24"/>
                <w:szCs w:val="24"/>
              </w:rPr>
              <w:t>损坏的材料或组件由</w:t>
            </w:r>
            <w:r>
              <w:rPr>
                <w:rFonts w:hint="eastAsia" w:ascii="Times New Roman" w:hAnsi="Times New Roman" w:eastAsia="宋体" w:cs="Times New Roman"/>
                <w:color w:val="auto"/>
                <w:sz w:val="24"/>
                <w:szCs w:val="24"/>
                <w:lang w:val="en-US" w:eastAsia="zh-CN"/>
              </w:rPr>
              <w:t>专业回收</w:t>
            </w:r>
            <w:r>
              <w:rPr>
                <w:rFonts w:hint="default" w:ascii="Times New Roman" w:hAnsi="Times New Roman" w:eastAsia="宋体" w:cs="Times New Roman"/>
                <w:color w:val="auto"/>
                <w:sz w:val="24"/>
                <w:szCs w:val="24"/>
                <w:lang w:eastAsia="zh-CN"/>
              </w:rPr>
              <w:t>单位回收</w:t>
            </w:r>
            <w:r>
              <w:rPr>
                <w:rFonts w:hint="default" w:ascii="Times New Roman" w:hAnsi="Times New Roman" w:eastAsia="宋体" w:cs="Times New Roman"/>
                <w:color w:val="auto"/>
                <w:sz w:val="24"/>
                <w:szCs w:val="24"/>
              </w:rPr>
              <w:t>处置。</w:t>
            </w:r>
          </w:p>
          <w:p w14:paraId="732020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pacing w:val="10"/>
                <w:szCs w:val="21"/>
                <w:highlight w:val="none"/>
                <w:lang w:eastAsia="zh-CN"/>
              </w:rPr>
            </w:pPr>
            <w:r>
              <w:rPr>
                <w:rFonts w:hint="default" w:ascii="Times New Roman" w:hAnsi="Times New Roman" w:eastAsia="宋体" w:cs="Times New Roman"/>
                <w:color w:val="auto"/>
                <w:kern w:val="0"/>
                <w:sz w:val="24"/>
                <w:szCs w:val="24"/>
              </w:rPr>
              <w:t>因此，施工期固体废物均能够得到妥善处置，施工期固体废物不会对环境产生明显影响。</w:t>
            </w:r>
          </w:p>
        </w:tc>
      </w:tr>
      <w:tr w14:paraId="72D4B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2" w:type="dxa"/>
            <w:noWrap w:val="0"/>
            <w:tcMar>
              <w:left w:w="28" w:type="dxa"/>
              <w:right w:w="28" w:type="dxa"/>
            </w:tcMar>
            <w:vAlign w:val="center"/>
          </w:tcPr>
          <w:p w14:paraId="6940345C">
            <w:pPr>
              <w:adjustRightInd w:val="0"/>
              <w:snapToGrid w:val="0"/>
              <w:jc w:val="center"/>
              <w:rPr>
                <w:rFonts w:ascii="Times New Roman" w:hAnsi="Times New Roman" w:eastAsia="宋体" w:cs="Times New Roman"/>
                <w:bCs/>
                <w:color w:val="auto"/>
                <w:spacing w:val="10"/>
                <w:sz w:val="24"/>
                <w:szCs w:val="24"/>
                <w:highlight w:val="none"/>
              </w:rPr>
            </w:pPr>
            <w:r>
              <w:rPr>
                <w:rFonts w:ascii="Times New Roman" w:hAnsi="Times New Roman" w:eastAsia="宋体" w:cs="Times New Roman"/>
                <w:bCs/>
                <w:color w:val="auto"/>
                <w:spacing w:val="10"/>
                <w:sz w:val="24"/>
                <w:szCs w:val="24"/>
                <w:highlight w:val="none"/>
              </w:rPr>
              <w:t>运营期生态环境保护措施</w:t>
            </w:r>
          </w:p>
        </w:tc>
        <w:tc>
          <w:tcPr>
            <w:tcW w:w="8468" w:type="dxa"/>
            <w:noWrap w:val="0"/>
            <w:vAlign w:val="center"/>
          </w:tcPr>
          <w:p w14:paraId="7A643A0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生态保护措施及恢复方案</w:t>
            </w:r>
          </w:p>
          <w:p w14:paraId="285360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本项目运营期采取的生态保护措施如下所示：</w:t>
            </w:r>
          </w:p>
          <w:p w14:paraId="6EAE4C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rPr>
              <w:t>1</w:t>
            </w:r>
            <w:r>
              <w:rPr>
                <w:rFonts w:hint="eastAsia" w:ascii="Times New Roman" w:hAnsi="Times New Roman" w:eastAsia="宋体" w:cs="Times New Roman"/>
                <w:color w:val="auto"/>
                <w:kern w:val="0"/>
                <w:sz w:val="24"/>
                <w:szCs w:val="24"/>
                <w:lang w:val="en-US" w:eastAsia="zh-CN"/>
              </w:rPr>
              <w:t>、项目建成后，应及时对施工运输机械碾压过的土地进行恢复，光伏阵列区在保护原有植被的前提下，实施植被恢复方案；对于少量不能进行植被恢复的区域，进行平整压实，以减轻水土流失。本项目生产区应根据水保方案布设截洪沟，避免在暴雨天气下形成地表径流，造成水土流失。</w:t>
            </w:r>
          </w:p>
          <w:p w14:paraId="03E790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rPr>
              <w:t>2</w:t>
            </w:r>
            <w:r>
              <w:rPr>
                <w:rFonts w:hint="eastAsia" w:ascii="Times New Roman" w:hAnsi="Times New Roman" w:eastAsia="宋体" w:cs="Times New Roman"/>
                <w:color w:val="auto"/>
                <w:kern w:val="0"/>
                <w:sz w:val="24"/>
                <w:szCs w:val="24"/>
                <w:lang w:val="en-US" w:eastAsia="zh-CN"/>
              </w:rPr>
              <w:t>、运营期光伏阵列具有遮阴的作用，为弥补地表植被损失，并考虑到电池板下太阳阴影影响，应实施植被恢复方案，在原有植被基础上，在太阳能电池板遮挡较严重地区，种植饲料牧草、受光照制约较小的草本植物，提高植被覆盖率，改善当地生态环境，起到防风固沙、水土保持的作用。采取以上措施后对当地的植被影响很小。</w:t>
            </w:r>
          </w:p>
          <w:p w14:paraId="6AA17E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建设单位在认真落实本报告提出的环境保护措施后，可达到生态保护及恢复的效果。同时本项目作为太阳能发电工程可有力推动当地工业和社会经济发展。</w:t>
            </w:r>
          </w:p>
          <w:p w14:paraId="6C1255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因此，从生态环境保护的角度，本项目的建设是可行的。</w:t>
            </w:r>
          </w:p>
          <w:p w14:paraId="45700019">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光污染</w:t>
            </w:r>
            <w:r>
              <w:rPr>
                <w:rFonts w:hint="eastAsia" w:ascii="Times New Roman" w:hAnsi="Times New Roman" w:eastAsia="宋体" w:cs="Times New Roman"/>
                <w:b/>
                <w:bCs/>
                <w:color w:val="auto"/>
                <w:sz w:val="24"/>
                <w:szCs w:val="24"/>
                <w:lang w:val="en-US" w:eastAsia="zh-CN"/>
              </w:rPr>
              <w:t>防治措施</w:t>
            </w:r>
          </w:p>
          <w:p w14:paraId="295FD6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eastAsia="zh-CN"/>
              </w:rPr>
            </w:pPr>
            <w:r>
              <w:rPr>
                <w:rFonts w:hint="eastAsia" w:ascii="Times New Roman" w:hAnsi="Times New Roman" w:eastAsia="宋体" w:cs="Times New Roman"/>
                <w:color w:val="auto"/>
                <w:kern w:val="2"/>
                <w:sz w:val="24"/>
                <w:szCs w:val="24"/>
                <w:lang w:val="en-US" w:eastAsia="zh-CN"/>
              </w:rPr>
              <w:t>工程拟采取的光污染防治措施如下：</w:t>
            </w:r>
          </w:p>
          <w:p w14:paraId="1F43BD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eastAsia="zh-CN"/>
              </w:rPr>
            </w:pPr>
            <w:r>
              <w:rPr>
                <w:rFonts w:hint="eastAsia" w:ascii="Times New Roman" w:hAnsi="Times New Roman" w:eastAsia="宋体" w:cs="Times New Roman"/>
                <w:color w:val="auto"/>
                <w:kern w:val="2"/>
                <w:sz w:val="24"/>
                <w:szCs w:val="24"/>
                <w:lang w:val="en-US" w:eastAsia="zh-CN"/>
              </w:rPr>
              <w:t>1、对光伏电池表面采取抗反射技术。比如：在光伏电板前表面增加双层或多层薄膜状抗反射涂层；人为的在电池板表面制造出一种合适的微结构或纳米结构来提高太阳光有效光谱的透射率，减少光伏电板表面的光反射率。</w:t>
            </w:r>
          </w:p>
          <w:p w14:paraId="54113C3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eastAsia="zh-CN"/>
              </w:rPr>
            </w:pPr>
            <w:r>
              <w:rPr>
                <w:rFonts w:hint="eastAsia" w:ascii="Times New Roman" w:hAnsi="Times New Roman" w:eastAsia="宋体" w:cs="Times New Roman"/>
                <w:color w:val="auto"/>
                <w:kern w:val="2"/>
                <w:sz w:val="24"/>
                <w:szCs w:val="24"/>
                <w:lang w:val="en-US" w:eastAsia="zh-CN"/>
              </w:rPr>
              <w:t>2、在临近反射方向村民侧种植绿化带，隔离光影影响。</w:t>
            </w:r>
          </w:p>
          <w:p w14:paraId="03B3CD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eastAsia="zh-CN"/>
              </w:rPr>
            </w:pPr>
            <w:r>
              <w:rPr>
                <w:rFonts w:hint="eastAsia" w:ascii="Times New Roman" w:hAnsi="Times New Roman" w:eastAsia="宋体" w:cs="Times New Roman"/>
                <w:color w:val="auto"/>
                <w:kern w:val="2"/>
                <w:sz w:val="24"/>
                <w:szCs w:val="24"/>
                <w:lang w:val="en-US" w:eastAsia="zh-CN"/>
              </w:rPr>
              <w:t>3、在可能有影响的路段设置警示牌，提醒驾驶人员减速慢行。</w:t>
            </w:r>
          </w:p>
          <w:p w14:paraId="17CEDC3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大气环境</w:t>
            </w:r>
            <w:r>
              <w:rPr>
                <w:rFonts w:hint="default" w:ascii="Times New Roman" w:hAnsi="Times New Roman" w:eastAsia="宋体" w:cs="Times New Roman"/>
                <w:b/>
                <w:bCs/>
                <w:color w:val="auto"/>
                <w:sz w:val="24"/>
                <w:szCs w:val="24"/>
              </w:rPr>
              <w:t>影响</w:t>
            </w:r>
            <w:r>
              <w:rPr>
                <w:rFonts w:hint="eastAsia" w:ascii="Times New Roman" w:hAnsi="Times New Roman" w:eastAsia="宋体" w:cs="Times New Roman"/>
                <w:b/>
                <w:bCs/>
                <w:color w:val="auto"/>
                <w:sz w:val="24"/>
                <w:szCs w:val="24"/>
                <w:lang w:eastAsia="zh-CN"/>
              </w:rPr>
              <w:t>防治措施</w:t>
            </w:r>
          </w:p>
          <w:p w14:paraId="4F93358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color w:val="auto"/>
              </w:rPr>
            </w:pPr>
            <w:r>
              <w:rPr>
                <w:rFonts w:hint="default" w:ascii="Times New Roman" w:hAnsi="Times New Roman" w:eastAsia="宋体" w:cs="Times New Roman"/>
                <w:bCs/>
                <w:color w:val="auto"/>
                <w:sz w:val="24"/>
                <w:szCs w:val="24"/>
                <w:lang w:val="en-US" w:eastAsia="zh-CN"/>
              </w:rPr>
              <w:t>本项目运营期光伏区没有大气污染物产生</w:t>
            </w:r>
            <w:r>
              <w:rPr>
                <w:rFonts w:hint="default" w:ascii="Times New Roman" w:hAnsi="Times New Roman" w:eastAsia="宋体" w:cs="Times New Roman"/>
                <w:bCs/>
                <w:color w:val="auto"/>
                <w:sz w:val="24"/>
                <w:szCs w:val="24"/>
              </w:rPr>
              <w:t>。</w:t>
            </w:r>
          </w:p>
          <w:p w14:paraId="5EE356A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4、水</w:t>
            </w:r>
            <w:r>
              <w:rPr>
                <w:rFonts w:hint="default" w:ascii="Times New Roman" w:hAnsi="Times New Roman" w:eastAsia="宋体" w:cs="Times New Roman"/>
                <w:b/>
                <w:bCs/>
                <w:color w:val="auto"/>
                <w:sz w:val="24"/>
                <w:szCs w:val="24"/>
                <w:lang w:eastAsia="zh-CN"/>
              </w:rPr>
              <w:t>环境</w:t>
            </w:r>
            <w:r>
              <w:rPr>
                <w:rFonts w:hint="default" w:ascii="Times New Roman" w:hAnsi="Times New Roman" w:eastAsia="宋体" w:cs="Times New Roman"/>
                <w:b/>
                <w:bCs/>
                <w:color w:val="auto"/>
                <w:sz w:val="24"/>
                <w:szCs w:val="24"/>
              </w:rPr>
              <w:t>影响</w:t>
            </w:r>
            <w:r>
              <w:rPr>
                <w:rFonts w:hint="default" w:ascii="Times New Roman" w:hAnsi="Times New Roman" w:eastAsia="宋体" w:cs="Times New Roman"/>
                <w:b/>
                <w:bCs/>
                <w:color w:val="auto"/>
                <w:sz w:val="24"/>
                <w:szCs w:val="24"/>
                <w:lang w:eastAsia="zh-CN"/>
              </w:rPr>
              <w:t>防治措施</w:t>
            </w:r>
          </w:p>
          <w:p w14:paraId="2DC7A9F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eastAsiaTheme="minorEastAsia"/>
                <w:bCs/>
                <w:color w:val="auto"/>
                <w:sz w:val="24"/>
                <w:szCs w:val="24"/>
                <w:lang w:val="en-US" w:eastAsia="zh-CN"/>
              </w:rPr>
            </w:pPr>
            <w:r>
              <w:rPr>
                <w:rFonts w:hint="default" w:ascii="Times New Roman" w:hAnsi="Times New Roman" w:cs="Times New Roman" w:eastAsiaTheme="minorEastAsia"/>
                <w:bCs/>
                <w:color w:val="auto"/>
                <w:sz w:val="24"/>
                <w:szCs w:val="24"/>
                <w:lang w:val="en-US" w:eastAsia="zh-CN"/>
              </w:rPr>
              <w:t>本电站运营期废水主要是太阳能电池组件清洗废水。</w:t>
            </w:r>
          </w:p>
          <w:p w14:paraId="055CC0DD">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32"/>
                <w:highlight w:val="none"/>
                <w:lang w:val="en-US" w:eastAsia="zh-CN" w:bidi="ar-SA"/>
              </w:rPr>
            </w:pPr>
            <w:r>
              <w:rPr>
                <w:rFonts w:hint="eastAsia" w:ascii="Times New Roman" w:hAnsi="Times New Roman" w:eastAsia="宋体" w:cs="Times New Roman"/>
                <w:color w:val="auto"/>
                <w:kern w:val="2"/>
                <w:sz w:val="24"/>
                <w:szCs w:val="32"/>
                <w:highlight w:val="none"/>
                <w:lang w:val="en-US" w:eastAsia="zh-CN" w:bidi="ar-SA"/>
              </w:rPr>
              <w:t>光伏组件冲洗废水：本工程光伏板冲洗用水量约为1981</w:t>
            </w:r>
            <w:r>
              <w:rPr>
                <w:rFonts w:hint="default" w:ascii="Times New Roman" w:hAnsi="Times New Roman" w:eastAsia="宋体" w:cs="Times New Roman"/>
                <w:color w:val="auto"/>
                <w:kern w:val="2"/>
                <w:sz w:val="24"/>
                <w:szCs w:val="32"/>
                <w:highlight w:val="none"/>
                <w:lang w:val="en-US" w:eastAsia="zh-CN" w:bidi="ar-SA"/>
              </w:rPr>
              <w:t>m</w:t>
            </w:r>
            <w:r>
              <w:rPr>
                <w:rFonts w:hint="eastAsia" w:ascii="Times New Roman" w:hAnsi="Times New Roman" w:eastAsia="宋体" w:cs="Times New Roman"/>
                <w:color w:val="auto"/>
                <w:kern w:val="2"/>
                <w:sz w:val="24"/>
                <w:szCs w:val="32"/>
                <w:highlight w:val="none"/>
                <w:lang w:val="en-US" w:eastAsia="zh-CN" w:bidi="ar-SA"/>
              </w:rPr>
              <w:t>³</w:t>
            </w:r>
            <w:r>
              <w:rPr>
                <w:rFonts w:hint="default" w:ascii="Times New Roman" w:hAnsi="Times New Roman" w:eastAsia="宋体" w:cs="Times New Roman"/>
                <w:color w:val="auto"/>
                <w:kern w:val="2"/>
                <w:sz w:val="24"/>
                <w:szCs w:val="32"/>
                <w:highlight w:val="none"/>
                <w:lang w:val="en-US" w:eastAsia="zh-CN" w:bidi="ar-SA"/>
              </w:rPr>
              <w:t>/a</w:t>
            </w:r>
            <w:r>
              <w:rPr>
                <w:rFonts w:hint="eastAsia" w:ascii="Times New Roman" w:hAnsi="Times New Roman" w:eastAsia="宋体" w:cs="Times New Roman"/>
                <w:color w:val="auto"/>
                <w:kern w:val="2"/>
                <w:sz w:val="24"/>
                <w:szCs w:val="32"/>
                <w:highlight w:val="none"/>
                <w:lang w:val="en-US" w:eastAsia="zh-CN" w:bidi="ar-SA"/>
              </w:rPr>
              <w:t>，项目光伏组件清洗时不使用清洁剂，项目光伏发电电池板安装范围较大，发电面积较大，清洗废水很难收集，电池板清洗废水主要污染物为SS，全部经光伏板流到地面后自然蒸发损耗。</w:t>
            </w:r>
          </w:p>
          <w:p w14:paraId="4709C487">
            <w:pPr>
              <w:keepNext w:val="0"/>
              <w:keepLines w:val="0"/>
              <w:pageBreakBefore w:val="0"/>
              <w:widowControl w:val="0"/>
              <w:kinsoku/>
              <w:wordWrap/>
              <w:overflowPunct/>
              <w:topLinePunct w:val="0"/>
              <w:bidi w:val="0"/>
              <w:adjustRightInd w:val="0"/>
              <w:snapToGrid w:val="0"/>
              <w:spacing w:line="360" w:lineRule="auto"/>
              <w:ind w:firstLine="472" w:firstLineChars="196"/>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废水排放监测计划</w:t>
            </w:r>
          </w:p>
          <w:p w14:paraId="2A2107F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本项目运营期仅</w:t>
            </w:r>
            <w:r>
              <w:rPr>
                <w:rFonts w:hint="eastAsia" w:ascii="Times New Roman" w:hAnsi="Times New Roman" w:cs="Times New Roman"/>
                <w:color w:val="auto"/>
                <w:sz w:val="24"/>
                <w:szCs w:val="24"/>
                <w:lang w:val="en-US" w:eastAsia="zh-CN"/>
              </w:rPr>
              <w:t>清洗废水，自然蒸发</w:t>
            </w:r>
            <w:r>
              <w:rPr>
                <w:rFonts w:hint="default" w:ascii="Times New Roman" w:hAnsi="Times New Roman" w:cs="Times New Roman"/>
                <w:color w:val="auto"/>
                <w:sz w:val="24"/>
                <w:szCs w:val="24"/>
              </w:rPr>
              <w:t>。根据《排污许可证申请与核发技术规范  总则》</w:t>
            </w:r>
            <w:r>
              <w:rPr>
                <w:rFonts w:hint="default" w:ascii="Times New Roman" w:hAnsi="Times New Roman" w:cs="Times New Roman"/>
                <w:color w:val="auto"/>
                <w:kern w:val="44"/>
                <w:sz w:val="24"/>
                <w:szCs w:val="24"/>
              </w:rPr>
              <w:t>（HJ942-2018）</w:t>
            </w:r>
            <w:r>
              <w:rPr>
                <w:rFonts w:hint="default" w:ascii="Times New Roman" w:hAnsi="Times New Roman" w:cs="Times New Roman"/>
                <w:color w:val="auto"/>
                <w:sz w:val="24"/>
                <w:szCs w:val="24"/>
              </w:rPr>
              <w:t>的相关规定，项目运营期可不进行废水污染源监测，故本项目无废水污染源监测计划。</w:t>
            </w:r>
          </w:p>
          <w:p w14:paraId="674BDE4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cs="Times New Roman" w:eastAsiaTheme="minorEastAsia"/>
                <w:b/>
                <w:bCs/>
                <w:color w:val="auto"/>
                <w:sz w:val="24"/>
                <w:szCs w:val="24"/>
                <w:highlight w:val="none"/>
                <w:lang w:val="en-US" w:eastAsia="zh-CN"/>
              </w:rPr>
              <w:t>固体废物</w:t>
            </w:r>
            <w:r>
              <w:rPr>
                <w:rFonts w:hint="default" w:ascii="Times New Roman" w:hAnsi="Times New Roman" w:eastAsia="宋体" w:cs="Times New Roman"/>
                <w:b/>
                <w:bCs/>
                <w:color w:val="auto"/>
                <w:sz w:val="24"/>
                <w:szCs w:val="24"/>
                <w:highlight w:val="none"/>
                <w:lang w:eastAsia="zh-CN"/>
              </w:rPr>
              <w:t>环境</w:t>
            </w:r>
            <w:r>
              <w:rPr>
                <w:rFonts w:hint="default" w:ascii="Times New Roman" w:hAnsi="Times New Roman" w:eastAsia="宋体" w:cs="Times New Roman"/>
                <w:b/>
                <w:bCs/>
                <w:color w:val="auto"/>
                <w:sz w:val="24"/>
                <w:szCs w:val="24"/>
                <w:highlight w:val="none"/>
              </w:rPr>
              <w:t>影响</w:t>
            </w:r>
            <w:r>
              <w:rPr>
                <w:rFonts w:hint="default" w:ascii="Times New Roman" w:hAnsi="Times New Roman" w:eastAsia="宋体" w:cs="Times New Roman"/>
                <w:b/>
                <w:bCs/>
                <w:color w:val="auto"/>
                <w:sz w:val="24"/>
                <w:szCs w:val="24"/>
                <w:highlight w:val="none"/>
                <w:lang w:eastAsia="zh-CN"/>
              </w:rPr>
              <w:t>防治措施</w:t>
            </w:r>
          </w:p>
          <w:p w14:paraId="5C9AB0C2">
            <w:pPr>
              <w:adjustRightInd w:val="0"/>
              <w:snapToGrid w:val="0"/>
              <w:spacing w:line="360" w:lineRule="auto"/>
              <w:ind w:firstLine="480" w:firstLineChars="200"/>
              <w:jc w:val="left"/>
              <w:rPr>
                <w:rFonts w:hint="eastAsia" w:ascii="Times New Roman" w:hAnsi="Times New Roman" w:cs="Times New Roman" w:eastAsiaTheme="minorEastAsia"/>
                <w:color w:val="auto"/>
                <w:kern w:val="0"/>
                <w:sz w:val="24"/>
                <w:lang w:eastAsia="zh-CN"/>
              </w:rPr>
            </w:pPr>
            <w:r>
              <w:rPr>
                <w:rFonts w:hint="default" w:ascii="Times New Roman" w:hAnsi="Times New Roman" w:cs="Times New Roman"/>
                <w:color w:val="auto"/>
                <w:kern w:val="0"/>
                <w:sz w:val="24"/>
                <w:lang w:eastAsia="zh-CN"/>
              </w:rPr>
              <w:t>①</w:t>
            </w:r>
            <w:r>
              <w:rPr>
                <w:rFonts w:hint="default" w:ascii="Times New Roman" w:hAnsi="Times New Roman" w:cs="Times New Roman"/>
                <w:color w:val="auto"/>
                <w:kern w:val="0"/>
                <w:sz w:val="24"/>
              </w:rPr>
              <w:t>废旧光伏组件</w:t>
            </w:r>
          </w:p>
          <w:p w14:paraId="70FB45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yellow"/>
              </w:rPr>
            </w:pPr>
            <w:r>
              <w:rPr>
                <w:rFonts w:hint="default" w:ascii="Times New Roman" w:hAnsi="Times New Roman" w:cs="Times New Roman"/>
                <w:color w:val="auto"/>
                <w:kern w:val="0"/>
                <w:sz w:val="24"/>
              </w:rPr>
              <w:t>更换的光伏组件属于一般固体废物，约1.7t/a，</w:t>
            </w:r>
            <w:r>
              <w:rPr>
                <w:rFonts w:hint="default" w:ascii="Times New Roman" w:hAnsi="Times New Roman" w:cs="Times New Roman"/>
                <w:color w:val="auto"/>
                <w:kern w:val="0"/>
                <w:sz w:val="24"/>
                <w:lang w:val="en-US" w:eastAsia="zh-CN"/>
              </w:rPr>
              <w:t>更换过程由厂家进行更换，更换后厂家收集带走，不在场区内暂存</w:t>
            </w:r>
            <w:r>
              <w:rPr>
                <w:rFonts w:hint="default" w:ascii="Times New Roman" w:hAnsi="Times New Roman" w:cs="Times New Roman"/>
                <w:color w:val="auto"/>
                <w:kern w:val="0"/>
                <w:sz w:val="24"/>
              </w:rPr>
              <w:t>。项目废光伏板含有有害物质，评价要求建设单位严格落实回收利用措施，不得现场拆解。</w:t>
            </w:r>
          </w:p>
          <w:p w14:paraId="5B8BC71C">
            <w:pPr>
              <w:adjustRightInd w:val="0"/>
              <w:snapToGrid w:val="0"/>
              <w:spacing w:line="360" w:lineRule="auto"/>
              <w:ind w:firstLine="480" w:firstLineChars="200"/>
              <w:jc w:val="left"/>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kern w:val="0"/>
                <w:sz w:val="24"/>
                <w:highlight w:val="none"/>
                <w:lang w:eastAsia="zh-CN"/>
              </w:rPr>
              <w:t>②</w:t>
            </w:r>
            <w:r>
              <w:rPr>
                <w:rFonts w:hint="default" w:ascii="Times New Roman" w:hAnsi="Times New Roman" w:cs="Times New Roman" w:eastAsiaTheme="minorEastAsia"/>
                <w:color w:val="auto"/>
                <w:kern w:val="0"/>
                <w:sz w:val="24"/>
                <w:highlight w:val="none"/>
              </w:rPr>
              <w:t>废</w:t>
            </w:r>
            <w:r>
              <w:rPr>
                <w:rFonts w:hint="default" w:ascii="Times New Roman" w:hAnsi="Times New Roman" w:cs="Times New Roman" w:eastAsiaTheme="minorEastAsia"/>
                <w:color w:val="auto"/>
                <w:kern w:val="0"/>
                <w:sz w:val="24"/>
                <w:highlight w:val="none"/>
                <w:lang w:eastAsia="zh-CN"/>
              </w:rPr>
              <w:t>变压器油</w:t>
            </w:r>
          </w:p>
          <w:p w14:paraId="6F2F34FE">
            <w:pPr>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箱变废油</w:t>
            </w:r>
          </w:p>
          <w:p w14:paraId="3AFD2C7D">
            <w:pPr>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如箱变中绝缘油试验结果中变压油已严重变质，则需对其进行更换，更换产生的废变压油经对照《国家危险废物名录》（2021年版）属于危险废物。项目场区内单台箱变中变压油量最大</w:t>
            </w:r>
            <w:r>
              <w:rPr>
                <w:rFonts w:hint="eastAsia" w:ascii="Times New Roman" w:hAnsi="Times New Roman" w:eastAsia="宋体" w:cs="Times New Roman"/>
                <w:color w:val="auto"/>
                <w:kern w:val="0"/>
                <w:sz w:val="24"/>
                <w:szCs w:val="24"/>
                <w:highlight w:val="none"/>
                <w:lang w:eastAsia="zh-CN"/>
              </w:rPr>
              <w:t>油重</w:t>
            </w:r>
            <w:r>
              <w:rPr>
                <w:rFonts w:hint="default" w:ascii="Times New Roman" w:hAnsi="Times New Roman" w:eastAsia="宋体" w:cs="Times New Roman"/>
                <w:color w:val="auto"/>
                <w:kern w:val="0"/>
                <w:sz w:val="24"/>
                <w:szCs w:val="24"/>
                <w:highlight w:val="none"/>
              </w:rPr>
              <w:t>均为</w:t>
            </w:r>
            <w:r>
              <w:rPr>
                <w:rFonts w:hint="eastAsia" w:ascii="Times New Roman" w:hAnsi="Times New Roman" w:eastAsia="宋体" w:cs="Times New Roman"/>
                <w:color w:val="auto"/>
                <w:kern w:val="0"/>
                <w:sz w:val="24"/>
                <w:szCs w:val="24"/>
                <w:highlight w:val="none"/>
                <w:lang w:val="en-US" w:eastAsia="zh-CN"/>
              </w:rPr>
              <w:t>1.2t</w:t>
            </w:r>
            <w:r>
              <w:rPr>
                <w:rFonts w:hint="default" w:ascii="Times New Roman" w:hAnsi="Times New Roman" w:eastAsia="宋体" w:cs="Times New Roman"/>
                <w:color w:val="auto"/>
                <w:kern w:val="0"/>
                <w:sz w:val="24"/>
                <w:szCs w:val="24"/>
                <w:highlight w:val="none"/>
              </w:rPr>
              <w:t>，则单台箱变中变压油最大更换量约为</w:t>
            </w:r>
            <w:r>
              <w:rPr>
                <w:rFonts w:hint="eastAsia" w:ascii="Times New Roman" w:hAnsi="Times New Roman" w:eastAsia="宋体" w:cs="Times New Roman"/>
                <w:color w:val="auto"/>
                <w:kern w:val="0"/>
                <w:sz w:val="24"/>
                <w:szCs w:val="24"/>
                <w:highlight w:val="none"/>
                <w:lang w:val="en-US" w:eastAsia="zh-CN"/>
              </w:rPr>
              <w:t>1.2</w:t>
            </w:r>
            <w:r>
              <w:rPr>
                <w:rFonts w:hint="default" w:ascii="Times New Roman" w:hAnsi="Times New Roman" w:eastAsia="宋体" w:cs="Times New Roman"/>
                <w:color w:val="auto"/>
                <w:kern w:val="0"/>
                <w:sz w:val="24"/>
                <w:szCs w:val="24"/>
                <w:highlight w:val="none"/>
              </w:rPr>
              <w:t>t，场区内共设置</w:t>
            </w:r>
            <w:r>
              <w:rPr>
                <w:rFonts w:hint="eastAsia" w:ascii="Times New Roman" w:hAnsi="Times New Roman" w:eastAsia="宋体" w:cs="Times New Roman"/>
                <w:color w:val="auto"/>
                <w:kern w:val="0"/>
                <w:sz w:val="24"/>
                <w:szCs w:val="24"/>
                <w:highlight w:val="none"/>
                <w:lang w:val="en-US" w:eastAsia="zh-CN"/>
              </w:rPr>
              <w:t>20</w:t>
            </w:r>
            <w:r>
              <w:rPr>
                <w:rFonts w:hint="default" w:ascii="Times New Roman" w:hAnsi="Times New Roman" w:eastAsia="宋体" w:cs="Times New Roman"/>
                <w:color w:val="auto"/>
                <w:kern w:val="0"/>
                <w:sz w:val="24"/>
                <w:szCs w:val="24"/>
                <w:highlight w:val="none"/>
              </w:rPr>
              <w:t>台箱变，本次评价按最不利情况即3年内更换全部箱变中变压油进行考虑，则更换后平均每年产生的废变压油量约为</w:t>
            </w:r>
            <w:r>
              <w:rPr>
                <w:rFonts w:hint="eastAsia" w:ascii="Times New Roman" w:hAnsi="Times New Roman" w:eastAsia="宋体" w:cs="Times New Roman"/>
                <w:color w:val="auto"/>
                <w:kern w:val="0"/>
                <w:sz w:val="24"/>
                <w:szCs w:val="24"/>
                <w:highlight w:val="none"/>
                <w:lang w:val="en-US" w:eastAsia="zh-CN"/>
              </w:rPr>
              <w:t>8.4</w:t>
            </w:r>
            <w:r>
              <w:rPr>
                <w:rFonts w:hint="default" w:ascii="Times New Roman" w:hAnsi="Times New Roman" w:eastAsia="宋体" w:cs="Times New Roman"/>
                <w:color w:val="auto"/>
                <w:kern w:val="0"/>
                <w:sz w:val="24"/>
                <w:szCs w:val="24"/>
                <w:highlight w:val="none"/>
              </w:rPr>
              <w:t>t/a。</w:t>
            </w:r>
          </w:p>
          <w:p w14:paraId="5C1DCB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kern w:val="0"/>
                <w:sz w:val="24"/>
                <w:highlight w:val="none"/>
              </w:rPr>
            </w:pPr>
            <w:r>
              <w:rPr>
                <w:rFonts w:hint="default" w:ascii="Times New Roman" w:hAnsi="Times New Roman" w:eastAsia="宋体" w:cs="Times New Roman"/>
                <w:color w:val="auto"/>
                <w:sz w:val="24"/>
                <w:highlight w:val="none"/>
              </w:rPr>
              <w:t>设计每座箱变设置1座</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事故油池收集事故状态产生的废油，四壁及底面均采用防渗措施，防渗层要求为至少1m厚粘土层（渗透系数≤10</w:t>
            </w:r>
            <w:r>
              <w:rPr>
                <w:rFonts w:hint="default" w:ascii="Times New Roman" w:hAnsi="Times New Roman" w:eastAsia="宋体" w:cs="Times New Roman"/>
                <w:color w:val="auto"/>
                <w:sz w:val="24"/>
                <w:highlight w:val="none"/>
                <w:vertAlign w:val="superscript"/>
              </w:rPr>
              <w:t>-7</w:t>
            </w:r>
            <w:r>
              <w:rPr>
                <w:rFonts w:hint="default" w:ascii="Times New Roman" w:hAnsi="Times New Roman" w:eastAsia="宋体" w:cs="Times New Roman"/>
                <w:color w:val="auto"/>
                <w:sz w:val="24"/>
                <w:highlight w:val="none"/>
              </w:rPr>
              <w:t>cm/s），或2mm厚高密度聚乙烯，或至少2mm厚的其它人工材料，渗透系数≤10</w:t>
            </w:r>
            <w:r>
              <w:rPr>
                <w:rFonts w:hint="default" w:ascii="Times New Roman" w:hAnsi="Times New Roman" w:eastAsia="宋体" w:cs="Times New Roman"/>
                <w:color w:val="auto"/>
                <w:sz w:val="24"/>
                <w:highlight w:val="none"/>
                <w:vertAlign w:val="superscript"/>
              </w:rPr>
              <w:t>-10</w:t>
            </w:r>
            <w:r>
              <w:rPr>
                <w:rFonts w:hint="default" w:ascii="Times New Roman" w:hAnsi="Times New Roman" w:eastAsia="宋体" w:cs="Times New Roman"/>
                <w:color w:val="auto"/>
                <w:sz w:val="24"/>
                <w:highlight w:val="none"/>
              </w:rPr>
              <w:t>cm/s，防止废油渗漏产生污染。收集后委托有资质单位处置。</w:t>
            </w:r>
          </w:p>
          <w:p w14:paraId="54A3678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声</w:t>
            </w:r>
            <w:r>
              <w:rPr>
                <w:rFonts w:hint="default" w:ascii="Times New Roman" w:hAnsi="Times New Roman" w:eastAsia="宋体" w:cs="Times New Roman"/>
                <w:b/>
                <w:bCs/>
                <w:color w:val="auto"/>
                <w:sz w:val="24"/>
                <w:szCs w:val="24"/>
                <w:lang w:eastAsia="zh-CN"/>
              </w:rPr>
              <w:t>环境</w:t>
            </w:r>
            <w:r>
              <w:rPr>
                <w:rFonts w:hint="default" w:ascii="Times New Roman" w:hAnsi="Times New Roman" w:eastAsia="宋体" w:cs="Times New Roman"/>
                <w:b/>
                <w:bCs/>
                <w:color w:val="auto"/>
                <w:sz w:val="24"/>
                <w:szCs w:val="24"/>
              </w:rPr>
              <w:t>影响</w:t>
            </w:r>
            <w:r>
              <w:rPr>
                <w:rFonts w:hint="default" w:ascii="Times New Roman" w:hAnsi="Times New Roman" w:eastAsia="宋体" w:cs="Times New Roman"/>
                <w:b/>
                <w:bCs/>
                <w:color w:val="auto"/>
                <w:sz w:val="24"/>
                <w:szCs w:val="24"/>
                <w:lang w:eastAsia="zh-CN"/>
              </w:rPr>
              <w:t>防治措施</w:t>
            </w:r>
          </w:p>
          <w:p w14:paraId="725A34C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项目建成后，噪声主要来源于</w:t>
            </w:r>
            <w:r>
              <w:rPr>
                <w:rFonts w:hint="eastAsia" w:ascii="Times New Roman" w:hAnsi="Times New Roman" w:eastAsia="宋体" w:cs="Times New Roman"/>
                <w:bCs/>
                <w:color w:val="auto"/>
                <w:sz w:val="24"/>
                <w:szCs w:val="24"/>
                <w:lang w:val="en-US" w:eastAsia="zh-CN"/>
              </w:rPr>
              <w:t>箱变</w:t>
            </w:r>
            <w:r>
              <w:rPr>
                <w:rFonts w:hint="default" w:ascii="Times New Roman" w:hAnsi="Times New Roman" w:eastAsia="宋体" w:cs="Times New Roman"/>
                <w:color w:val="auto"/>
                <w:sz w:val="24"/>
                <w:szCs w:val="24"/>
              </w:rPr>
              <w:t>。</w:t>
            </w:r>
          </w:p>
          <w:p w14:paraId="34385230">
            <w:pPr>
              <w:pStyle w:val="55"/>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lang w:val="en-US" w:eastAsia="zh-CN"/>
              </w:rPr>
              <w:t>箱变</w:t>
            </w:r>
            <w:r>
              <w:rPr>
                <w:rFonts w:hint="default" w:ascii="Times New Roman" w:hAnsi="Times New Roman" w:eastAsia="宋体" w:cs="Times New Roman"/>
                <w:bCs/>
                <w:color w:val="auto"/>
                <w:sz w:val="24"/>
                <w:szCs w:val="24"/>
              </w:rPr>
              <w:t>通过采取设置减振垫、</w:t>
            </w:r>
            <w:r>
              <w:rPr>
                <w:rFonts w:hint="eastAsia" w:ascii="Times New Roman" w:hAnsi="Times New Roman" w:eastAsia="宋体" w:cs="Times New Roman"/>
                <w:bCs/>
                <w:color w:val="auto"/>
                <w:sz w:val="24"/>
                <w:szCs w:val="24"/>
                <w:lang w:val="en-US" w:eastAsia="zh-CN"/>
              </w:rPr>
              <w:t>距离衰减</w:t>
            </w:r>
            <w:r>
              <w:rPr>
                <w:rFonts w:hint="default" w:ascii="Times New Roman" w:hAnsi="Times New Roman" w:eastAsia="宋体" w:cs="Times New Roman"/>
                <w:bCs/>
                <w:color w:val="auto"/>
                <w:sz w:val="24"/>
                <w:szCs w:val="24"/>
              </w:rPr>
              <w:t>等措施后可以降低噪声15-20dB(A)左右，另外</w:t>
            </w:r>
            <w:r>
              <w:rPr>
                <w:rFonts w:hint="eastAsia" w:ascii="Times New Roman" w:hAnsi="Times New Roman" w:eastAsia="宋体" w:cs="Times New Roman"/>
                <w:bCs/>
                <w:color w:val="auto"/>
                <w:sz w:val="24"/>
                <w:szCs w:val="24"/>
                <w:lang w:val="en-US" w:eastAsia="zh-CN"/>
              </w:rPr>
              <w:t>光伏区域植被条件较好</w:t>
            </w:r>
            <w:r>
              <w:rPr>
                <w:rFonts w:hint="default" w:ascii="Times New Roman" w:hAnsi="Times New Roman" w:eastAsia="宋体" w:cs="Times New Roman"/>
                <w:bCs/>
                <w:color w:val="auto"/>
                <w:sz w:val="24"/>
                <w:szCs w:val="24"/>
              </w:rPr>
              <w:t>，也可以起到降噪作用，采取以上措施后，本项目营运期</w:t>
            </w:r>
            <w:r>
              <w:rPr>
                <w:rFonts w:hint="eastAsia" w:ascii="Times New Roman" w:hAnsi="Times New Roman" w:eastAsia="宋体" w:cs="Times New Roman"/>
                <w:bCs/>
                <w:color w:val="auto"/>
                <w:sz w:val="24"/>
                <w:szCs w:val="24"/>
                <w:lang w:val="en-US" w:eastAsia="zh-CN"/>
              </w:rPr>
              <w:t>光伏</w:t>
            </w:r>
            <w:r>
              <w:rPr>
                <w:rFonts w:hint="default" w:ascii="Times New Roman" w:hAnsi="Times New Roman" w:eastAsia="宋体" w:cs="Times New Roman"/>
                <w:bCs/>
                <w:color w:val="auto"/>
                <w:sz w:val="24"/>
                <w:szCs w:val="24"/>
              </w:rPr>
              <w:t>场</w:t>
            </w:r>
            <w:r>
              <w:rPr>
                <w:rFonts w:hint="eastAsia" w:ascii="Times New Roman" w:hAnsi="Times New Roman" w:eastAsia="宋体" w:cs="Times New Roman"/>
                <w:bCs/>
                <w:color w:val="auto"/>
                <w:sz w:val="24"/>
                <w:szCs w:val="24"/>
                <w:lang w:val="en-US" w:eastAsia="zh-CN"/>
              </w:rPr>
              <w:t>周边</w:t>
            </w:r>
            <w:r>
              <w:rPr>
                <w:rFonts w:hint="default" w:ascii="Times New Roman" w:hAnsi="Times New Roman" w:eastAsia="宋体" w:cs="Times New Roman"/>
                <w:bCs/>
                <w:color w:val="auto"/>
                <w:sz w:val="24"/>
                <w:szCs w:val="24"/>
              </w:rPr>
              <w:t>噪声值可满足《工业企业厂界环境噪声排放标准》（GB12348-2008）中</w:t>
            </w:r>
            <w:r>
              <w:rPr>
                <w:rFonts w:hint="default" w:ascii="Times New Roman" w:hAnsi="Times New Roman" w:eastAsia="宋体" w:cs="Times New Roman"/>
                <w:bCs/>
                <w:color w:val="auto"/>
                <w:sz w:val="24"/>
                <w:szCs w:val="24"/>
                <w:lang w:val="en-US" w:eastAsia="zh-CN"/>
              </w:rPr>
              <w:t>1类区</w:t>
            </w:r>
            <w:r>
              <w:rPr>
                <w:rFonts w:hint="default" w:ascii="Times New Roman" w:hAnsi="Times New Roman" w:eastAsia="宋体" w:cs="Times New Roman"/>
                <w:bCs/>
                <w:color w:val="auto"/>
                <w:sz w:val="24"/>
                <w:szCs w:val="24"/>
              </w:rPr>
              <w:t>限值要求，对周围声环境敏感点影响较小。</w:t>
            </w:r>
          </w:p>
          <w:p w14:paraId="401FD07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环境风险</w:t>
            </w:r>
            <w:r>
              <w:rPr>
                <w:rFonts w:hint="default" w:ascii="Times New Roman" w:hAnsi="Times New Roman" w:eastAsia="宋体" w:cs="Times New Roman"/>
                <w:b/>
                <w:bCs/>
                <w:color w:val="auto"/>
                <w:sz w:val="24"/>
                <w:szCs w:val="24"/>
              </w:rPr>
              <w:t>影响</w:t>
            </w:r>
            <w:r>
              <w:rPr>
                <w:rFonts w:hint="default" w:ascii="Times New Roman" w:hAnsi="Times New Roman" w:eastAsia="宋体" w:cs="Times New Roman"/>
                <w:b/>
                <w:bCs/>
                <w:color w:val="auto"/>
                <w:sz w:val="24"/>
                <w:szCs w:val="24"/>
                <w:lang w:eastAsia="zh-CN"/>
              </w:rPr>
              <w:t>防治措施</w:t>
            </w:r>
          </w:p>
          <w:p w14:paraId="2432D78B">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jc w:val="left"/>
              <w:textAlignment w:val="auto"/>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sz w:val="24"/>
                <w:highlight w:val="none"/>
                <w:lang w:val="en-US" w:eastAsia="zh-CN"/>
              </w:rPr>
              <w:t>光伏场内箱变下方</w:t>
            </w:r>
            <w:r>
              <w:rPr>
                <w:rFonts w:hint="default" w:ascii="Times New Roman" w:hAnsi="Times New Roman" w:eastAsia="宋体" w:cs="Times New Roman"/>
                <w:color w:val="auto"/>
                <w:sz w:val="24"/>
                <w:highlight w:val="none"/>
                <w:lang w:eastAsia="zh-CN"/>
              </w:rPr>
              <w:t>设置</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lang w:val="en-US" w:eastAsia="zh-CN"/>
              </w:rPr>
              <w:t>事故油池，</w:t>
            </w:r>
            <w:r>
              <w:rPr>
                <w:rFonts w:hint="default" w:ascii="Times New Roman" w:hAnsi="Times New Roman" w:eastAsia="宋体" w:cs="Times New Roman"/>
                <w:color w:val="auto"/>
                <w:sz w:val="24"/>
                <w:highlight w:val="none"/>
              </w:rPr>
              <w:t>当</w:t>
            </w:r>
            <w:r>
              <w:rPr>
                <w:rFonts w:hint="eastAsia" w:ascii="Times New Roman" w:hAnsi="Times New Roman" w:eastAsia="宋体" w:cs="Times New Roman"/>
                <w:color w:val="auto"/>
                <w:sz w:val="24"/>
                <w:highlight w:val="none"/>
                <w:lang w:val="en-US" w:eastAsia="zh-CN"/>
              </w:rPr>
              <w:t>箱式</w:t>
            </w:r>
            <w:r>
              <w:rPr>
                <w:rFonts w:hint="default" w:ascii="Times New Roman" w:hAnsi="Times New Roman" w:eastAsia="宋体" w:cs="Times New Roman"/>
                <w:color w:val="auto"/>
                <w:sz w:val="24"/>
                <w:highlight w:val="none"/>
              </w:rPr>
              <w:t>变压器在事故状态，一旦发生油泄漏，事故废油</w:t>
            </w:r>
            <w:r>
              <w:rPr>
                <w:rFonts w:hint="default" w:ascii="Times New Roman" w:hAnsi="Times New Roman" w:eastAsia="宋体" w:cs="Times New Roman"/>
                <w:color w:val="auto"/>
                <w:sz w:val="24"/>
                <w:highlight w:val="none"/>
                <w:lang w:eastAsia="zh-CN"/>
              </w:rPr>
              <w:t>由</w:t>
            </w:r>
            <w:r>
              <w:rPr>
                <w:rFonts w:hint="default" w:ascii="Times New Roman" w:hAnsi="Times New Roman" w:eastAsia="宋体" w:cs="Times New Roman"/>
                <w:color w:val="auto"/>
                <w:sz w:val="24"/>
                <w:highlight w:val="none"/>
              </w:rPr>
              <w:t>变压器下设</w:t>
            </w:r>
            <w:r>
              <w:rPr>
                <w:rFonts w:hint="default" w:ascii="Times New Roman" w:hAnsi="Times New Roman" w:eastAsia="宋体" w:cs="Times New Roman"/>
                <w:color w:val="auto"/>
                <w:sz w:val="24"/>
                <w:highlight w:val="none"/>
                <w:lang w:eastAsia="zh-CN"/>
              </w:rPr>
              <w:t>的</w:t>
            </w:r>
            <w:r>
              <w:rPr>
                <w:rFonts w:hint="default" w:ascii="Times New Roman" w:hAnsi="Times New Roman" w:eastAsia="宋体" w:cs="Times New Roman"/>
                <w:color w:val="auto"/>
                <w:sz w:val="24"/>
                <w:highlight w:val="none"/>
              </w:rPr>
              <w:t>事故油坑收集，</w:t>
            </w:r>
            <w:r>
              <w:rPr>
                <w:rFonts w:hint="eastAsia" w:ascii="Times New Roman" w:hAnsi="Times New Roman" w:eastAsia="宋体" w:cs="Times New Roman"/>
                <w:color w:val="auto"/>
                <w:sz w:val="24"/>
                <w:highlight w:val="none"/>
                <w:lang w:val="en-US" w:eastAsia="zh-CN"/>
              </w:rPr>
              <w:t>可利用部分利用、不可利用部分</w:t>
            </w:r>
            <w:r>
              <w:rPr>
                <w:rFonts w:hint="default" w:ascii="Times New Roman" w:hAnsi="Times New Roman" w:eastAsia="宋体" w:cs="Times New Roman"/>
                <w:color w:val="auto"/>
                <w:sz w:val="24"/>
                <w:highlight w:val="none"/>
              </w:rPr>
              <w:t>交由有资质单位处置。油坑</w:t>
            </w:r>
            <w:r>
              <w:rPr>
                <w:rFonts w:hint="eastAsia" w:ascii="Times New Roman" w:hAnsi="Times New Roman" w:eastAsia="宋体" w:cs="Times New Roman"/>
                <w:color w:val="auto"/>
                <w:sz w:val="24"/>
                <w:highlight w:val="none"/>
                <w:lang w:val="en-US" w:eastAsia="zh-CN"/>
              </w:rPr>
              <w:t>做重点防渗</w:t>
            </w:r>
            <w:r>
              <w:rPr>
                <w:rFonts w:hint="default" w:ascii="Times New Roman" w:hAnsi="Times New Roman" w:eastAsia="宋体" w:cs="Times New Roman"/>
                <w:color w:val="auto"/>
                <w:sz w:val="24"/>
                <w:highlight w:val="none"/>
              </w:rPr>
              <w:t>。因此，</w:t>
            </w:r>
            <w:r>
              <w:rPr>
                <w:rFonts w:hint="default" w:ascii="Times New Roman" w:hAnsi="Times New Roman" w:eastAsia="宋体" w:cs="Times New Roman"/>
                <w:color w:val="auto"/>
                <w:kern w:val="0"/>
                <w:sz w:val="24"/>
                <w:highlight w:val="none"/>
              </w:rPr>
              <w:t>在采取严格管理措施的情况下，变压器即使发生故障也能及时处理处置，对环境影响较小。</w:t>
            </w:r>
          </w:p>
          <w:p w14:paraId="4578A9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同时</w:t>
            </w:r>
            <w:r>
              <w:rPr>
                <w:rFonts w:hint="default" w:ascii="Times New Roman" w:hAnsi="Times New Roman" w:eastAsia="宋体" w:cs="Times New Roman"/>
                <w:color w:val="auto"/>
                <w:kern w:val="0"/>
                <w:sz w:val="24"/>
                <w:highlight w:val="none"/>
                <w:lang w:val="en-US" w:eastAsia="zh-CN"/>
              </w:rPr>
              <w:t>建设单位应</w:t>
            </w:r>
            <w:r>
              <w:rPr>
                <w:rFonts w:hint="default" w:ascii="Times New Roman" w:hAnsi="Times New Roman" w:eastAsia="宋体" w:cs="Times New Roman"/>
                <w:color w:val="auto"/>
                <w:kern w:val="0"/>
                <w:sz w:val="24"/>
                <w:highlight w:val="none"/>
              </w:rPr>
              <w:t>制定《环境污染事件处置应急预案》，常设应急领导小组针对突发环境污染事件</w:t>
            </w:r>
            <w:r>
              <w:rPr>
                <w:rFonts w:hint="eastAsia" w:ascii="Times New Roman" w:hAnsi="Times New Roman" w:eastAsia="宋体" w:cs="Times New Roman"/>
                <w:color w:val="auto"/>
                <w:kern w:val="0"/>
                <w:sz w:val="24"/>
                <w:highlight w:val="none"/>
                <w:lang w:val="en-US" w:eastAsia="zh-CN"/>
              </w:rPr>
              <w:t>作出</w:t>
            </w:r>
            <w:r>
              <w:rPr>
                <w:rFonts w:hint="default" w:ascii="Times New Roman" w:hAnsi="Times New Roman" w:eastAsia="宋体" w:cs="Times New Roman"/>
                <w:color w:val="auto"/>
                <w:kern w:val="0"/>
                <w:sz w:val="24"/>
                <w:highlight w:val="none"/>
              </w:rPr>
              <w:t>环境响应，以最大程度地预防和减少环境污染事件及其造成的影响。</w:t>
            </w:r>
          </w:p>
          <w:p w14:paraId="08A1CD1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en-US" w:eastAsia="zh-CN"/>
              </w:rPr>
              <w:t>8</w:t>
            </w:r>
            <w:r>
              <w:rPr>
                <w:rFonts w:hint="default" w:ascii="Times New Roman" w:hAnsi="Times New Roman" w:eastAsia="宋体" w:cs="Times New Roman"/>
                <w:b/>
                <w:bCs/>
                <w:color w:val="auto"/>
                <w:sz w:val="24"/>
                <w:szCs w:val="24"/>
                <w:lang w:val="en-US" w:eastAsia="zh-CN"/>
              </w:rPr>
              <w:t>、</w:t>
            </w:r>
            <w:r>
              <w:rPr>
                <w:rFonts w:hint="default" w:ascii="Times New Roman" w:hAnsi="Times New Roman" w:cs="Times New Roman"/>
                <w:b/>
                <w:bCs/>
                <w:color w:val="auto"/>
                <w:sz w:val="24"/>
                <w:szCs w:val="24"/>
                <w:highlight w:val="none"/>
                <w:lang w:val="en-US" w:eastAsia="zh-CN"/>
              </w:rPr>
              <w:t>服务期满后</w:t>
            </w:r>
            <w:r>
              <w:rPr>
                <w:rFonts w:hint="default" w:ascii="Times New Roman" w:hAnsi="Times New Roman" w:eastAsia="宋体" w:cs="Times New Roman"/>
                <w:b/>
                <w:bCs/>
                <w:color w:val="auto"/>
                <w:sz w:val="24"/>
                <w:szCs w:val="24"/>
                <w:lang w:eastAsia="zh-CN"/>
              </w:rPr>
              <w:t>防治措施</w:t>
            </w:r>
          </w:p>
          <w:p w14:paraId="5501AF8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拆除的太阳能电池板、变压器等固体废物</w:t>
            </w:r>
          </w:p>
          <w:p w14:paraId="47DE41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项目服务期满后废太阳能电池属于一般废物，由太阳能电池</w:t>
            </w:r>
            <w:r>
              <w:rPr>
                <w:rFonts w:hint="default" w:ascii="Times New Roman" w:hAnsi="Times New Roman" w:eastAsia="宋体" w:cs="Times New Roman"/>
                <w:color w:val="auto"/>
                <w:sz w:val="24"/>
                <w:szCs w:val="24"/>
                <w:lang w:val="en-US" w:eastAsia="zh-CN"/>
              </w:rPr>
              <w:t>专业</w:t>
            </w:r>
            <w:r>
              <w:rPr>
                <w:rFonts w:hint="default" w:ascii="Times New Roman" w:hAnsi="Times New Roman" w:eastAsia="宋体" w:cs="Times New Roman"/>
                <w:color w:val="auto"/>
                <w:sz w:val="24"/>
                <w:szCs w:val="24"/>
                <w:lang w:eastAsia="zh-CN"/>
              </w:rPr>
              <w:t>单位回收</w:t>
            </w:r>
            <w:r>
              <w:rPr>
                <w:rFonts w:hint="default" w:ascii="Times New Roman" w:hAnsi="Times New Roman" w:eastAsia="宋体" w:cs="Times New Roman"/>
                <w:color w:val="auto"/>
                <w:sz w:val="24"/>
                <w:szCs w:val="24"/>
              </w:rPr>
              <w:t>再利用</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本项目使用</w:t>
            </w:r>
            <w:r>
              <w:rPr>
                <w:rFonts w:hint="eastAsia" w:ascii="Times New Roman" w:hAnsi="Times New Roman" w:eastAsia="宋体" w:cs="Times New Roman"/>
                <w:color w:val="auto"/>
                <w:sz w:val="24"/>
                <w:szCs w:val="24"/>
                <w:lang w:val="en-US" w:eastAsia="zh-CN"/>
              </w:rPr>
              <w:t>的</w:t>
            </w:r>
            <w:r>
              <w:rPr>
                <w:rFonts w:hint="default" w:ascii="Times New Roman" w:hAnsi="Times New Roman" w:eastAsia="宋体" w:cs="Times New Roman"/>
                <w:color w:val="auto"/>
                <w:sz w:val="24"/>
                <w:szCs w:val="24"/>
              </w:rPr>
              <w:t>变压器服务期满后由</w:t>
            </w:r>
            <w:r>
              <w:rPr>
                <w:rFonts w:hint="default" w:ascii="Times New Roman" w:hAnsi="Times New Roman" w:eastAsia="宋体" w:cs="Times New Roman"/>
                <w:color w:val="auto"/>
                <w:sz w:val="24"/>
                <w:szCs w:val="24"/>
                <w:lang w:val="en-US" w:eastAsia="zh-CN"/>
              </w:rPr>
              <w:t>专业回收</w:t>
            </w:r>
            <w:r>
              <w:rPr>
                <w:rFonts w:hint="default" w:ascii="Times New Roman" w:hAnsi="Times New Roman" w:eastAsia="宋体" w:cs="Times New Roman"/>
                <w:color w:val="auto"/>
                <w:sz w:val="24"/>
                <w:szCs w:val="24"/>
                <w:lang w:eastAsia="zh-CN"/>
              </w:rPr>
              <w:t>单位回收</w:t>
            </w:r>
            <w:r>
              <w:rPr>
                <w:rFonts w:hint="default" w:ascii="Times New Roman" w:hAnsi="Times New Roman" w:eastAsia="宋体" w:cs="Times New Roman"/>
                <w:color w:val="auto"/>
                <w:sz w:val="24"/>
                <w:szCs w:val="24"/>
              </w:rPr>
              <w:t>处置</w:t>
            </w:r>
            <w:r>
              <w:rPr>
                <w:rFonts w:hint="default" w:ascii="Times New Roman" w:hAnsi="Times New Roman" w:eastAsia="宋体" w:cs="Times New Roman"/>
                <w:color w:val="auto"/>
                <w:sz w:val="24"/>
                <w:szCs w:val="24"/>
                <w:lang w:eastAsia="zh-CN"/>
              </w:rPr>
              <w:t>。</w:t>
            </w:r>
          </w:p>
          <w:p w14:paraId="751E7AC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基础拆除产生的生态环境影响</w:t>
            </w:r>
          </w:p>
          <w:p w14:paraId="1473EC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本项目服务期满后将对电池组件及支架、变压器等进行全部拆除，这些活动会造成光伏组件基础土地部分破坏。因此，拆除作业完成后应进行生态恢复：</w:t>
            </w:r>
          </w:p>
          <w:p w14:paraId="478EA96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1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rPr>
              <w:fldChar w:fldCharType="end"/>
            </w:r>
            <w:r>
              <w:rPr>
                <w:rFonts w:hint="eastAsia" w:ascii="Times New Roman" w:hAnsi="Times New Roman" w:eastAsia="宋体" w:cs="Times New Roman"/>
                <w:color w:val="auto"/>
                <w:sz w:val="24"/>
                <w:szCs w:val="24"/>
                <w:lang w:val="en-US" w:eastAsia="zh-CN"/>
              </w:rPr>
              <w:t>拆除</w:t>
            </w:r>
            <w:r>
              <w:rPr>
                <w:rFonts w:hint="default" w:ascii="Times New Roman" w:hAnsi="Times New Roman" w:eastAsia="宋体" w:cs="Times New Roman"/>
                <w:color w:val="auto"/>
                <w:sz w:val="24"/>
                <w:szCs w:val="24"/>
              </w:rPr>
              <w:t>硬化地面基础，对场地进行恢复；</w:t>
            </w:r>
          </w:p>
          <w:p w14:paraId="0E42BD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2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拆除过程中应尽量减小对土地的扰动，对于项目厂区原绿化土地应保留；</w:t>
            </w:r>
          </w:p>
          <w:p w14:paraId="419998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3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③</w:t>
            </w:r>
            <w:r>
              <w:rPr>
                <w:rFonts w:hint="default" w:ascii="Times New Roman" w:hAnsi="Times New Roman" w:eastAsia="宋体" w:cs="Times New Roman"/>
                <w:color w:val="auto"/>
                <w:sz w:val="24"/>
                <w:szCs w:val="24"/>
              </w:rPr>
              <w:fldChar w:fldCharType="end"/>
            </w:r>
            <w:r>
              <w:rPr>
                <w:rFonts w:hint="eastAsia" w:ascii="Times New Roman" w:hAnsi="Times New Roman" w:eastAsia="宋体" w:cs="Times New Roman"/>
                <w:color w:val="auto"/>
                <w:sz w:val="24"/>
                <w:szCs w:val="24"/>
                <w:lang w:val="en-US" w:eastAsia="zh-CN"/>
              </w:rPr>
              <w:t>拆除</w:t>
            </w:r>
            <w:r>
              <w:rPr>
                <w:rFonts w:hint="default" w:ascii="Times New Roman" w:hAnsi="Times New Roman" w:eastAsia="宋体" w:cs="Times New Roman"/>
                <w:color w:val="auto"/>
                <w:sz w:val="24"/>
                <w:szCs w:val="24"/>
              </w:rPr>
              <w:t>基础部分</w:t>
            </w:r>
            <w:r>
              <w:rPr>
                <w:rFonts w:hint="eastAsia" w:ascii="Times New Roman" w:hAnsi="Times New Roman" w:eastAsia="宋体" w:cs="Times New Roman"/>
                <w:color w:val="auto"/>
                <w:sz w:val="24"/>
                <w:szCs w:val="24"/>
                <w:lang w:val="en-US" w:eastAsia="zh-CN"/>
              </w:rPr>
              <w:t>后</w:t>
            </w:r>
            <w:r>
              <w:rPr>
                <w:rFonts w:hint="default" w:ascii="Times New Roman" w:hAnsi="Times New Roman" w:eastAsia="宋体" w:cs="Times New Roman"/>
                <w:color w:val="auto"/>
                <w:sz w:val="24"/>
                <w:szCs w:val="24"/>
              </w:rPr>
              <w:t>场地应进行恢复，恢复后的场地则进行洒水和压实，以固结地表，防止产生扬尘和对土壤的风蚀。</w:t>
            </w:r>
          </w:p>
          <w:p w14:paraId="2111EF93">
            <w:pPr>
              <w:pStyle w:val="34"/>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Times New Roman" w:hAnsi="Times New Roman" w:eastAsia="宋体" w:cs="Times New Roman"/>
                <w:bCs/>
                <w:color w:val="auto"/>
                <w:spacing w:val="10"/>
                <w:sz w:val="24"/>
                <w:szCs w:val="24"/>
                <w:highlight w:val="none"/>
              </w:rPr>
            </w:pPr>
            <w:r>
              <w:rPr>
                <w:rFonts w:hint="default" w:ascii="Times New Roman" w:hAnsi="Times New Roman" w:eastAsia="宋体" w:cs="Times New Roman"/>
                <w:color w:val="auto"/>
                <w:sz w:val="24"/>
                <w:szCs w:val="24"/>
              </w:rPr>
              <w:t>综上所述，光伏电站服务期满后，企业必须严格采取上述环境保护措施，确保无遗留环保问题。</w:t>
            </w:r>
          </w:p>
        </w:tc>
      </w:tr>
      <w:tr w14:paraId="48790B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2" w:type="dxa"/>
            <w:noWrap w:val="0"/>
            <w:vAlign w:val="center"/>
          </w:tcPr>
          <w:p w14:paraId="3C71250C">
            <w:pPr>
              <w:adjustRightInd w:val="0"/>
              <w:snapToGrid w:val="0"/>
              <w:jc w:val="center"/>
              <w:rPr>
                <w:rFonts w:ascii="Times New Roman" w:hAnsi="Times New Roman" w:eastAsia="宋体" w:cs="Times New Roman"/>
                <w:bCs/>
                <w:color w:val="auto"/>
                <w:spacing w:val="10"/>
                <w:szCs w:val="21"/>
                <w:highlight w:val="none"/>
              </w:rPr>
            </w:pPr>
            <w:r>
              <w:rPr>
                <w:rFonts w:ascii="Times New Roman" w:hAnsi="Times New Roman" w:eastAsia="宋体" w:cs="Times New Roman"/>
                <w:bCs/>
                <w:color w:val="auto"/>
                <w:sz w:val="24"/>
                <w:szCs w:val="24"/>
                <w:highlight w:val="none"/>
              </w:rPr>
              <w:t>其他</w:t>
            </w:r>
          </w:p>
        </w:tc>
        <w:tc>
          <w:tcPr>
            <w:tcW w:w="8468" w:type="dxa"/>
            <w:noWrap w:val="0"/>
            <w:vAlign w:val="top"/>
          </w:tcPr>
          <w:p w14:paraId="1AE5021D">
            <w:pPr>
              <w:autoSpaceDE w:val="0"/>
              <w:autoSpaceDN w:val="0"/>
              <w:adjustRightInd w:val="0"/>
              <w:snapToGrid w:val="0"/>
              <w:spacing w:line="360" w:lineRule="auto"/>
              <w:ind w:firstLine="482" w:firstLineChars="200"/>
              <w:rPr>
                <w:rFonts w:hint="default" w:ascii="Times New Roman" w:hAnsi="Times New Roman" w:cs="Times New Roman"/>
                <w:b/>
                <w:color w:val="auto"/>
                <w:kern w:val="0"/>
                <w:sz w:val="24"/>
              </w:rPr>
            </w:pPr>
            <w:r>
              <w:rPr>
                <w:rFonts w:hint="eastAsia" w:ascii="Times New Roman" w:hAnsi="Times New Roman" w:cs="Times New Roman"/>
                <w:b/>
                <w:color w:val="auto"/>
                <w:kern w:val="0"/>
                <w:sz w:val="24"/>
                <w:lang w:val="en-US" w:eastAsia="zh-CN"/>
              </w:rPr>
              <w:t>1</w:t>
            </w:r>
            <w:r>
              <w:rPr>
                <w:rFonts w:hint="default" w:ascii="Times New Roman" w:hAnsi="Times New Roman" w:cs="Times New Roman"/>
                <w:b/>
                <w:color w:val="auto"/>
                <w:kern w:val="0"/>
                <w:sz w:val="24"/>
              </w:rPr>
              <w:t>环境管理与监测</w:t>
            </w:r>
          </w:p>
          <w:p w14:paraId="270C2AF8">
            <w:pPr>
              <w:adjustRightInd w:val="0"/>
              <w:snapToGrid w:val="0"/>
              <w:spacing w:line="360" w:lineRule="auto"/>
              <w:ind w:firstLine="482" w:firstLineChars="200"/>
              <w:rPr>
                <w:rFonts w:hint="default" w:ascii="Times New Roman" w:hAnsi="Times New Roman" w:cs="Times New Roman"/>
                <w:b/>
                <w:color w:val="auto"/>
                <w:kern w:val="24"/>
                <w:sz w:val="24"/>
              </w:rPr>
            </w:pPr>
            <w:r>
              <w:rPr>
                <w:rFonts w:hint="eastAsia" w:ascii="Times New Roman" w:hAnsi="Times New Roman" w:cs="Times New Roman"/>
                <w:b/>
                <w:color w:val="auto"/>
                <w:kern w:val="24"/>
                <w:sz w:val="24"/>
                <w:lang w:val="en-US" w:eastAsia="zh-CN"/>
              </w:rPr>
              <w:t>1</w:t>
            </w:r>
            <w:r>
              <w:rPr>
                <w:rFonts w:hint="default" w:ascii="Times New Roman" w:hAnsi="Times New Roman" w:cs="Times New Roman"/>
                <w:b/>
                <w:color w:val="auto"/>
                <w:kern w:val="24"/>
                <w:sz w:val="24"/>
              </w:rPr>
              <w:t>.1环境管理</w:t>
            </w:r>
          </w:p>
          <w:p w14:paraId="353F03A1">
            <w:pPr>
              <w:adjustRightInd w:val="0"/>
              <w:snapToGrid w:val="0"/>
              <w:spacing w:line="360" w:lineRule="auto"/>
              <w:ind w:firstLine="482" w:firstLineChars="200"/>
              <w:rPr>
                <w:rFonts w:hint="default" w:ascii="Times New Roman" w:hAnsi="Times New Roman" w:cs="Times New Roman"/>
                <w:b/>
                <w:color w:val="auto"/>
                <w:kern w:val="24"/>
                <w:sz w:val="24"/>
              </w:rPr>
            </w:pPr>
            <w:r>
              <w:rPr>
                <w:rFonts w:hint="eastAsia" w:ascii="Times New Roman" w:hAnsi="Times New Roman" w:cs="Times New Roman"/>
                <w:b/>
                <w:color w:val="auto"/>
                <w:kern w:val="24"/>
                <w:sz w:val="24"/>
                <w:lang w:val="en-US" w:eastAsia="zh-CN"/>
              </w:rPr>
              <w:t>1</w:t>
            </w:r>
            <w:r>
              <w:rPr>
                <w:rFonts w:hint="default" w:ascii="Times New Roman" w:hAnsi="Times New Roman" w:cs="Times New Roman"/>
                <w:b/>
                <w:color w:val="auto"/>
                <w:kern w:val="24"/>
                <w:sz w:val="24"/>
              </w:rPr>
              <w:t>.1.1管理机构设置目的</w:t>
            </w:r>
          </w:p>
          <w:p w14:paraId="44654B0A">
            <w:pPr>
              <w:adjustRightInd w:val="0"/>
              <w:snapToGrid w:val="0"/>
              <w:spacing w:line="360" w:lineRule="auto"/>
              <w:ind w:firstLine="480" w:firstLineChars="200"/>
              <w:rPr>
                <w:rFonts w:hint="default" w:ascii="Times New Roman" w:hAnsi="Times New Roman" w:cs="Times New Roman"/>
                <w:color w:val="auto"/>
                <w:kern w:val="24"/>
                <w:sz w:val="24"/>
              </w:rPr>
            </w:pPr>
            <w:r>
              <w:rPr>
                <w:rFonts w:hint="default" w:ascii="Times New Roman" w:hAnsi="Times New Roman" w:cs="Times New Roman"/>
                <w:color w:val="auto"/>
                <w:kern w:val="24"/>
                <w:sz w:val="24"/>
              </w:rPr>
              <w:t>设置环境管理机构是为了贯彻执行中华人民共和国生态环境部的有关法律法规，对本项目“三废”实行监控，确保建设项目经济、环境和社会效益协调发展；协调当地环保部门工作，为企业的生产管理和环境管理提供科学依据，针对建设项目的具体情况，加强管理，企业应设置环境管理机构，尽相应的职责。</w:t>
            </w:r>
          </w:p>
          <w:p w14:paraId="5FBF801F">
            <w:pPr>
              <w:adjustRightInd w:val="0"/>
              <w:snapToGrid w:val="0"/>
              <w:spacing w:line="360" w:lineRule="auto"/>
              <w:ind w:firstLine="482" w:firstLineChars="200"/>
              <w:rPr>
                <w:rFonts w:hint="default" w:ascii="Times New Roman" w:hAnsi="Times New Roman" w:cs="Times New Roman"/>
                <w:b/>
                <w:color w:val="auto"/>
                <w:kern w:val="24"/>
                <w:sz w:val="24"/>
              </w:rPr>
            </w:pPr>
            <w:r>
              <w:rPr>
                <w:rFonts w:hint="eastAsia" w:ascii="Times New Roman" w:hAnsi="Times New Roman" w:cs="Times New Roman"/>
                <w:b/>
                <w:color w:val="auto"/>
                <w:kern w:val="24"/>
                <w:sz w:val="24"/>
                <w:lang w:val="en-US" w:eastAsia="zh-CN"/>
              </w:rPr>
              <w:t>1</w:t>
            </w:r>
            <w:r>
              <w:rPr>
                <w:rFonts w:hint="default" w:ascii="Times New Roman" w:hAnsi="Times New Roman" w:cs="Times New Roman"/>
                <w:b/>
                <w:color w:val="auto"/>
                <w:kern w:val="24"/>
                <w:sz w:val="24"/>
              </w:rPr>
              <w:t>.1.2机构组成</w:t>
            </w:r>
          </w:p>
          <w:p w14:paraId="56907AA7">
            <w:pPr>
              <w:adjustRightInd w:val="0"/>
              <w:snapToGrid w:val="0"/>
              <w:spacing w:line="360" w:lineRule="auto"/>
              <w:ind w:firstLine="480" w:firstLineChars="200"/>
              <w:rPr>
                <w:rFonts w:hint="default" w:ascii="Times New Roman" w:hAnsi="Times New Roman" w:cs="Times New Roman"/>
                <w:color w:val="auto"/>
                <w:kern w:val="24"/>
                <w:sz w:val="24"/>
              </w:rPr>
            </w:pPr>
            <w:r>
              <w:rPr>
                <w:rFonts w:hint="default" w:ascii="Times New Roman" w:hAnsi="Times New Roman" w:cs="Times New Roman"/>
                <w:color w:val="auto"/>
                <w:kern w:val="24"/>
                <w:sz w:val="24"/>
              </w:rPr>
              <w:t>项目运营后，</w:t>
            </w:r>
            <w:r>
              <w:rPr>
                <w:rFonts w:hint="eastAsia" w:ascii="Times New Roman" w:hAnsi="Times New Roman" w:cs="Times New Roman"/>
                <w:bCs/>
                <w:color w:val="auto"/>
                <w:sz w:val="24"/>
                <w:lang w:eastAsia="zh-CN"/>
              </w:rPr>
              <w:t>大唐（洋县）新能源有限责任公司</w:t>
            </w:r>
            <w:r>
              <w:rPr>
                <w:rFonts w:hint="default" w:ascii="Times New Roman" w:hAnsi="Times New Roman" w:cs="Times New Roman"/>
                <w:color w:val="auto"/>
                <w:kern w:val="24"/>
                <w:sz w:val="24"/>
              </w:rPr>
              <w:t>下设管理机构，并配备兼职工作人员，负责本工程的日常管理任务，并</w:t>
            </w:r>
            <w:r>
              <w:rPr>
                <w:rFonts w:hint="eastAsia" w:ascii="Times New Roman" w:hAnsi="Times New Roman" w:cs="Times New Roman"/>
                <w:color w:val="auto"/>
                <w:kern w:val="24"/>
                <w:sz w:val="24"/>
                <w:lang w:val="en-US" w:eastAsia="zh-CN"/>
              </w:rPr>
              <w:t>接</w:t>
            </w:r>
            <w:r>
              <w:rPr>
                <w:rFonts w:hint="default" w:ascii="Times New Roman" w:hAnsi="Times New Roman" w:cs="Times New Roman"/>
                <w:color w:val="auto"/>
                <w:kern w:val="24"/>
                <w:sz w:val="24"/>
              </w:rPr>
              <w:t>受环境管理部门的监督和指导。</w:t>
            </w:r>
          </w:p>
          <w:p w14:paraId="36775A04">
            <w:pPr>
              <w:adjustRightInd w:val="0"/>
              <w:snapToGrid w:val="0"/>
              <w:spacing w:line="360" w:lineRule="auto"/>
              <w:ind w:firstLine="482" w:firstLineChars="200"/>
              <w:rPr>
                <w:rFonts w:hint="default" w:ascii="Times New Roman" w:hAnsi="Times New Roman" w:cs="Times New Roman"/>
                <w:b/>
                <w:color w:val="auto"/>
                <w:kern w:val="24"/>
                <w:sz w:val="24"/>
              </w:rPr>
            </w:pPr>
            <w:r>
              <w:rPr>
                <w:rFonts w:hint="eastAsia" w:ascii="Times New Roman" w:hAnsi="Times New Roman" w:cs="Times New Roman"/>
                <w:b/>
                <w:color w:val="auto"/>
                <w:kern w:val="24"/>
                <w:sz w:val="24"/>
                <w:lang w:val="en-US" w:eastAsia="zh-CN"/>
              </w:rPr>
              <w:t>1</w:t>
            </w:r>
            <w:r>
              <w:rPr>
                <w:rFonts w:hint="default" w:ascii="Times New Roman" w:hAnsi="Times New Roman" w:cs="Times New Roman"/>
                <w:b/>
                <w:color w:val="auto"/>
                <w:kern w:val="24"/>
                <w:sz w:val="24"/>
              </w:rPr>
              <w:t>.1.3机构职责</w:t>
            </w:r>
          </w:p>
          <w:p w14:paraId="0BDC29BA">
            <w:pPr>
              <w:adjustRightInd w:val="0"/>
              <w:snapToGrid w:val="0"/>
              <w:spacing w:line="360" w:lineRule="auto"/>
              <w:ind w:firstLine="480" w:firstLineChars="200"/>
              <w:rPr>
                <w:rFonts w:hint="default" w:ascii="Times New Roman" w:hAnsi="Times New Roman" w:cs="Times New Roman"/>
                <w:color w:val="auto"/>
                <w:kern w:val="24"/>
                <w:sz w:val="24"/>
              </w:rPr>
            </w:pPr>
            <w:r>
              <w:rPr>
                <w:rFonts w:hint="default" w:ascii="Times New Roman" w:hAnsi="Times New Roman" w:cs="Times New Roman"/>
                <w:color w:val="auto"/>
                <w:kern w:val="24"/>
                <w:sz w:val="24"/>
              </w:rPr>
              <w:t>本工程环境管理机构具有以下职责：</w:t>
            </w:r>
          </w:p>
          <w:p w14:paraId="7D63B992">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24"/>
                <w:sz w:val="24"/>
              </w:rPr>
            </w:pPr>
            <w:r>
              <w:rPr>
                <w:rFonts w:hint="default" w:ascii="Times New Roman" w:hAnsi="Times New Roman" w:cs="Times New Roman"/>
                <w:color w:val="auto"/>
                <w:kern w:val="24"/>
                <w:sz w:val="24"/>
              </w:rPr>
              <w:t>⑴贯彻、执行国家环保方针、政策和法律法规；</w:t>
            </w:r>
          </w:p>
          <w:p w14:paraId="24856148">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24"/>
                <w:sz w:val="24"/>
              </w:rPr>
            </w:pPr>
            <w:r>
              <w:rPr>
                <w:rFonts w:hint="default" w:ascii="Times New Roman" w:hAnsi="Times New Roman" w:cs="Times New Roman"/>
                <w:color w:val="auto"/>
                <w:kern w:val="24"/>
                <w:sz w:val="24"/>
              </w:rPr>
              <w:t>⑵制定与本工程实际情况相符合的环保管理制度、环保技术经济政策及环境保护发展规划；</w:t>
            </w:r>
          </w:p>
          <w:p w14:paraId="42B2741E">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24"/>
                <w:sz w:val="24"/>
              </w:rPr>
            </w:pPr>
            <w:r>
              <w:rPr>
                <w:rFonts w:hint="default" w:ascii="Times New Roman" w:hAnsi="Times New Roman" w:cs="Times New Roman"/>
                <w:color w:val="auto"/>
                <w:kern w:val="24"/>
                <w:sz w:val="24"/>
              </w:rPr>
              <w:t>⑶在工程建设阶段负责监督环保设施的施工、安装、调试等工作，落实本项目的“三同时”计划，项目投产后，定期检查环保设施的运行情况，并根据存在的问题提出改进意见；</w:t>
            </w:r>
          </w:p>
          <w:p w14:paraId="3A08BB64">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24"/>
                <w:sz w:val="24"/>
              </w:rPr>
            </w:pPr>
            <w:r>
              <w:rPr>
                <w:rFonts w:hint="default" w:ascii="Times New Roman" w:hAnsi="Times New Roman" w:cs="Times New Roman"/>
                <w:color w:val="auto"/>
                <w:kern w:val="24"/>
                <w:sz w:val="24"/>
              </w:rPr>
              <w:t>⑷推广环保治理的先进经验和技术，保障设施的正常运行；</w:t>
            </w:r>
          </w:p>
          <w:p w14:paraId="7E4A13EB">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24"/>
                <w:sz w:val="24"/>
              </w:rPr>
            </w:pPr>
            <w:r>
              <w:rPr>
                <w:rFonts w:hint="default" w:ascii="Times New Roman" w:hAnsi="Times New Roman" w:cs="Times New Roman"/>
                <w:color w:val="auto"/>
                <w:kern w:val="24"/>
                <w:sz w:val="24"/>
              </w:rPr>
              <w:t>⑸组织开展全厂职工的环保教育、安全教育和环保工作人员的培训，不断提高环保工作人员素质和全厂职工的环境意识；</w:t>
            </w:r>
          </w:p>
          <w:p w14:paraId="590457AC">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24"/>
                <w:sz w:val="24"/>
              </w:rPr>
            </w:pPr>
            <w:r>
              <w:rPr>
                <w:rFonts w:hint="default" w:ascii="Times New Roman" w:hAnsi="Times New Roman" w:cs="Times New Roman"/>
                <w:color w:val="auto"/>
                <w:kern w:val="24"/>
                <w:sz w:val="24"/>
              </w:rPr>
              <w:t>⑹领导并组织全厂的环境监测工作，建立污染源监测档案，定期向主管部门及环保部门上报监测报表。</w:t>
            </w:r>
          </w:p>
          <w:p w14:paraId="2C420FFA">
            <w:pPr>
              <w:adjustRightInd w:val="0"/>
              <w:snapToGrid w:val="0"/>
              <w:spacing w:line="360" w:lineRule="auto"/>
              <w:ind w:firstLine="482" w:firstLineChars="200"/>
              <w:rPr>
                <w:rFonts w:hint="default" w:ascii="Times New Roman" w:hAnsi="Times New Roman" w:cs="Times New Roman"/>
                <w:b/>
                <w:color w:val="auto"/>
                <w:kern w:val="24"/>
                <w:sz w:val="24"/>
              </w:rPr>
            </w:pPr>
            <w:r>
              <w:rPr>
                <w:rFonts w:hint="eastAsia" w:ascii="Times New Roman" w:hAnsi="Times New Roman" w:cs="Times New Roman"/>
                <w:b/>
                <w:color w:val="auto"/>
                <w:kern w:val="24"/>
                <w:sz w:val="24"/>
                <w:lang w:val="en-US" w:eastAsia="zh-CN"/>
              </w:rPr>
              <w:t>1</w:t>
            </w:r>
            <w:r>
              <w:rPr>
                <w:rFonts w:hint="default" w:ascii="Times New Roman" w:hAnsi="Times New Roman" w:cs="Times New Roman"/>
                <w:b/>
                <w:color w:val="auto"/>
                <w:kern w:val="24"/>
                <w:sz w:val="24"/>
              </w:rPr>
              <w:t>.1.4</w:t>
            </w:r>
            <w:r>
              <w:rPr>
                <w:rFonts w:hint="default" w:ascii="Times New Roman" w:hAnsi="Times New Roman" w:cs="Times New Roman"/>
                <w:b/>
                <w:snapToGrid w:val="0"/>
                <w:color w:val="auto"/>
                <w:kern w:val="0"/>
                <w:sz w:val="24"/>
              </w:rPr>
              <w:t>运营期</w:t>
            </w:r>
            <w:r>
              <w:rPr>
                <w:rFonts w:hint="default" w:ascii="Times New Roman" w:hAnsi="Times New Roman" w:cs="Times New Roman"/>
                <w:b/>
                <w:color w:val="auto"/>
                <w:kern w:val="24"/>
                <w:sz w:val="24"/>
              </w:rPr>
              <w:t>环境管理计划</w:t>
            </w:r>
          </w:p>
          <w:p w14:paraId="768B79B5">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 xml:space="preserve">⑴环境管理体系和人员配备 </w:t>
            </w:r>
          </w:p>
          <w:p w14:paraId="672D2422">
            <w:pPr>
              <w:autoSpaceDE w:val="0"/>
              <w:autoSpaceDN w:val="0"/>
              <w:adjustRightInd w:val="0"/>
              <w:snapToGrid w:val="0"/>
              <w:spacing w:line="360" w:lineRule="auto"/>
              <w:ind w:firstLine="480" w:firstLineChars="200"/>
              <w:jc w:val="left"/>
              <w:rPr>
                <w:rFonts w:hint="eastAsia" w:ascii="Times New Roman" w:hAnsi="Times New Roman" w:cs="Times New Roman"/>
                <w:color w:val="auto"/>
                <w:kern w:val="24"/>
                <w:sz w:val="24"/>
                <w:lang w:val="en-US" w:eastAsia="zh-CN"/>
              </w:rPr>
            </w:pPr>
            <w:r>
              <w:rPr>
                <w:rFonts w:hint="default" w:ascii="Times New Roman" w:hAnsi="Times New Roman" w:cs="Times New Roman"/>
                <w:color w:val="auto"/>
                <w:kern w:val="24"/>
                <w:sz w:val="24"/>
              </w:rPr>
              <w:t>本项目的环境保护工作由一名下设管理机构工作人员负责管理。其职责是实施环保工作计划、规划、审查、监督建设项目的“三同时”工作，并对“三废”的排放达标进行监控。负责处理污染事故，编制环保统计及环保考核等报告。</w:t>
            </w:r>
            <w:r>
              <w:rPr>
                <w:rFonts w:hint="eastAsia" w:ascii="Times New Roman" w:hAnsi="Times New Roman" w:cs="Times New Roman"/>
                <w:color w:val="auto"/>
                <w:kern w:val="24"/>
                <w:sz w:val="24"/>
                <w:lang w:val="en-US" w:eastAsia="zh-CN"/>
              </w:rPr>
              <w:t xml:space="preserve">  </w:t>
            </w:r>
          </w:p>
          <w:p w14:paraId="47FE3E71">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24"/>
                <w:sz w:val="24"/>
              </w:rPr>
            </w:pPr>
            <w:r>
              <w:rPr>
                <w:rFonts w:hint="default" w:ascii="Times New Roman" w:hAnsi="Times New Roman" w:cs="Times New Roman"/>
                <w:color w:val="auto"/>
                <w:kern w:val="24"/>
                <w:sz w:val="24"/>
              </w:rPr>
              <w:t>建设项目建成后，必须设立环境管理机构，配备专业环保管理人员1名，负责环境监测管理工作，同时要加强对管理人员的环保培训。</w:t>
            </w:r>
          </w:p>
          <w:p w14:paraId="1769201C">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⑵制定环保工作计划</w:t>
            </w:r>
          </w:p>
          <w:p w14:paraId="1F631204">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建设单位应制定一系列规章制度以促进环境保护工作，使环境保护工作规范化和程序化，并通过经济杠杆来保证环境保护管理制度的认真执行。根据需要，建议制定的环境保护工作条例有：</w:t>
            </w:r>
          </w:p>
          <w:p w14:paraId="539E3058">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①环境保护职责管理办法；</w:t>
            </w:r>
          </w:p>
          <w:p w14:paraId="67063DCE">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②污水、固废排放管理制度；</w:t>
            </w:r>
          </w:p>
          <w:p w14:paraId="45FBCD19">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③环保教育制度；</w:t>
            </w:r>
          </w:p>
          <w:p w14:paraId="5DBC6924">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④排污情况报告制度</w:t>
            </w:r>
          </w:p>
          <w:p w14:paraId="362D936F">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⑶日常环境管理要求</w:t>
            </w:r>
          </w:p>
          <w:p w14:paraId="422A00B6">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①保证油坑及事故油池不会出现破损</w:t>
            </w:r>
          </w:p>
          <w:p w14:paraId="63392139">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②加强管理</w:t>
            </w:r>
          </w:p>
          <w:p w14:paraId="5074879F">
            <w:pPr>
              <w:autoSpaceDE w:val="0"/>
              <w:autoSpaceDN w:val="0"/>
              <w:adjustRightInd w:val="0"/>
              <w:snapToGrid w:val="0"/>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kern w:val="0"/>
                <w:sz w:val="24"/>
              </w:rPr>
              <w:t>加强“三废”排放管理制度，保证处理装置日常运行管理制度。</w:t>
            </w:r>
          </w:p>
          <w:p w14:paraId="05F1E536">
            <w:pPr>
              <w:adjustRightInd w:val="0"/>
              <w:snapToGrid w:val="0"/>
              <w:spacing w:line="360" w:lineRule="auto"/>
              <w:ind w:firstLine="482" w:firstLineChars="200"/>
              <w:rPr>
                <w:rFonts w:hint="default" w:ascii="Times New Roman" w:hAnsi="Times New Roman" w:cs="Times New Roman"/>
                <w:b/>
                <w:color w:val="auto"/>
                <w:sz w:val="24"/>
              </w:rPr>
            </w:pPr>
            <w:r>
              <w:rPr>
                <w:rFonts w:hint="eastAsia" w:ascii="Times New Roman" w:hAnsi="Times New Roman" w:cs="Times New Roman"/>
                <w:b/>
                <w:color w:val="auto"/>
                <w:sz w:val="24"/>
                <w:lang w:val="en-US" w:eastAsia="zh-CN"/>
              </w:rPr>
              <w:t>1</w:t>
            </w:r>
            <w:r>
              <w:rPr>
                <w:rFonts w:hint="default" w:ascii="Times New Roman" w:hAnsi="Times New Roman" w:cs="Times New Roman"/>
                <w:b/>
                <w:color w:val="auto"/>
                <w:sz w:val="24"/>
              </w:rPr>
              <w:t>.</w:t>
            </w:r>
            <w:r>
              <w:rPr>
                <w:rFonts w:hint="default" w:ascii="Times New Roman" w:hAnsi="Times New Roman" w:cs="Times New Roman"/>
                <w:b/>
                <w:color w:val="auto"/>
                <w:sz w:val="24"/>
                <w:lang w:val="en-US" w:eastAsia="zh-CN"/>
              </w:rPr>
              <w:t>2</w:t>
            </w:r>
            <w:r>
              <w:rPr>
                <w:rFonts w:hint="default" w:ascii="Times New Roman" w:hAnsi="Times New Roman" w:cs="Times New Roman"/>
                <w:b/>
                <w:color w:val="auto"/>
                <w:sz w:val="24"/>
              </w:rPr>
              <w:t>环境监测</w:t>
            </w:r>
          </w:p>
          <w:p w14:paraId="5C93C508">
            <w:pPr>
              <w:autoSpaceDE w:val="0"/>
              <w:autoSpaceDN w:val="0"/>
              <w:adjustRightInd w:val="0"/>
              <w:snapToGrid w:val="0"/>
              <w:spacing w:line="360" w:lineRule="auto"/>
              <w:ind w:firstLine="480" w:firstLineChars="200"/>
              <w:rPr>
                <w:rFonts w:hint="eastAsia" w:ascii="Times New Roman" w:hAnsi="Times New Roman" w:cs="Times New Roman" w:eastAsiaTheme="minorEastAsia"/>
                <w:b/>
                <w:bCs/>
                <w:color w:val="auto"/>
                <w:spacing w:val="-8"/>
                <w:szCs w:val="21"/>
                <w:lang w:eastAsia="zh-CN"/>
              </w:rPr>
            </w:pPr>
            <w:r>
              <w:rPr>
                <w:rFonts w:hint="default" w:ascii="Times New Roman" w:hAnsi="Times New Roman" w:cs="Times New Roman"/>
                <w:bCs/>
                <w:color w:val="auto"/>
                <w:kern w:val="0"/>
                <w:sz w:val="24"/>
              </w:rPr>
              <w:t>本项目建设单位可根据企业实际情况，将委托第三方监测机构或自行开展监测工作，并安排专职人员对监测数据进行记录、整理、统计和分析。环评建议的污染物最低监测频次见表5-</w:t>
            </w:r>
            <w:r>
              <w:rPr>
                <w:rFonts w:hint="eastAsia" w:ascii="Times New Roman" w:hAnsi="Times New Roman" w:cs="Times New Roman"/>
                <w:bCs/>
                <w:color w:val="auto"/>
                <w:kern w:val="0"/>
                <w:sz w:val="24"/>
                <w:lang w:val="en-US" w:eastAsia="zh-CN"/>
              </w:rPr>
              <w:t>2</w:t>
            </w:r>
          </w:p>
          <w:p w14:paraId="0FFEBCA2">
            <w:pPr>
              <w:spacing w:line="360" w:lineRule="auto"/>
              <w:ind w:firstLine="390" w:firstLineChars="200"/>
              <w:jc w:val="center"/>
              <w:rPr>
                <w:rFonts w:hint="default" w:ascii="Times New Roman" w:hAnsi="Times New Roman" w:cs="Times New Roman"/>
                <w:b/>
                <w:bCs/>
                <w:color w:val="auto"/>
                <w:spacing w:val="-8"/>
                <w:szCs w:val="21"/>
              </w:rPr>
            </w:pPr>
            <w:r>
              <w:rPr>
                <w:rFonts w:hint="default" w:ascii="Times New Roman" w:hAnsi="Times New Roman" w:cs="Times New Roman"/>
                <w:b/>
                <w:bCs/>
                <w:color w:val="auto"/>
                <w:spacing w:val="-8"/>
                <w:szCs w:val="21"/>
              </w:rPr>
              <w:t>表5-</w:t>
            </w:r>
            <w:r>
              <w:rPr>
                <w:rFonts w:hint="eastAsia" w:ascii="Times New Roman" w:hAnsi="Times New Roman" w:cs="Times New Roman"/>
                <w:b/>
                <w:bCs/>
                <w:color w:val="auto"/>
                <w:spacing w:val="-8"/>
                <w:szCs w:val="21"/>
                <w:lang w:val="en-US" w:eastAsia="zh-CN"/>
              </w:rPr>
              <w:t>2</w:t>
            </w:r>
            <w:r>
              <w:rPr>
                <w:rFonts w:hint="default" w:ascii="Times New Roman" w:hAnsi="Times New Roman" w:cs="Times New Roman"/>
                <w:b/>
                <w:bCs/>
                <w:color w:val="auto"/>
                <w:spacing w:val="-8"/>
                <w:szCs w:val="21"/>
              </w:rPr>
              <w:t>污染源监测计划</w:t>
            </w:r>
          </w:p>
          <w:tbl>
            <w:tblPr>
              <w:tblStyle w:val="24"/>
              <w:tblW w:w="495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 w:type="dxa"/>
                <w:bottom w:w="0" w:type="dxa"/>
                <w:right w:w="10" w:type="dxa"/>
              </w:tblCellMar>
            </w:tblPr>
            <w:tblGrid>
              <w:gridCol w:w="463"/>
              <w:gridCol w:w="630"/>
              <w:gridCol w:w="1558"/>
              <w:gridCol w:w="5526"/>
            </w:tblGrid>
            <w:tr w14:paraId="032D22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227" w:hRule="atLeast"/>
              </w:trPr>
              <w:tc>
                <w:tcPr>
                  <w:tcW w:w="282" w:type="pct"/>
                  <w:noWrap w:val="0"/>
                  <w:vAlign w:val="center"/>
                </w:tcPr>
                <w:p w14:paraId="3D73F57A">
                  <w:pPr>
                    <w:jc w:val="center"/>
                    <w:rPr>
                      <w:rFonts w:hint="default" w:ascii="Times New Roman" w:hAnsi="Times New Roman" w:cs="Times New Roman"/>
                      <w:color w:val="auto"/>
                      <w:spacing w:val="-2"/>
                      <w:szCs w:val="21"/>
                    </w:rPr>
                  </w:pPr>
                  <w:r>
                    <w:rPr>
                      <w:rFonts w:hint="default" w:ascii="Times New Roman" w:hAnsi="Times New Roman" w:cs="Times New Roman"/>
                      <w:color w:val="auto"/>
                      <w:spacing w:val="-2"/>
                      <w:szCs w:val="21"/>
                    </w:rPr>
                    <w:t>序号</w:t>
                  </w:r>
                </w:p>
              </w:tc>
              <w:tc>
                <w:tcPr>
                  <w:tcW w:w="1337" w:type="pct"/>
                  <w:gridSpan w:val="2"/>
                  <w:noWrap w:val="0"/>
                  <w:vAlign w:val="center"/>
                </w:tcPr>
                <w:p w14:paraId="57C22B06">
                  <w:pPr>
                    <w:jc w:val="center"/>
                    <w:rPr>
                      <w:rFonts w:hint="default" w:ascii="Times New Roman" w:hAnsi="Times New Roman" w:cs="Times New Roman"/>
                      <w:color w:val="auto"/>
                      <w:spacing w:val="-2"/>
                      <w:szCs w:val="21"/>
                    </w:rPr>
                  </w:pPr>
                  <w:r>
                    <w:rPr>
                      <w:rFonts w:hint="default" w:ascii="Times New Roman" w:hAnsi="Times New Roman" w:cs="Times New Roman"/>
                      <w:color w:val="auto"/>
                      <w:spacing w:val="-2"/>
                      <w:szCs w:val="21"/>
                    </w:rPr>
                    <w:t>名称</w:t>
                  </w:r>
                </w:p>
              </w:tc>
              <w:tc>
                <w:tcPr>
                  <w:tcW w:w="3379" w:type="pct"/>
                  <w:noWrap w:val="0"/>
                  <w:vAlign w:val="center"/>
                </w:tcPr>
                <w:p w14:paraId="65272170">
                  <w:pPr>
                    <w:jc w:val="center"/>
                    <w:rPr>
                      <w:rFonts w:hint="default" w:ascii="Times New Roman" w:hAnsi="Times New Roman" w:cs="Times New Roman"/>
                      <w:color w:val="auto"/>
                      <w:spacing w:val="-2"/>
                      <w:szCs w:val="21"/>
                    </w:rPr>
                  </w:pPr>
                  <w:r>
                    <w:rPr>
                      <w:rFonts w:hint="default" w:ascii="Times New Roman" w:hAnsi="Times New Roman" w:cs="Times New Roman"/>
                      <w:color w:val="auto"/>
                      <w:spacing w:val="-2"/>
                      <w:szCs w:val="21"/>
                    </w:rPr>
                    <w:t>内容</w:t>
                  </w:r>
                </w:p>
              </w:tc>
            </w:tr>
            <w:tr w14:paraId="6745D0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227" w:hRule="atLeast"/>
              </w:trPr>
              <w:tc>
                <w:tcPr>
                  <w:tcW w:w="282" w:type="pct"/>
                  <w:vMerge w:val="restart"/>
                  <w:noWrap w:val="0"/>
                  <w:vAlign w:val="center"/>
                </w:tcPr>
                <w:p w14:paraId="70C803B8">
                  <w:pPr>
                    <w:jc w:val="center"/>
                    <w:rPr>
                      <w:rFonts w:hint="eastAsia" w:ascii="Times New Roman" w:hAnsi="Times New Roman" w:cs="Times New Roman" w:eastAsiaTheme="minorEastAsia"/>
                      <w:color w:val="auto"/>
                      <w:spacing w:val="-2"/>
                      <w:szCs w:val="21"/>
                      <w:lang w:eastAsia="zh-CN"/>
                    </w:rPr>
                  </w:pPr>
                  <w:r>
                    <w:rPr>
                      <w:rFonts w:hint="eastAsia" w:ascii="Times New Roman" w:hAnsi="Times New Roman" w:cs="Times New Roman"/>
                      <w:color w:val="auto"/>
                      <w:spacing w:val="-2"/>
                      <w:szCs w:val="21"/>
                      <w:lang w:val="en-US" w:eastAsia="zh-CN"/>
                    </w:rPr>
                    <w:t>1</w:t>
                  </w:r>
                </w:p>
              </w:tc>
              <w:tc>
                <w:tcPr>
                  <w:tcW w:w="384" w:type="pct"/>
                  <w:vMerge w:val="restart"/>
                  <w:noWrap w:val="0"/>
                  <w:vAlign w:val="center"/>
                </w:tcPr>
                <w:p w14:paraId="1AB59882">
                  <w:pPr>
                    <w:jc w:val="center"/>
                    <w:rPr>
                      <w:rFonts w:hint="default" w:ascii="Times New Roman" w:hAnsi="Times New Roman" w:cs="Times New Roman"/>
                      <w:color w:val="auto"/>
                      <w:spacing w:val="-2"/>
                      <w:szCs w:val="21"/>
                    </w:rPr>
                  </w:pPr>
                  <w:r>
                    <w:rPr>
                      <w:rFonts w:hint="default" w:ascii="Times New Roman" w:hAnsi="Times New Roman" w:cs="Times New Roman"/>
                      <w:color w:val="auto"/>
                      <w:spacing w:val="-2"/>
                      <w:szCs w:val="21"/>
                    </w:rPr>
                    <w:t>噪声</w:t>
                  </w:r>
                </w:p>
              </w:tc>
              <w:tc>
                <w:tcPr>
                  <w:tcW w:w="952" w:type="pct"/>
                  <w:noWrap w:val="0"/>
                  <w:vAlign w:val="center"/>
                </w:tcPr>
                <w:p w14:paraId="41C2E869">
                  <w:pPr>
                    <w:jc w:val="center"/>
                    <w:rPr>
                      <w:rFonts w:hint="default" w:ascii="Times New Roman" w:hAnsi="Times New Roman" w:cs="Times New Roman"/>
                      <w:color w:val="auto"/>
                      <w:spacing w:val="-2"/>
                      <w:szCs w:val="21"/>
                    </w:rPr>
                  </w:pPr>
                  <w:r>
                    <w:rPr>
                      <w:rFonts w:hint="default" w:ascii="Times New Roman" w:hAnsi="Times New Roman" w:cs="Times New Roman"/>
                      <w:color w:val="auto"/>
                      <w:spacing w:val="-2"/>
                      <w:szCs w:val="21"/>
                    </w:rPr>
                    <w:t>点位布设</w:t>
                  </w:r>
                </w:p>
              </w:tc>
              <w:tc>
                <w:tcPr>
                  <w:tcW w:w="3379" w:type="pct"/>
                  <w:noWrap w:val="0"/>
                  <w:vAlign w:val="center"/>
                </w:tcPr>
                <w:p w14:paraId="77A2BBDF">
                  <w:pPr>
                    <w:jc w:val="center"/>
                    <w:rPr>
                      <w:rFonts w:hint="default" w:ascii="Times New Roman" w:hAnsi="Times New Roman" w:cs="Times New Roman"/>
                      <w:color w:val="auto"/>
                      <w:spacing w:val="-2"/>
                      <w:szCs w:val="21"/>
                    </w:rPr>
                  </w:pPr>
                  <w:r>
                    <w:rPr>
                      <w:rFonts w:hint="default" w:ascii="Times New Roman" w:hAnsi="Times New Roman" w:cs="Times New Roman"/>
                      <w:color w:val="auto"/>
                      <w:spacing w:val="-2"/>
                      <w:szCs w:val="21"/>
                      <w:lang w:val="en-US" w:eastAsia="zh-CN"/>
                    </w:rPr>
                    <w:t>光伏场</w:t>
                  </w:r>
                  <w:r>
                    <w:rPr>
                      <w:rFonts w:hint="eastAsia" w:ascii="Times New Roman" w:hAnsi="Times New Roman" w:cs="Times New Roman"/>
                      <w:color w:val="auto"/>
                      <w:spacing w:val="-2"/>
                      <w:szCs w:val="21"/>
                      <w:lang w:val="en-US" w:eastAsia="zh-CN"/>
                    </w:rPr>
                    <w:t>厂界</w:t>
                  </w:r>
                </w:p>
              </w:tc>
            </w:tr>
            <w:tr w14:paraId="71C74F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227" w:hRule="atLeast"/>
              </w:trPr>
              <w:tc>
                <w:tcPr>
                  <w:tcW w:w="282" w:type="pct"/>
                  <w:vMerge w:val="continue"/>
                  <w:noWrap w:val="0"/>
                  <w:vAlign w:val="center"/>
                </w:tcPr>
                <w:p w14:paraId="527626FC">
                  <w:pPr>
                    <w:jc w:val="center"/>
                    <w:rPr>
                      <w:rFonts w:hint="default" w:ascii="Times New Roman" w:hAnsi="Times New Roman" w:cs="Times New Roman"/>
                      <w:color w:val="auto"/>
                      <w:spacing w:val="-2"/>
                      <w:szCs w:val="21"/>
                    </w:rPr>
                  </w:pPr>
                </w:p>
              </w:tc>
              <w:tc>
                <w:tcPr>
                  <w:tcW w:w="384" w:type="pct"/>
                  <w:vMerge w:val="continue"/>
                  <w:noWrap w:val="0"/>
                  <w:vAlign w:val="center"/>
                </w:tcPr>
                <w:p w14:paraId="4DFCA910">
                  <w:pPr>
                    <w:jc w:val="center"/>
                    <w:rPr>
                      <w:rFonts w:hint="default" w:ascii="Times New Roman" w:hAnsi="Times New Roman" w:cs="Times New Roman"/>
                      <w:color w:val="auto"/>
                      <w:spacing w:val="-2"/>
                      <w:szCs w:val="21"/>
                    </w:rPr>
                  </w:pPr>
                </w:p>
              </w:tc>
              <w:tc>
                <w:tcPr>
                  <w:tcW w:w="952" w:type="pct"/>
                  <w:noWrap w:val="0"/>
                  <w:vAlign w:val="center"/>
                </w:tcPr>
                <w:p w14:paraId="7311BF1E">
                  <w:pPr>
                    <w:jc w:val="center"/>
                    <w:rPr>
                      <w:rFonts w:hint="default" w:ascii="Times New Roman" w:hAnsi="Times New Roman" w:cs="Times New Roman"/>
                      <w:color w:val="auto"/>
                      <w:spacing w:val="-2"/>
                      <w:szCs w:val="21"/>
                    </w:rPr>
                  </w:pPr>
                  <w:r>
                    <w:rPr>
                      <w:rFonts w:hint="default" w:ascii="Times New Roman" w:hAnsi="Times New Roman" w:cs="Times New Roman"/>
                      <w:color w:val="auto"/>
                      <w:spacing w:val="-2"/>
                      <w:szCs w:val="21"/>
                    </w:rPr>
                    <w:t>监测项目</w:t>
                  </w:r>
                </w:p>
              </w:tc>
              <w:tc>
                <w:tcPr>
                  <w:tcW w:w="3379" w:type="pct"/>
                  <w:noWrap w:val="0"/>
                  <w:vAlign w:val="center"/>
                </w:tcPr>
                <w:p w14:paraId="5F3CF2B3">
                  <w:pPr>
                    <w:jc w:val="center"/>
                    <w:rPr>
                      <w:rFonts w:hint="default" w:ascii="Times New Roman" w:hAnsi="Times New Roman" w:cs="Times New Roman"/>
                      <w:color w:val="auto"/>
                      <w:spacing w:val="-2"/>
                      <w:szCs w:val="21"/>
                    </w:rPr>
                  </w:pPr>
                  <w:r>
                    <w:rPr>
                      <w:rFonts w:hint="default" w:ascii="Times New Roman" w:hAnsi="Times New Roman" w:cs="Times New Roman"/>
                      <w:color w:val="auto"/>
                      <w:spacing w:val="-2"/>
                      <w:szCs w:val="21"/>
                    </w:rPr>
                    <w:t>等效连续A声级</w:t>
                  </w:r>
                </w:p>
              </w:tc>
            </w:tr>
            <w:tr w14:paraId="314524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227" w:hRule="atLeast"/>
              </w:trPr>
              <w:tc>
                <w:tcPr>
                  <w:tcW w:w="282" w:type="pct"/>
                  <w:vMerge w:val="continue"/>
                  <w:noWrap w:val="0"/>
                  <w:vAlign w:val="center"/>
                </w:tcPr>
                <w:p w14:paraId="44055966">
                  <w:pPr>
                    <w:jc w:val="center"/>
                    <w:rPr>
                      <w:rFonts w:hint="default" w:ascii="Times New Roman" w:hAnsi="Times New Roman" w:cs="Times New Roman"/>
                      <w:color w:val="auto"/>
                      <w:spacing w:val="-2"/>
                      <w:szCs w:val="21"/>
                    </w:rPr>
                  </w:pPr>
                </w:p>
              </w:tc>
              <w:tc>
                <w:tcPr>
                  <w:tcW w:w="384" w:type="pct"/>
                  <w:vMerge w:val="continue"/>
                  <w:noWrap w:val="0"/>
                  <w:vAlign w:val="center"/>
                </w:tcPr>
                <w:p w14:paraId="0608C1FC">
                  <w:pPr>
                    <w:jc w:val="center"/>
                    <w:rPr>
                      <w:rFonts w:hint="default" w:ascii="Times New Roman" w:hAnsi="Times New Roman" w:cs="Times New Roman"/>
                      <w:color w:val="auto"/>
                      <w:spacing w:val="-2"/>
                      <w:szCs w:val="21"/>
                    </w:rPr>
                  </w:pPr>
                </w:p>
              </w:tc>
              <w:tc>
                <w:tcPr>
                  <w:tcW w:w="952" w:type="pct"/>
                  <w:noWrap w:val="0"/>
                  <w:vAlign w:val="center"/>
                </w:tcPr>
                <w:p w14:paraId="278A8434">
                  <w:pPr>
                    <w:jc w:val="center"/>
                    <w:rPr>
                      <w:rFonts w:hint="default" w:ascii="Times New Roman" w:hAnsi="Times New Roman" w:cs="Times New Roman"/>
                      <w:color w:val="auto"/>
                      <w:spacing w:val="-2"/>
                      <w:szCs w:val="21"/>
                    </w:rPr>
                  </w:pPr>
                  <w:r>
                    <w:rPr>
                      <w:rFonts w:hint="default" w:ascii="Times New Roman" w:hAnsi="Times New Roman" w:cs="Times New Roman"/>
                      <w:color w:val="auto"/>
                      <w:spacing w:val="-2"/>
                      <w:szCs w:val="21"/>
                    </w:rPr>
                    <w:t>监测方法</w:t>
                  </w:r>
                </w:p>
              </w:tc>
              <w:tc>
                <w:tcPr>
                  <w:tcW w:w="3379" w:type="pct"/>
                  <w:noWrap w:val="0"/>
                  <w:vAlign w:val="center"/>
                </w:tcPr>
                <w:p w14:paraId="5697555A">
                  <w:pPr>
                    <w:jc w:val="center"/>
                    <w:rPr>
                      <w:rFonts w:hint="default" w:ascii="Times New Roman" w:hAnsi="Times New Roman" w:cs="Times New Roman"/>
                      <w:color w:val="auto"/>
                      <w:spacing w:val="-2"/>
                      <w:szCs w:val="21"/>
                    </w:rPr>
                  </w:pPr>
                  <w:r>
                    <w:rPr>
                      <w:rFonts w:hint="default" w:ascii="Times New Roman" w:hAnsi="Times New Roman" w:cs="Times New Roman"/>
                      <w:color w:val="auto"/>
                      <w:spacing w:val="-2"/>
                      <w:szCs w:val="21"/>
                    </w:rPr>
                    <w:t>《工业企业厂界环境噪声排放标准》（GB12348-2008）</w:t>
                  </w:r>
                </w:p>
              </w:tc>
            </w:tr>
            <w:tr w14:paraId="6BD35B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227" w:hRule="atLeast"/>
              </w:trPr>
              <w:tc>
                <w:tcPr>
                  <w:tcW w:w="282" w:type="pct"/>
                  <w:vMerge w:val="continue"/>
                  <w:noWrap w:val="0"/>
                  <w:vAlign w:val="center"/>
                </w:tcPr>
                <w:p w14:paraId="2F10513D">
                  <w:pPr>
                    <w:jc w:val="center"/>
                    <w:rPr>
                      <w:rFonts w:hint="default" w:ascii="Times New Roman" w:hAnsi="Times New Roman" w:cs="Times New Roman"/>
                      <w:color w:val="auto"/>
                      <w:spacing w:val="-2"/>
                      <w:szCs w:val="21"/>
                    </w:rPr>
                  </w:pPr>
                </w:p>
              </w:tc>
              <w:tc>
                <w:tcPr>
                  <w:tcW w:w="384" w:type="pct"/>
                  <w:vMerge w:val="continue"/>
                  <w:noWrap w:val="0"/>
                  <w:vAlign w:val="center"/>
                </w:tcPr>
                <w:p w14:paraId="455289A3">
                  <w:pPr>
                    <w:jc w:val="center"/>
                    <w:rPr>
                      <w:rFonts w:hint="default" w:ascii="Times New Roman" w:hAnsi="Times New Roman" w:cs="Times New Roman"/>
                      <w:color w:val="auto"/>
                      <w:spacing w:val="-2"/>
                      <w:szCs w:val="21"/>
                    </w:rPr>
                  </w:pPr>
                </w:p>
              </w:tc>
              <w:tc>
                <w:tcPr>
                  <w:tcW w:w="952" w:type="pct"/>
                  <w:noWrap w:val="0"/>
                  <w:vAlign w:val="center"/>
                </w:tcPr>
                <w:p w14:paraId="05F8A233">
                  <w:pPr>
                    <w:jc w:val="center"/>
                    <w:rPr>
                      <w:rFonts w:hint="default" w:ascii="Times New Roman" w:hAnsi="Times New Roman" w:cs="Times New Roman"/>
                      <w:color w:val="auto"/>
                      <w:spacing w:val="-2"/>
                      <w:szCs w:val="21"/>
                    </w:rPr>
                  </w:pPr>
                  <w:r>
                    <w:rPr>
                      <w:rFonts w:hint="default" w:ascii="Times New Roman" w:hAnsi="Times New Roman" w:cs="Times New Roman"/>
                      <w:color w:val="auto"/>
                      <w:spacing w:val="-2"/>
                      <w:szCs w:val="21"/>
                    </w:rPr>
                    <w:t>监测频次和时间</w:t>
                  </w:r>
                </w:p>
              </w:tc>
              <w:tc>
                <w:tcPr>
                  <w:tcW w:w="3379" w:type="pct"/>
                  <w:noWrap w:val="0"/>
                  <w:vAlign w:val="center"/>
                </w:tcPr>
                <w:p w14:paraId="22F1AC15">
                  <w:pPr>
                    <w:jc w:val="center"/>
                    <w:rPr>
                      <w:rFonts w:hint="default" w:ascii="Times New Roman" w:hAnsi="Times New Roman" w:cs="Times New Roman"/>
                      <w:color w:val="auto"/>
                      <w:spacing w:val="-2"/>
                      <w:szCs w:val="21"/>
                    </w:rPr>
                  </w:pPr>
                  <w:r>
                    <w:rPr>
                      <w:rFonts w:hint="default" w:ascii="Times New Roman" w:hAnsi="Times New Roman" w:cs="Times New Roman"/>
                      <w:color w:val="auto"/>
                      <w:spacing w:val="-2"/>
                      <w:szCs w:val="21"/>
                    </w:rPr>
                    <w:t>结合工程竣工环境保护验收，正式运行后进行一次监测，并针对公众投诉进行必要的监测：</w:t>
                  </w:r>
                </w:p>
              </w:tc>
            </w:tr>
          </w:tbl>
          <w:p w14:paraId="69F58C63">
            <w:pPr>
              <w:autoSpaceDE w:val="0"/>
              <w:autoSpaceDN w:val="0"/>
              <w:adjustRightInd w:val="0"/>
              <w:snapToGrid w:val="0"/>
              <w:spacing w:line="360" w:lineRule="auto"/>
              <w:ind w:firstLine="480" w:firstLineChars="200"/>
              <w:rPr>
                <w:rFonts w:hint="default" w:ascii="Times New Roman" w:hAnsi="Times New Roman" w:cs="Times New Roman"/>
                <w:bCs/>
                <w:color w:val="auto"/>
                <w:kern w:val="0"/>
                <w:sz w:val="24"/>
              </w:rPr>
            </w:pPr>
            <w:r>
              <w:rPr>
                <w:rFonts w:hint="eastAsia" w:ascii="Times New Roman" w:hAnsi="Times New Roman" w:cs="Times New Roman"/>
                <w:bCs/>
                <w:color w:val="auto"/>
                <w:kern w:val="0"/>
                <w:sz w:val="24"/>
                <w:lang w:val="en-US" w:eastAsia="zh-CN"/>
              </w:rPr>
              <w:t>1</w:t>
            </w:r>
            <w:r>
              <w:rPr>
                <w:rFonts w:hint="default" w:ascii="Times New Roman" w:hAnsi="Times New Roman" w:cs="Times New Roman"/>
                <w:bCs/>
                <w:color w:val="auto"/>
                <w:kern w:val="0"/>
                <w:sz w:val="24"/>
              </w:rPr>
              <w:t>.</w:t>
            </w:r>
            <w:r>
              <w:rPr>
                <w:rFonts w:hint="eastAsia" w:ascii="Times New Roman" w:hAnsi="Times New Roman" w:cs="Times New Roman"/>
                <w:bCs/>
                <w:color w:val="auto"/>
                <w:kern w:val="0"/>
                <w:sz w:val="24"/>
                <w:lang w:val="en-US" w:eastAsia="zh-CN"/>
              </w:rPr>
              <w:t>2</w:t>
            </w:r>
            <w:r>
              <w:rPr>
                <w:rFonts w:hint="default" w:ascii="Times New Roman" w:hAnsi="Times New Roman" w:cs="Times New Roman"/>
                <w:bCs/>
                <w:color w:val="auto"/>
                <w:kern w:val="0"/>
                <w:sz w:val="24"/>
              </w:rPr>
              <w:t>.1监测点位布设</w:t>
            </w:r>
          </w:p>
          <w:p w14:paraId="6F257987">
            <w:pPr>
              <w:autoSpaceDE w:val="0"/>
              <w:autoSpaceDN w:val="0"/>
              <w:adjustRightInd w:val="0"/>
              <w:snapToGrid w:val="0"/>
              <w:spacing w:line="360" w:lineRule="auto"/>
              <w:ind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w:t>
            </w:r>
            <w:r>
              <w:rPr>
                <w:rFonts w:hint="eastAsia" w:ascii="Times New Roman" w:hAnsi="Times New Roman" w:cs="Times New Roman"/>
                <w:bCs/>
                <w:color w:val="auto"/>
                <w:kern w:val="0"/>
                <w:sz w:val="24"/>
                <w:lang w:val="en-US" w:eastAsia="zh-CN"/>
              </w:rPr>
              <w:t>1</w:t>
            </w:r>
            <w:r>
              <w:rPr>
                <w:rFonts w:hint="default" w:ascii="Times New Roman" w:hAnsi="Times New Roman" w:cs="Times New Roman"/>
                <w:bCs/>
                <w:color w:val="auto"/>
                <w:kern w:val="0"/>
                <w:sz w:val="24"/>
              </w:rPr>
              <w:t>）噪声</w:t>
            </w:r>
          </w:p>
          <w:p w14:paraId="41A9B6BA">
            <w:pPr>
              <w:autoSpaceDE w:val="0"/>
              <w:autoSpaceDN w:val="0"/>
              <w:adjustRightInd w:val="0"/>
              <w:snapToGrid w:val="0"/>
              <w:spacing w:line="360" w:lineRule="auto"/>
              <w:ind w:firstLine="480" w:firstLineChars="200"/>
              <w:rPr>
                <w:rFonts w:hint="default" w:ascii="Times New Roman" w:hAnsi="Times New Roman" w:cs="Times New Roman"/>
                <w:bCs/>
                <w:color w:val="auto"/>
                <w:kern w:val="0"/>
                <w:sz w:val="24"/>
              </w:rPr>
            </w:pPr>
            <w:r>
              <w:rPr>
                <w:rFonts w:hint="eastAsia" w:ascii="Times New Roman" w:hAnsi="Times New Roman" w:cs="Times New Roman"/>
                <w:bCs/>
                <w:color w:val="auto"/>
                <w:kern w:val="0"/>
                <w:sz w:val="24"/>
                <w:lang w:eastAsia="zh-CN"/>
              </w:rPr>
              <w:t>项目区</w:t>
            </w:r>
            <w:r>
              <w:rPr>
                <w:rFonts w:hint="eastAsia" w:ascii="Times New Roman" w:hAnsi="Times New Roman" w:cs="Times New Roman"/>
                <w:bCs/>
                <w:color w:val="auto"/>
                <w:kern w:val="0"/>
                <w:sz w:val="24"/>
                <w:lang w:val="en-US" w:eastAsia="zh-CN"/>
              </w:rPr>
              <w:t>光伏场</w:t>
            </w:r>
            <w:r>
              <w:rPr>
                <w:rFonts w:hint="default" w:ascii="Times New Roman" w:hAnsi="Times New Roman" w:cs="Times New Roman"/>
                <w:bCs/>
                <w:color w:val="auto"/>
                <w:kern w:val="0"/>
                <w:sz w:val="24"/>
              </w:rPr>
              <w:t>环境噪声监测点位布设在</w:t>
            </w:r>
            <w:r>
              <w:rPr>
                <w:rFonts w:hint="eastAsia" w:ascii="Times New Roman" w:hAnsi="Times New Roman" w:cs="Times New Roman"/>
                <w:bCs/>
                <w:color w:val="auto"/>
                <w:kern w:val="0"/>
                <w:sz w:val="24"/>
                <w:lang w:val="en-US" w:eastAsia="zh-CN"/>
              </w:rPr>
              <w:t>光伏场厂界</w:t>
            </w:r>
            <w:r>
              <w:rPr>
                <w:rFonts w:hint="default" w:ascii="Times New Roman" w:hAnsi="Times New Roman" w:cs="Times New Roman"/>
                <w:bCs/>
                <w:color w:val="auto"/>
                <w:kern w:val="0"/>
                <w:sz w:val="24"/>
              </w:rPr>
              <w:t>，</w:t>
            </w:r>
          </w:p>
          <w:p w14:paraId="3D4A538E">
            <w:pPr>
              <w:autoSpaceDE w:val="0"/>
              <w:autoSpaceDN w:val="0"/>
              <w:adjustRightInd w:val="0"/>
              <w:snapToGrid w:val="0"/>
              <w:spacing w:line="360" w:lineRule="auto"/>
              <w:ind w:firstLine="480" w:firstLineChars="200"/>
              <w:rPr>
                <w:rFonts w:hint="default" w:ascii="Times New Roman" w:hAnsi="Times New Roman" w:cs="Times New Roman"/>
                <w:bCs/>
                <w:color w:val="auto"/>
                <w:kern w:val="0"/>
                <w:sz w:val="24"/>
              </w:rPr>
            </w:pPr>
            <w:r>
              <w:rPr>
                <w:rFonts w:hint="eastAsia" w:ascii="Times New Roman" w:hAnsi="Times New Roman" w:cs="Times New Roman"/>
                <w:bCs/>
                <w:color w:val="auto"/>
                <w:kern w:val="0"/>
                <w:sz w:val="24"/>
                <w:lang w:val="en-US" w:eastAsia="zh-CN"/>
              </w:rPr>
              <w:t>1</w:t>
            </w:r>
            <w:r>
              <w:rPr>
                <w:rFonts w:hint="default" w:ascii="Times New Roman" w:hAnsi="Times New Roman" w:cs="Times New Roman"/>
                <w:bCs/>
                <w:color w:val="auto"/>
                <w:kern w:val="0"/>
                <w:sz w:val="24"/>
              </w:rPr>
              <w:t>.</w:t>
            </w:r>
            <w:r>
              <w:rPr>
                <w:rFonts w:hint="eastAsia" w:ascii="Times New Roman" w:hAnsi="Times New Roman" w:cs="Times New Roman"/>
                <w:bCs/>
                <w:color w:val="auto"/>
                <w:kern w:val="0"/>
                <w:sz w:val="24"/>
                <w:lang w:val="en-US" w:eastAsia="zh-CN"/>
              </w:rPr>
              <w:t>2</w:t>
            </w:r>
            <w:r>
              <w:rPr>
                <w:rFonts w:hint="default" w:ascii="Times New Roman" w:hAnsi="Times New Roman" w:cs="Times New Roman"/>
                <w:bCs/>
                <w:color w:val="auto"/>
                <w:kern w:val="0"/>
                <w:sz w:val="24"/>
              </w:rPr>
              <w:t>.2监测技术要求</w:t>
            </w:r>
          </w:p>
          <w:p w14:paraId="46702F95">
            <w:pPr>
              <w:autoSpaceDE w:val="0"/>
              <w:autoSpaceDN w:val="0"/>
              <w:adjustRightInd w:val="0"/>
              <w:snapToGrid w:val="0"/>
              <w:spacing w:line="360" w:lineRule="auto"/>
              <w:ind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⑴监测方法</w:t>
            </w:r>
          </w:p>
          <w:p w14:paraId="0879BA19">
            <w:pPr>
              <w:autoSpaceDE w:val="0"/>
              <w:autoSpaceDN w:val="0"/>
              <w:adjustRightInd w:val="0"/>
              <w:snapToGrid w:val="0"/>
              <w:spacing w:line="360" w:lineRule="auto"/>
              <w:ind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噪声的监测执行《工业企业厂界环境噪声排放标准》（GB12348-2008）中相关规定</w:t>
            </w:r>
          </w:p>
          <w:p w14:paraId="140054C8">
            <w:pPr>
              <w:autoSpaceDE w:val="0"/>
              <w:autoSpaceDN w:val="0"/>
              <w:adjustRightInd w:val="0"/>
              <w:snapToGrid w:val="0"/>
              <w:spacing w:line="360" w:lineRule="auto"/>
              <w:ind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⑵监测频次</w:t>
            </w:r>
          </w:p>
          <w:p w14:paraId="0E2FF83D">
            <w:pPr>
              <w:adjustRightInd w:val="0"/>
              <w:snapToGrid w:val="0"/>
              <w:spacing w:line="360" w:lineRule="auto"/>
              <w:ind w:firstLine="495"/>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竣工环境保护验收时监测一次，并针对公众投诉进行必要的监测。</w:t>
            </w:r>
          </w:p>
          <w:p w14:paraId="644A845B">
            <w:pPr>
              <w:pStyle w:val="2"/>
              <w:rPr>
                <w:rFonts w:hint="default" w:ascii="Times New Roman" w:hAnsi="Times New Roman" w:cs="Times New Roman"/>
                <w:bCs/>
                <w:color w:val="auto"/>
                <w:kern w:val="0"/>
                <w:sz w:val="24"/>
              </w:rPr>
            </w:pPr>
          </w:p>
          <w:p w14:paraId="0BDEA18F">
            <w:pPr>
              <w:pStyle w:val="3"/>
              <w:rPr>
                <w:rFonts w:hint="default" w:ascii="Times New Roman" w:hAnsi="Times New Roman" w:cs="Times New Roman"/>
                <w:bCs/>
                <w:color w:val="auto"/>
                <w:kern w:val="0"/>
                <w:sz w:val="24"/>
              </w:rPr>
            </w:pPr>
          </w:p>
          <w:p w14:paraId="46B1A8BD">
            <w:pPr>
              <w:rPr>
                <w:rFonts w:hint="default" w:ascii="Times New Roman" w:hAnsi="Times New Roman" w:cs="Times New Roman"/>
                <w:bCs/>
                <w:color w:val="auto"/>
                <w:kern w:val="0"/>
                <w:sz w:val="24"/>
              </w:rPr>
            </w:pPr>
          </w:p>
          <w:p w14:paraId="229AE950">
            <w:pPr>
              <w:pStyle w:val="2"/>
              <w:rPr>
                <w:rFonts w:hint="default" w:ascii="Times New Roman" w:hAnsi="Times New Roman" w:cs="Times New Roman"/>
                <w:bCs/>
                <w:color w:val="auto"/>
                <w:kern w:val="0"/>
                <w:sz w:val="24"/>
              </w:rPr>
            </w:pPr>
          </w:p>
          <w:p w14:paraId="2F42B0F0">
            <w:pPr>
              <w:pStyle w:val="3"/>
              <w:rPr>
                <w:rFonts w:hint="default" w:ascii="Times New Roman" w:hAnsi="Times New Roman" w:cs="Times New Roman"/>
                <w:bCs/>
                <w:color w:val="auto"/>
                <w:kern w:val="0"/>
                <w:sz w:val="24"/>
              </w:rPr>
            </w:pPr>
          </w:p>
          <w:p w14:paraId="468C301A">
            <w:pPr>
              <w:rPr>
                <w:rFonts w:hint="default" w:ascii="Times New Roman" w:hAnsi="Times New Roman" w:cs="Times New Roman"/>
                <w:bCs/>
                <w:color w:val="auto"/>
                <w:kern w:val="0"/>
                <w:sz w:val="24"/>
              </w:rPr>
            </w:pPr>
          </w:p>
          <w:p w14:paraId="78A1E743">
            <w:pPr>
              <w:pStyle w:val="2"/>
              <w:rPr>
                <w:rFonts w:hint="default" w:ascii="Times New Roman" w:hAnsi="Times New Roman" w:cs="Times New Roman"/>
                <w:bCs/>
                <w:color w:val="auto"/>
                <w:kern w:val="0"/>
                <w:sz w:val="24"/>
              </w:rPr>
            </w:pPr>
          </w:p>
          <w:p w14:paraId="2B877AA5">
            <w:pPr>
              <w:pStyle w:val="3"/>
              <w:rPr>
                <w:rFonts w:hint="default" w:ascii="Times New Roman" w:hAnsi="Times New Roman" w:cs="Times New Roman"/>
                <w:bCs/>
                <w:color w:val="auto"/>
                <w:kern w:val="0"/>
                <w:sz w:val="24"/>
              </w:rPr>
            </w:pPr>
          </w:p>
          <w:p w14:paraId="62446CE4">
            <w:pPr>
              <w:rPr>
                <w:rFonts w:hint="default" w:ascii="Times New Roman" w:hAnsi="Times New Roman" w:cs="Times New Roman"/>
                <w:bCs/>
                <w:color w:val="auto"/>
                <w:kern w:val="0"/>
                <w:sz w:val="24"/>
              </w:rPr>
            </w:pPr>
          </w:p>
          <w:p w14:paraId="094B9535">
            <w:pPr>
              <w:pStyle w:val="2"/>
              <w:rPr>
                <w:rFonts w:hint="default" w:ascii="Times New Roman" w:hAnsi="Times New Roman" w:cs="Times New Roman"/>
                <w:bCs/>
                <w:color w:val="auto"/>
                <w:kern w:val="0"/>
                <w:sz w:val="24"/>
              </w:rPr>
            </w:pPr>
          </w:p>
          <w:p w14:paraId="2520BB65">
            <w:pPr>
              <w:pStyle w:val="3"/>
              <w:rPr>
                <w:rFonts w:hint="default" w:ascii="Times New Roman" w:hAnsi="Times New Roman" w:cs="Times New Roman"/>
                <w:bCs/>
                <w:color w:val="auto"/>
                <w:kern w:val="0"/>
                <w:sz w:val="24"/>
              </w:rPr>
            </w:pPr>
          </w:p>
          <w:p w14:paraId="38CEB71F">
            <w:pPr>
              <w:rPr>
                <w:rFonts w:hint="default" w:ascii="Times New Roman" w:hAnsi="Times New Roman" w:cs="Times New Roman"/>
                <w:bCs/>
                <w:color w:val="auto"/>
                <w:kern w:val="0"/>
                <w:sz w:val="24"/>
              </w:rPr>
            </w:pPr>
          </w:p>
          <w:p w14:paraId="44032037">
            <w:pPr>
              <w:pStyle w:val="2"/>
              <w:rPr>
                <w:rFonts w:hint="default" w:ascii="Times New Roman" w:hAnsi="Times New Roman" w:cs="Times New Roman"/>
                <w:bCs/>
                <w:color w:val="auto"/>
                <w:kern w:val="0"/>
                <w:sz w:val="24"/>
              </w:rPr>
            </w:pPr>
          </w:p>
          <w:p w14:paraId="26B82077">
            <w:pPr>
              <w:pStyle w:val="3"/>
              <w:rPr>
                <w:rFonts w:hint="default" w:ascii="Times New Roman" w:hAnsi="Times New Roman" w:cs="Times New Roman"/>
                <w:bCs/>
                <w:color w:val="auto"/>
                <w:kern w:val="0"/>
                <w:sz w:val="24"/>
              </w:rPr>
            </w:pPr>
          </w:p>
          <w:p w14:paraId="5455D930">
            <w:pPr>
              <w:rPr>
                <w:rFonts w:hint="default" w:ascii="Times New Roman" w:hAnsi="Times New Roman" w:cs="Times New Roman"/>
                <w:bCs/>
                <w:color w:val="auto"/>
                <w:kern w:val="0"/>
                <w:sz w:val="24"/>
              </w:rPr>
            </w:pPr>
          </w:p>
          <w:p w14:paraId="33B7A0C7">
            <w:pPr>
              <w:pStyle w:val="2"/>
              <w:rPr>
                <w:rFonts w:hint="default" w:ascii="Times New Roman" w:hAnsi="Times New Roman" w:cs="Times New Roman"/>
                <w:bCs/>
                <w:color w:val="auto"/>
                <w:kern w:val="0"/>
                <w:sz w:val="24"/>
              </w:rPr>
            </w:pPr>
          </w:p>
          <w:p w14:paraId="3EF10515">
            <w:pPr>
              <w:pStyle w:val="3"/>
              <w:rPr>
                <w:rFonts w:hint="default" w:ascii="Times New Roman" w:hAnsi="Times New Roman" w:cs="Times New Roman"/>
                <w:bCs/>
                <w:color w:val="auto"/>
                <w:kern w:val="0"/>
                <w:sz w:val="24"/>
              </w:rPr>
            </w:pPr>
          </w:p>
          <w:p w14:paraId="38CB8A00">
            <w:pPr>
              <w:rPr>
                <w:rFonts w:hint="default" w:ascii="Times New Roman" w:hAnsi="Times New Roman" w:cs="Times New Roman"/>
                <w:bCs/>
                <w:color w:val="auto"/>
                <w:kern w:val="0"/>
                <w:sz w:val="24"/>
              </w:rPr>
            </w:pPr>
          </w:p>
          <w:p w14:paraId="1D87D145">
            <w:pPr>
              <w:pStyle w:val="2"/>
              <w:rPr>
                <w:rFonts w:hint="default" w:ascii="Times New Roman" w:hAnsi="Times New Roman" w:cs="Times New Roman"/>
                <w:bCs/>
                <w:color w:val="auto"/>
                <w:kern w:val="0"/>
                <w:sz w:val="24"/>
              </w:rPr>
            </w:pPr>
          </w:p>
          <w:p w14:paraId="628FAE76">
            <w:pPr>
              <w:pStyle w:val="3"/>
              <w:rPr>
                <w:rFonts w:hint="default" w:ascii="Times New Roman" w:hAnsi="Times New Roman" w:cs="Times New Roman"/>
                <w:bCs/>
                <w:color w:val="auto"/>
                <w:kern w:val="0"/>
                <w:sz w:val="24"/>
              </w:rPr>
            </w:pPr>
          </w:p>
          <w:p w14:paraId="11F58C97">
            <w:pPr>
              <w:rPr>
                <w:rFonts w:hint="default" w:ascii="Times New Roman" w:hAnsi="Times New Roman" w:cs="Times New Roman"/>
                <w:bCs/>
                <w:color w:val="auto"/>
                <w:kern w:val="0"/>
                <w:sz w:val="24"/>
              </w:rPr>
            </w:pPr>
          </w:p>
          <w:p w14:paraId="24916A2B">
            <w:pPr>
              <w:pStyle w:val="2"/>
              <w:rPr>
                <w:rFonts w:hint="default" w:ascii="Times New Roman" w:hAnsi="Times New Roman" w:cs="Times New Roman"/>
                <w:bCs/>
                <w:color w:val="auto"/>
                <w:kern w:val="0"/>
                <w:sz w:val="24"/>
              </w:rPr>
            </w:pPr>
          </w:p>
          <w:p w14:paraId="1E865D1D">
            <w:pPr>
              <w:pStyle w:val="3"/>
              <w:rPr>
                <w:rFonts w:hint="default" w:ascii="Times New Roman" w:hAnsi="Times New Roman" w:cs="Times New Roman"/>
                <w:bCs/>
                <w:color w:val="auto"/>
                <w:kern w:val="0"/>
                <w:sz w:val="24"/>
              </w:rPr>
            </w:pPr>
          </w:p>
          <w:p w14:paraId="109B09C8">
            <w:pPr>
              <w:rPr>
                <w:rFonts w:hint="default" w:ascii="Times New Roman" w:hAnsi="Times New Roman" w:cs="Times New Roman"/>
                <w:bCs/>
                <w:color w:val="auto"/>
                <w:kern w:val="0"/>
                <w:sz w:val="24"/>
              </w:rPr>
            </w:pPr>
          </w:p>
          <w:p w14:paraId="0F7A0336">
            <w:pPr>
              <w:pStyle w:val="2"/>
              <w:rPr>
                <w:rFonts w:hint="default" w:ascii="Times New Roman" w:hAnsi="Times New Roman" w:cs="Times New Roman"/>
                <w:bCs/>
                <w:color w:val="auto"/>
                <w:kern w:val="0"/>
                <w:sz w:val="24"/>
              </w:rPr>
            </w:pPr>
          </w:p>
          <w:p w14:paraId="08E8BE19">
            <w:pPr>
              <w:pStyle w:val="3"/>
              <w:rPr>
                <w:rFonts w:hint="default" w:ascii="Times New Roman" w:hAnsi="Times New Roman" w:cs="Times New Roman"/>
                <w:bCs/>
                <w:color w:val="auto"/>
                <w:kern w:val="0"/>
                <w:sz w:val="24"/>
              </w:rPr>
            </w:pPr>
          </w:p>
          <w:p w14:paraId="295C6A5E">
            <w:pPr>
              <w:rPr>
                <w:rFonts w:hint="default" w:ascii="Times New Roman" w:hAnsi="Times New Roman" w:cs="Times New Roman"/>
                <w:bCs/>
                <w:color w:val="auto"/>
                <w:kern w:val="0"/>
                <w:sz w:val="24"/>
              </w:rPr>
            </w:pPr>
          </w:p>
          <w:p w14:paraId="13762B55">
            <w:pPr>
              <w:pStyle w:val="2"/>
              <w:rPr>
                <w:rFonts w:hint="default" w:ascii="Times New Roman" w:hAnsi="Times New Roman" w:cs="Times New Roman"/>
                <w:bCs/>
                <w:color w:val="auto"/>
                <w:kern w:val="0"/>
                <w:sz w:val="24"/>
              </w:rPr>
            </w:pPr>
          </w:p>
          <w:p w14:paraId="27CF5186">
            <w:pPr>
              <w:pStyle w:val="3"/>
              <w:rPr>
                <w:rFonts w:hint="default" w:ascii="Times New Roman" w:hAnsi="Times New Roman" w:cs="Times New Roman"/>
                <w:bCs/>
                <w:color w:val="auto"/>
                <w:kern w:val="0"/>
                <w:sz w:val="24"/>
              </w:rPr>
            </w:pPr>
          </w:p>
          <w:p w14:paraId="219E359B">
            <w:pPr>
              <w:pStyle w:val="2"/>
              <w:rPr>
                <w:color w:val="auto"/>
              </w:rPr>
            </w:pPr>
          </w:p>
        </w:tc>
      </w:tr>
      <w:tr w14:paraId="6C6C19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40" w:hRule="atLeast"/>
          <w:jc w:val="center"/>
        </w:trPr>
        <w:tc>
          <w:tcPr>
            <w:tcW w:w="742" w:type="dxa"/>
            <w:noWrap w:val="0"/>
            <w:vAlign w:val="center"/>
          </w:tcPr>
          <w:p w14:paraId="0EE60AFB">
            <w:pPr>
              <w:adjustRightInd w:val="0"/>
              <w:snapToGrid w:val="0"/>
              <w:jc w:val="center"/>
              <w:rPr>
                <w:rFonts w:hint="eastAsia"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环保投资</w:t>
            </w:r>
          </w:p>
        </w:tc>
        <w:tc>
          <w:tcPr>
            <w:tcW w:w="8468" w:type="dxa"/>
            <w:noWrap w:val="0"/>
            <w:vAlign w:val="top"/>
          </w:tcPr>
          <w:p w14:paraId="7A7E26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color w:val="auto"/>
                <w:sz w:val="24"/>
                <w:highlight w:val="none"/>
              </w:rPr>
              <w:t>本项目的环保治理措施及投资估算见下表。项目总投资</w:t>
            </w:r>
            <w:r>
              <w:rPr>
                <w:rFonts w:hint="eastAsia" w:ascii="Times New Roman" w:hAnsi="Times New Roman" w:cs="Times New Roman"/>
                <w:color w:val="auto"/>
                <w:sz w:val="24"/>
                <w:szCs w:val="24"/>
                <w:highlight w:val="none"/>
                <w:lang w:val="en-US" w:eastAsia="zh-CN"/>
              </w:rPr>
              <w:t>24294.55</w:t>
            </w:r>
            <w:r>
              <w:rPr>
                <w:rFonts w:hint="default" w:ascii="Times New Roman" w:hAnsi="Times New Roman" w:eastAsia="宋体" w:cs="Times New Roman"/>
                <w:color w:val="auto"/>
                <w:sz w:val="24"/>
                <w:highlight w:val="none"/>
              </w:rPr>
              <w:t>万元，环保投资</w:t>
            </w:r>
            <w:r>
              <w:rPr>
                <w:rFonts w:hint="eastAsia" w:ascii="Times New Roman" w:hAnsi="Times New Roman" w:eastAsia="宋体" w:cs="Times New Roman"/>
                <w:color w:val="auto"/>
                <w:sz w:val="24"/>
                <w:highlight w:val="none"/>
                <w:lang w:val="en-US" w:eastAsia="zh-CN"/>
              </w:rPr>
              <w:t>121</w:t>
            </w:r>
            <w:r>
              <w:rPr>
                <w:rFonts w:hint="default" w:ascii="Times New Roman" w:hAnsi="Times New Roman" w:eastAsia="宋体" w:cs="Times New Roman"/>
                <w:color w:val="auto"/>
                <w:sz w:val="24"/>
                <w:highlight w:val="none"/>
                <w:lang w:val="en-US" w:eastAsia="zh-CN"/>
              </w:rPr>
              <w:t>万元</w:t>
            </w:r>
            <w:r>
              <w:rPr>
                <w:rFonts w:hint="default" w:ascii="Times New Roman" w:hAnsi="Times New Roman" w:eastAsia="宋体" w:cs="Times New Roman"/>
                <w:color w:val="auto"/>
                <w:sz w:val="24"/>
                <w:highlight w:val="none"/>
              </w:rPr>
              <w:t>，环保投资占总投资的</w:t>
            </w:r>
            <w:r>
              <w:rPr>
                <w:rFonts w:hint="eastAsia" w:ascii="Times New Roman" w:hAnsi="Times New Roman" w:eastAsia="宋体" w:cs="Times New Roman"/>
                <w:color w:val="auto"/>
                <w:sz w:val="24"/>
                <w:highlight w:val="none"/>
                <w:lang w:val="en-US" w:eastAsia="zh-CN"/>
              </w:rPr>
              <w:t>0.5</w:t>
            </w:r>
            <w:r>
              <w:rPr>
                <w:rFonts w:hint="default" w:ascii="Times New Roman" w:hAnsi="Times New Roman" w:eastAsia="宋体" w:cs="Times New Roman"/>
                <w:color w:val="auto"/>
                <w:sz w:val="24"/>
                <w:highlight w:val="none"/>
              </w:rPr>
              <w:t>%。</w:t>
            </w:r>
          </w:p>
          <w:p w14:paraId="43C4E43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eastAsia" w:ascii="Times New Roman" w:hAnsi="Times New Roman" w:eastAsia="宋体" w:cs="Times New Roman"/>
                <w:b/>
                <w:color w:val="auto"/>
                <w:szCs w:val="21"/>
                <w:highlight w:val="none"/>
                <w:lang w:val="en-US" w:eastAsia="zh-CN"/>
              </w:rPr>
              <w:t>5-3</w:t>
            </w:r>
            <w:r>
              <w:rPr>
                <w:rFonts w:hint="default" w:ascii="Times New Roman" w:hAnsi="Times New Roman" w:eastAsia="宋体" w:cs="Times New Roman"/>
                <w:b/>
                <w:color w:val="auto"/>
                <w:szCs w:val="21"/>
                <w:highlight w:val="none"/>
              </w:rPr>
              <w:t xml:space="preserve"> 环境保护设施投资  单位：万元</w:t>
            </w:r>
          </w:p>
          <w:tbl>
            <w:tblPr>
              <w:tblStyle w:val="24"/>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517"/>
              <w:gridCol w:w="157"/>
              <w:gridCol w:w="675"/>
              <w:gridCol w:w="795"/>
              <w:gridCol w:w="2101"/>
              <w:gridCol w:w="705"/>
              <w:gridCol w:w="1950"/>
              <w:gridCol w:w="763"/>
            </w:tblGrid>
            <w:tr w14:paraId="75F15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9" w:type="dxa"/>
                  <w:tcBorders>
                    <w:tl2br w:val="nil"/>
                    <w:tr2bl w:val="nil"/>
                  </w:tcBorders>
                  <w:noWrap w:val="0"/>
                  <w:vAlign w:val="center"/>
                </w:tcPr>
                <w:p w14:paraId="6F82A59D">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1349" w:type="dxa"/>
                  <w:gridSpan w:val="3"/>
                  <w:tcBorders>
                    <w:tl2br w:val="nil"/>
                    <w:tr2bl w:val="nil"/>
                  </w:tcBorders>
                  <w:noWrap w:val="0"/>
                  <w:vAlign w:val="center"/>
                </w:tcPr>
                <w:p w14:paraId="09B93674">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w:t>
                  </w:r>
                </w:p>
              </w:tc>
              <w:tc>
                <w:tcPr>
                  <w:tcW w:w="2896" w:type="dxa"/>
                  <w:gridSpan w:val="2"/>
                  <w:tcBorders>
                    <w:tl2br w:val="nil"/>
                    <w:tr2bl w:val="nil"/>
                  </w:tcBorders>
                  <w:noWrap w:val="0"/>
                  <w:vAlign w:val="center"/>
                </w:tcPr>
                <w:p w14:paraId="47340848">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处置措施</w:t>
                  </w:r>
                </w:p>
              </w:tc>
              <w:tc>
                <w:tcPr>
                  <w:tcW w:w="705" w:type="dxa"/>
                  <w:tcBorders>
                    <w:tl2br w:val="nil"/>
                    <w:tr2bl w:val="nil"/>
                  </w:tcBorders>
                  <w:noWrap w:val="0"/>
                  <w:vAlign w:val="center"/>
                </w:tcPr>
                <w:p w14:paraId="7B7C83E4">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数量/规模</w:t>
                  </w:r>
                </w:p>
              </w:tc>
              <w:tc>
                <w:tcPr>
                  <w:tcW w:w="1950" w:type="dxa"/>
                  <w:tcBorders>
                    <w:tl2br w:val="nil"/>
                    <w:tr2bl w:val="nil"/>
                  </w:tcBorders>
                  <w:noWrap w:val="0"/>
                  <w:vAlign w:val="center"/>
                </w:tcPr>
                <w:p w14:paraId="00F99DBB">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验收标准</w:t>
                  </w:r>
                </w:p>
              </w:tc>
              <w:tc>
                <w:tcPr>
                  <w:tcW w:w="763" w:type="dxa"/>
                  <w:tcBorders>
                    <w:tl2br w:val="nil"/>
                    <w:tr2bl w:val="nil"/>
                  </w:tcBorders>
                  <w:noWrap w:val="0"/>
                  <w:vAlign w:val="center"/>
                </w:tcPr>
                <w:p w14:paraId="721D4A24">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投资</w:t>
                  </w:r>
                  <w:r>
                    <w:rPr>
                      <w:rFonts w:hint="eastAsia" w:ascii="Times New Roman" w:hAnsi="Times New Roman" w:eastAsia="宋体" w:cs="Times New Roman"/>
                      <w:color w:val="auto"/>
                      <w:sz w:val="21"/>
                      <w:szCs w:val="21"/>
                      <w:lang w:val="en-US" w:eastAsia="zh-CN"/>
                    </w:rPr>
                    <w:t>/万元</w:t>
                  </w:r>
                </w:p>
              </w:tc>
            </w:tr>
            <w:tr w14:paraId="1EBA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559" w:type="dxa"/>
                  <w:vMerge w:val="restart"/>
                  <w:tcBorders>
                    <w:tl2br w:val="nil"/>
                    <w:tr2bl w:val="nil"/>
                  </w:tcBorders>
                  <w:noWrap w:val="0"/>
                  <w:vAlign w:val="center"/>
                </w:tcPr>
                <w:p w14:paraId="160ADEDC">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349" w:type="dxa"/>
                  <w:gridSpan w:val="3"/>
                  <w:vMerge w:val="restart"/>
                  <w:tcBorders>
                    <w:tl2br w:val="nil"/>
                    <w:tr2bl w:val="nil"/>
                  </w:tcBorders>
                  <w:noWrap w:val="0"/>
                  <w:vAlign w:val="center"/>
                </w:tcPr>
                <w:p w14:paraId="08B2AD37">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w:t>
                  </w:r>
                </w:p>
                <w:p w14:paraId="23A89E5E">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w:t>
                  </w:r>
                </w:p>
              </w:tc>
              <w:tc>
                <w:tcPr>
                  <w:tcW w:w="795" w:type="dxa"/>
                  <w:tcBorders>
                    <w:tl2br w:val="nil"/>
                    <w:tr2bl w:val="nil"/>
                  </w:tcBorders>
                  <w:noWrap w:val="0"/>
                  <w:vAlign w:val="center"/>
                </w:tcPr>
                <w:p w14:paraId="2A005EBF">
                  <w:pPr>
                    <w:keepNext w:val="0"/>
                    <w:keepLines w:val="0"/>
                    <w:pageBreakBefore w:val="0"/>
                    <w:widowControl w:val="0"/>
                    <w:tabs>
                      <w:tab w:val="left" w:pos="1680"/>
                    </w:tabs>
                    <w:kinsoku/>
                    <w:wordWrap/>
                    <w:overflowPunct/>
                    <w:topLinePunct w:val="0"/>
                    <w:autoSpaceDE/>
                    <w:autoSpaceDN/>
                    <w:bidi w:val="0"/>
                    <w:adjustRightInd w:val="0"/>
                    <w:snapToGrid w:val="0"/>
                    <w:spacing w:line="240" w:lineRule="auto"/>
                    <w:ind w:right="0" w:firstLine="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施工期</w:t>
                  </w:r>
                </w:p>
              </w:tc>
              <w:tc>
                <w:tcPr>
                  <w:tcW w:w="2101" w:type="dxa"/>
                  <w:tcBorders>
                    <w:tl2br w:val="nil"/>
                    <w:tr2bl w:val="nil"/>
                  </w:tcBorders>
                  <w:noWrap w:val="0"/>
                  <w:vAlign w:val="center"/>
                </w:tcPr>
                <w:p w14:paraId="58BF1243">
                  <w:pPr>
                    <w:keepNext w:val="0"/>
                    <w:keepLines w:val="0"/>
                    <w:pageBreakBefore w:val="0"/>
                    <w:widowControl w:val="0"/>
                    <w:tabs>
                      <w:tab w:val="left" w:pos="1680"/>
                    </w:tabs>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依托周边农户环保厕所</w:t>
                  </w:r>
                </w:p>
              </w:tc>
              <w:tc>
                <w:tcPr>
                  <w:tcW w:w="705" w:type="dxa"/>
                  <w:tcBorders>
                    <w:tl2br w:val="nil"/>
                    <w:tr2bl w:val="nil"/>
                  </w:tcBorders>
                  <w:noWrap w:val="0"/>
                  <w:vAlign w:val="center"/>
                </w:tcPr>
                <w:p w14:paraId="26CB237A">
                  <w:pPr>
                    <w:keepNext w:val="0"/>
                    <w:keepLines w:val="0"/>
                    <w:pageBreakBefore w:val="0"/>
                    <w:widowControl w:val="0"/>
                    <w:tabs>
                      <w:tab w:val="left" w:pos="1680"/>
                    </w:tabs>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950" w:type="dxa"/>
                  <w:vMerge w:val="restart"/>
                  <w:tcBorders>
                    <w:tl2br w:val="nil"/>
                    <w:tr2bl w:val="nil"/>
                  </w:tcBorders>
                  <w:noWrap w:val="0"/>
                  <w:vAlign w:val="center"/>
                </w:tcPr>
                <w:p w14:paraId="73CD0A5F">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不外排</w:t>
                  </w:r>
                </w:p>
              </w:tc>
              <w:tc>
                <w:tcPr>
                  <w:tcW w:w="763" w:type="dxa"/>
                  <w:tcBorders>
                    <w:tl2br w:val="nil"/>
                    <w:tr2bl w:val="nil"/>
                  </w:tcBorders>
                  <w:noWrap w:val="0"/>
                  <w:vAlign w:val="center"/>
                </w:tcPr>
                <w:p w14:paraId="220EAC66">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2E98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59" w:type="dxa"/>
                  <w:vMerge w:val="continue"/>
                  <w:tcBorders>
                    <w:tl2br w:val="nil"/>
                    <w:tr2bl w:val="nil"/>
                  </w:tcBorders>
                  <w:noWrap w:val="0"/>
                  <w:vAlign w:val="center"/>
                </w:tcPr>
                <w:p w14:paraId="3B069FCF">
                  <w:pPr>
                    <w:keepNext w:val="0"/>
                    <w:keepLines w:val="0"/>
                    <w:pageBreakBefore w:val="0"/>
                    <w:widowControl w:val="0"/>
                    <w:tabs>
                      <w:tab w:val="left" w:pos="1680"/>
                    </w:tabs>
                    <w:kinsoku/>
                    <w:wordWrap/>
                    <w:overflowPunct/>
                    <w:topLinePunct w:val="0"/>
                    <w:autoSpaceDE/>
                    <w:autoSpaceDN/>
                    <w:bidi w:val="0"/>
                    <w:adjustRightInd w:val="0"/>
                    <w:snapToGrid w:val="0"/>
                    <w:spacing w:line="240" w:lineRule="auto"/>
                    <w:ind w:right="0" w:firstLine="0"/>
                    <w:jc w:val="center"/>
                    <w:textAlignment w:val="auto"/>
                    <w:rPr>
                      <w:color w:val="auto"/>
                    </w:rPr>
                  </w:pPr>
                </w:p>
              </w:tc>
              <w:tc>
                <w:tcPr>
                  <w:tcW w:w="1349" w:type="dxa"/>
                  <w:gridSpan w:val="3"/>
                  <w:vMerge w:val="continue"/>
                  <w:tcBorders>
                    <w:tl2br w:val="nil"/>
                    <w:tr2bl w:val="nil"/>
                  </w:tcBorders>
                  <w:noWrap w:val="0"/>
                  <w:vAlign w:val="center"/>
                </w:tcPr>
                <w:p w14:paraId="7DB67BDE">
                  <w:pPr>
                    <w:keepNext w:val="0"/>
                    <w:keepLines w:val="0"/>
                    <w:pageBreakBefore w:val="0"/>
                    <w:widowControl w:val="0"/>
                    <w:tabs>
                      <w:tab w:val="left" w:pos="1680"/>
                    </w:tabs>
                    <w:kinsoku/>
                    <w:wordWrap/>
                    <w:overflowPunct/>
                    <w:topLinePunct w:val="0"/>
                    <w:autoSpaceDE/>
                    <w:autoSpaceDN/>
                    <w:bidi w:val="0"/>
                    <w:adjustRightInd w:val="0"/>
                    <w:snapToGrid w:val="0"/>
                    <w:spacing w:line="240" w:lineRule="auto"/>
                    <w:ind w:right="0" w:firstLine="0"/>
                    <w:jc w:val="center"/>
                    <w:textAlignment w:val="auto"/>
                    <w:rPr>
                      <w:color w:val="auto"/>
                    </w:rPr>
                  </w:pPr>
                </w:p>
              </w:tc>
              <w:tc>
                <w:tcPr>
                  <w:tcW w:w="795" w:type="dxa"/>
                  <w:tcBorders>
                    <w:tl2br w:val="nil"/>
                    <w:tr2bl w:val="nil"/>
                  </w:tcBorders>
                  <w:noWrap w:val="0"/>
                  <w:vAlign w:val="center"/>
                </w:tcPr>
                <w:p w14:paraId="11859943">
                  <w:pPr>
                    <w:keepNext w:val="0"/>
                    <w:keepLines w:val="0"/>
                    <w:pageBreakBefore w:val="0"/>
                    <w:widowControl w:val="0"/>
                    <w:tabs>
                      <w:tab w:val="left" w:pos="1680"/>
                    </w:tabs>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运营期</w:t>
                  </w:r>
                </w:p>
              </w:tc>
              <w:tc>
                <w:tcPr>
                  <w:tcW w:w="2101" w:type="dxa"/>
                  <w:tcBorders>
                    <w:tl2br w:val="nil"/>
                    <w:tr2bl w:val="nil"/>
                  </w:tcBorders>
                  <w:noWrap w:val="0"/>
                  <w:vAlign w:val="center"/>
                </w:tcPr>
                <w:p w14:paraId="6AAA13D3">
                  <w:pPr>
                    <w:keepNext w:val="0"/>
                    <w:keepLines w:val="0"/>
                    <w:pageBreakBefore w:val="0"/>
                    <w:widowControl w:val="0"/>
                    <w:tabs>
                      <w:tab w:val="left" w:pos="1680"/>
                    </w:tabs>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光伏板清洗废水自然蒸发</w:t>
                  </w:r>
                </w:p>
              </w:tc>
              <w:tc>
                <w:tcPr>
                  <w:tcW w:w="705" w:type="dxa"/>
                  <w:tcBorders>
                    <w:tl2br w:val="nil"/>
                    <w:tr2bl w:val="nil"/>
                  </w:tcBorders>
                  <w:noWrap w:val="0"/>
                  <w:vAlign w:val="center"/>
                </w:tcPr>
                <w:p w14:paraId="1823748A">
                  <w:pPr>
                    <w:keepNext w:val="0"/>
                    <w:keepLines w:val="0"/>
                    <w:pageBreakBefore w:val="0"/>
                    <w:widowControl w:val="0"/>
                    <w:tabs>
                      <w:tab w:val="left" w:pos="1680"/>
                    </w:tabs>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950" w:type="dxa"/>
                  <w:vMerge w:val="continue"/>
                  <w:tcBorders>
                    <w:tl2br w:val="nil"/>
                    <w:tr2bl w:val="nil"/>
                  </w:tcBorders>
                  <w:noWrap w:val="0"/>
                  <w:vAlign w:val="center"/>
                </w:tcPr>
                <w:p w14:paraId="7B2FDD55">
                  <w:pPr>
                    <w:keepNext w:val="0"/>
                    <w:keepLines w:val="0"/>
                    <w:pageBreakBefore w:val="0"/>
                    <w:widowControl w:val="0"/>
                    <w:tabs>
                      <w:tab w:val="left" w:pos="1680"/>
                    </w:tabs>
                    <w:kinsoku/>
                    <w:wordWrap/>
                    <w:overflowPunct/>
                    <w:topLinePunct w:val="0"/>
                    <w:autoSpaceDE/>
                    <w:autoSpaceDN/>
                    <w:bidi w:val="0"/>
                    <w:adjustRightInd w:val="0"/>
                    <w:snapToGrid w:val="0"/>
                    <w:spacing w:line="240" w:lineRule="auto"/>
                    <w:ind w:right="0" w:firstLine="0"/>
                    <w:jc w:val="center"/>
                    <w:textAlignment w:val="auto"/>
                    <w:rPr>
                      <w:rFonts w:hint="eastAsia" w:ascii="Times New Roman" w:hAnsi="Times New Roman" w:eastAsia="宋体" w:cs="Times New Roman"/>
                      <w:color w:val="auto"/>
                      <w:sz w:val="21"/>
                      <w:szCs w:val="21"/>
                      <w:lang w:eastAsia="zh-CN"/>
                    </w:rPr>
                  </w:pPr>
                </w:p>
              </w:tc>
              <w:tc>
                <w:tcPr>
                  <w:tcW w:w="763" w:type="dxa"/>
                  <w:tcBorders>
                    <w:tl2br w:val="nil"/>
                    <w:tr2bl w:val="nil"/>
                  </w:tcBorders>
                  <w:noWrap w:val="0"/>
                  <w:vAlign w:val="center"/>
                </w:tcPr>
                <w:p w14:paraId="13357EFB">
                  <w:pPr>
                    <w:keepNext w:val="0"/>
                    <w:keepLines w:val="0"/>
                    <w:pageBreakBefore w:val="0"/>
                    <w:widowControl w:val="0"/>
                    <w:tabs>
                      <w:tab w:val="left" w:pos="1680"/>
                    </w:tabs>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06AC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59" w:type="dxa"/>
                  <w:vMerge w:val="restart"/>
                  <w:tcBorders>
                    <w:tl2br w:val="nil"/>
                    <w:tr2bl w:val="nil"/>
                  </w:tcBorders>
                  <w:noWrap w:val="0"/>
                  <w:vAlign w:val="center"/>
                </w:tcPr>
                <w:p w14:paraId="368A70EF">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517" w:type="dxa"/>
                  <w:vMerge w:val="restart"/>
                  <w:tcBorders>
                    <w:tl2br w:val="nil"/>
                    <w:tr2bl w:val="nil"/>
                  </w:tcBorders>
                  <w:noWrap w:val="0"/>
                  <w:vAlign w:val="center"/>
                </w:tcPr>
                <w:p w14:paraId="09D9D5F2">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施工期</w:t>
                  </w:r>
                </w:p>
              </w:tc>
              <w:tc>
                <w:tcPr>
                  <w:tcW w:w="832" w:type="dxa"/>
                  <w:gridSpan w:val="2"/>
                  <w:tcBorders>
                    <w:tl2br w:val="nil"/>
                    <w:tr2bl w:val="nil"/>
                  </w:tcBorders>
                  <w:noWrap w:val="0"/>
                  <w:vAlign w:val="center"/>
                </w:tcPr>
                <w:p w14:paraId="7AF61BAA">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eastAsia" w:ascii="Times New Roman" w:hAnsi="Times New Roman" w:eastAsia="宋体" w:cs="Times New Roman"/>
                      <w:color w:val="auto"/>
                      <w:spacing w:val="-2"/>
                      <w:sz w:val="21"/>
                      <w:szCs w:val="21"/>
                      <w:lang w:eastAsia="zh-CN"/>
                    </w:rPr>
                  </w:pPr>
                  <w:r>
                    <w:rPr>
                      <w:rFonts w:hint="eastAsia" w:ascii="Times New Roman" w:hAnsi="Times New Roman" w:eastAsia="宋体" w:cs="Times New Roman"/>
                      <w:color w:val="auto"/>
                      <w:spacing w:val="-2"/>
                      <w:sz w:val="21"/>
                      <w:szCs w:val="21"/>
                      <w:lang w:eastAsia="zh-CN"/>
                    </w:rPr>
                    <w:t>建筑</w:t>
                  </w:r>
                </w:p>
                <w:p w14:paraId="5CE87884">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eastAsia" w:ascii="Times New Roman" w:hAnsi="Times New Roman" w:eastAsia="宋体" w:cs="Times New Roman"/>
                      <w:color w:val="auto"/>
                      <w:spacing w:val="-2"/>
                      <w:sz w:val="21"/>
                      <w:szCs w:val="21"/>
                      <w:lang w:eastAsia="zh-CN"/>
                    </w:rPr>
                  </w:pPr>
                  <w:r>
                    <w:rPr>
                      <w:rFonts w:hint="eastAsia" w:ascii="Times New Roman" w:hAnsi="Times New Roman" w:eastAsia="宋体" w:cs="Times New Roman"/>
                      <w:color w:val="auto"/>
                      <w:spacing w:val="-2"/>
                      <w:sz w:val="21"/>
                      <w:szCs w:val="21"/>
                      <w:lang w:eastAsia="zh-CN"/>
                    </w:rPr>
                    <w:t>垃圾</w:t>
                  </w:r>
                </w:p>
              </w:tc>
              <w:tc>
                <w:tcPr>
                  <w:tcW w:w="2896" w:type="dxa"/>
                  <w:gridSpan w:val="2"/>
                  <w:tcBorders>
                    <w:tl2br w:val="nil"/>
                    <w:tr2bl w:val="nil"/>
                  </w:tcBorders>
                  <w:noWrap w:val="0"/>
                  <w:vAlign w:val="center"/>
                </w:tcPr>
                <w:p w14:paraId="34D30008">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eastAsia="zh-CN"/>
                    </w:rPr>
                    <w:t>可回收利用部分交由回收单位回收，不可回收部分送往指定地点堆存</w:t>
                  </w:r>
                </w:p>
              </w:tc>
              <w:tc>
                <w:tcPr>
                  <w:tcW w:w="705" w:type="dxa"/>
                  <w:tcBorders>
                    <w:tl2br w:val="nil"/>
                    <w:tr2bl w:val="nil"/>
                  </w:tcBorders>
                  <w:noWrap w:val="0"/>
                  <w:vAlign w:val="center"/>
                </w:tcPr>
                <w:p w14:paraId="581C35D8">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950" w:type="dxa"/>
                  <w:vMerge w:val="restart"/>
                  <w:tcBorders>
                    <w:tl2br w:val="nil"/>
                    <w:tr2bl w:val="nil"/>
                  </w:tcBorders>
                  <w:noWrap w:val="0"/>
                  <w:vAlign w:val="center"/>
                </w:tcPr>
                <w:p w14:paraId="10465D73">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场地内建筑垃圾、生活垃圾及时清运</w:t>
                  </w:r>
                </w:p>
              </w:tc>
              <w:tc>
                <w:tcPr>
                  <w:tcW w:w="763" w:type="dxa"/>
                  <w:tcBorders>
                    <w:tl2br w:val="nil"/>
                    <w:tr2bl w:val="nil"/>
                  </w:tcBorders>
                  <w:noWrap w:val="0"/>
                  <w:vAlign w:val="center"/>
                </w:tcPr>
                <w:p w14:paraId="2ABDF8DA">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r>
            <w:tr w14:paraId="51810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559" w:type="dxa"/>
                  <w:vMerge w:val="continue"/>
                  <w:tcBorders>
                    <w:tl2br w:val="nil"/>
                    <w:tr2bl w:val="nil"/>
                  </w:tcBorders>
                  <w:noWrap w:val="0"/>
                  <w:vAlign w:val="center"/>
                </w:tcPr>
                <w:p w14:paraId="67AA8856">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color w:val="auto"/>
                    </w:rPr>
                  </w:pPr>
                </w:p>
              </w:tc>
              <w:tc>
                <w:tcPr>
                  <w:tcW w:w="517" w:type="dxa"/>
                  <w:vMerge w:val="continue"/>
                  <w:tcBorders>
                    <w:tl2br w:val="nil"/>
                    <w:tr2bl w:val="nil"/>
                  </w:tcBorders>
                  <w:noWrap w:val="0"/>
                  <w:vAlign w:val="center"/>
                </w:tcPr>
                <w:p w14:paraId="2B1B331F">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pacing w:val="-2"/>
                      <w:sz w:val="21"/>
                      <w:szCs w:val="21"/>
                    </w:rPr>
                  </w:pPr>
                </w:p>
              </w:tc>
              <w:tc>
                <w:tcPr>
                  <w:tcW w:w="832" w:type="dxa"/>
                  <w:gridSpan w:val="2"/>
                  <w:tcBorders>
                    <w:tl2br w:val="nil"/>
                    <w:tr2bl w:val="nil"/>
                  </w:tcBorders>
                  <w:noWrap w:val="0"/>
                  <w:vAlign w:val="center"/>
                </w:tcPr>
                <w:p w14:paraId="75E065FB">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生活垃圾</w:t>
                  </w:r>
                </w:p>
              </w:tc>
              <w:tc>
                <w:tcPr>
                  <w:tcW w:w="2896" w:type="dxa"/>
                  <w:gridSpan w:val="2"/>
                  <w:tcBorders>
                    <w:tl2br w:val="nil"/>
                    <w:tr2bl w:val="nil"/>
                  </w:tcBorders>
                  <w:noWrap w:val="0"/>
                  <w:vAlign w:val="center"/>
                </w:tcPr>
                <w:p w14:paraId="3BAFC4DD">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垃圾桶</w:t>
                  </w:r>
                </w:p>
              </w:tc>
              <w:tc>
                <w:tcPr>
                  <w:tcW w:w="705" w:type="dxa"/>
                  <w:tcBorders>
                    <w:tl2br w:val="nil"/>
                    <w:tr2bl w:val="nil"/>
                  </w:tcBorders>
                  <w:noWrap w:val="0"/>
                  <w:vAlign w:val="center"/>
                </w:tcPr>
                <w:p w14:paraId="3DFE5B00">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若干</w:t>
                  </w:r>
                </w:p>
              </w:tc>
              <w:tc>
                <w:tcPr>
                  <w:tcW w:w="1950" w:type="dxa"/>
                  <w:vMerge w:val="continue"/>
                  <w:tcBorders>
                    <w:tl2br w:val="nil"/>
                    <w:tr2bl w:val="nil"/>
                  </w:tcBorders>
                  <w:noWrap w:val="0"/>
                  <w:vAlign w:val="center"/>
                </w:tcPr>
                <w:p w14:paraId="09F4F391">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pacing w:val="-2"/>
                      <w:sz w:val="21"/>
                      <w:szCs w:val="21"/>
                    </w:rPr>
                  </w:pPr>
                </w:p>
              </w:tc>
              <w:tc>
                <w:tcPr>
                  <w:tcW w:w="763" w:type="dxa"/>
                  <w:tcBorders>
                    <w:tl2br w:val="nil"/>
                    <w:tr2bl w:val="nil"/>
                  </w:tcBorders>
                  <w:noWrap w:val="0"/>
                  <w:vAlign w:val="center"/>
                </w:tcPr>
                <w:p w14:paraId="7BF81E73">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pacing w:val="-2"/>
                      <w:sz w:val="21"/>
                      <w:szCs w:val="21"/>
                    </w:rPr>
                  </w:pPr>
                  <w:r>
                    <w:rPr>
                      <w:rFonts w:hint="eastAsia" w:ascii="Times New Roman" w:hAnsi="Times New Roman" w:eastAsia="宋体" w:cs="Times New Roman"/>
                      <w:color w:val="auto"/>
                      <w:sz w:val="21"/>
                      <w:szCs w:val="21"/>
                      <w:lang w:val="en-US" w:eastAsia="zh-CN"/>
                    </w:rPr>
                    <w:t>0.5</w:t>
                  </w:r>
                </w:p>
              </w:tc>
            </w:tr>
            <w:tr w14:paraId="22E3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9" w:type="dxa"/>
                  <w:vMerge w:val="continue"/>
                  <w:tcBorders>
                    <w:tl2br w:val="nil"/>
                    <w:tr2bl w:val="nil"/>
                  </w:tcBorders>
                  <w:noWrap w:val="0"/>
                  <w:vAlign w:val="center"/>
                </w:tcPr>
                <w:p w14:paraId="546ECC67">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rPr>
                  </w:pPr>
                </w:p>
              </w:tc>
              <w:tc>
                <w:tcPr>
                  <w:tcW w:w="517" w:type="dxa"/>
                  <w:vMerge w:val="restart"/>
                  <w:tcBorders>
                    <w:tl2br w:val="nil"/>
                    <w:tr2bl w:val="nil"/>
                  </w:tcBorders>
                  <w:noWrap w:val="0"/>
                  <w:vAlign w:val="center"/>
                </w:tcPr>
                <w:p w14:paraId="5769128F">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运营期</w:t>
                  </w:r>
                </w:p>
              </w:tc>
              <w:tc>
                <w:tcPr>
                  <w:tcW w:w="832" w:type="dxa"/>
                  <w:gridSpan w:val="2"/>
                  <w:tcBorders>
                    <w:tl2br w:val="nil"/>
                    <w:tr2bl w:val="nil"/>
                  </w:tcBorders>
                  <w:noWrap w:val="0"/>
                  <w:vAlign w:val="center"/>
                </w:tcPr>
                <w:p w14:paraId="3D3E5FE0">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废弃太阳能电池板</w:t>
                  </w:r>
                </w:p>
              </w:tc>
              <w:tc>
                <w:tcPr>
                  <w:tcW w:w="2896" w:type="dxa"/>
                  <w:gridSpan w:val="2"/>
                  <w:vMerge w:val="restart"/>
                  <w:tcBorders>
                    <w:tl2br w:val="nil"/>
                    <w:tr2bl w:val="nil"/>
                  </w:tcBorders>
                  <w:noWrap w:val="0"/>
                  <w:vAlign w:val="center"/>
                </w:tcPr>
                <w:p w14:paraId="7B73D61D">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pacing w:val="-2"/>
                      <w:sz w:val="21"/>
                      <w:szCs w:val="21"/>
                      <w:lang w:eastAsia="zh-CN"/>
                    </w:rPr>
                  </w:pPr>
                  <w:r>
                    <w:rPr>
                      <w:rFonts w:hint="eastAsia" w:ascii="Times New Roman" w:hAnsi="Times New Roman" w:eastAsia="宋体" w:cs="Times New Roman"/>
                      <w:color w:val="auto"/>
                      <w:spacing w:val="-2"/>
                      <w:sz w:val="21"/>
                      <w:szCs w:val="21"/>
                      <w:lang w:val="en-US" w:eastAsia="zh-CN"/>
                    </w:rPr>
                    <w:t>由厂家进行更换，更换后的废件厂家收集带走，不在场区内暂存</w:t>
                  </w:r>
                  <w:r>
                    <w:rPr>
                      <w:rFonts w:hint="default" w:ascii="Times New Roman" w:hAnsi="Times New Roman" w:eastAsia="宋体" w:cs="Times New Roman"/>
                      <w:color w:val="auto"/>
                      <w:spacing w:val="-2"/>
                      <w:sz w:val="21"/>
                      <w:szCs w:val="21"/>
                    </w:rPr>
                    <w:t>委托</w:t>
                  </w:r>
                  <w:r>
                    <w:rPr>
                      <w:rFonts w:hint="eastAsia" w:ascii="Times New Roman" w:hAnsi="Times New Roman" w:eastAsia="宋体" w:cs="Times New Roman"/>
                      <w:color w:val="auto"/>
                      <w:spacing w:val="-2"/>
                      <w:sz w:val="21"/>
                      <w:szCs w:val="21"/>
                      <w:lang w:val="en-US" w:eastAsia="zh-CN"/>
                    </w:rPr>
                    <w:t>专业</w:t>
                  </w:r>
                  <w:r>
                    <w:rPr>
                      <w:rFonts w:hint="default" w:ascii="Times New Roman" w:hAnsi="Times New Roman" w:eastAsia="宋体" w:cs="Times New Roman"/>
                      <w:color w:val="auto"/>
                      <w:spacing w:val="-2"/>
                      <w:sz w:val="21"/>
                      <w:szCs w:val="21"/>
                      <w:lang w:eastAsia="zh-CN"/>
                    </w:rPr>
                    <w:t>单位回收</w:t>
                  </w:r>
                </w:p>
              </w:tc>
              <w:tc>
                <w:tcPr>
                  <w:tcW w:w="705" w:type="dxa"/>
                  <w:vMerge w:val="restart"/>
                  <w:tcBorders>
                    <w:tl2br w:val="nil"/>
                    <w:tr2bl w:val="nil"/>
                  </w:tcBorders>
                  <w:noWrap w:val="0"/>
                  <w:vAlign w:val="center"/>
                </w:tcPr>
                <w:p w14:paraId="6B57AA35">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950" w:type="dxa"/>
                  <w:vMerge w:val="restart"/>
                  <w:tcBorders>
                    <w:tl2br w:val="nil"/>
                    <w:tr2bl w:val="nil"/>
                  </w:tcBorders>
                  <w:noWrap w:val="0"/>
                  <w:vAlign w:val="center"/>
                </w:tcPr>
                <w:p w14:paraId="082B5C8F">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光伏场内无废旧设备堆放</w:t>
                  </w:r>
                </w:p>
              </w:tc>
              <w:tc>
                <w:tcPr>
                  <w:tcW w:w="763" w:type="dxa"/>
                  <w:vMerge w:val="restart"/>
                  <w:tcBorders>
                    <w:tl2br w:val="nil"/>
                    <w:tr2bl w:val="nil"/>
                  </w:tcBorders>
                  <w:noWrap w:val="0"/>
                  <w:vAlign w:val="center"/>
                </w:tcPr>
                <w:p w14:paraId="3F6A0A16">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1B28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59" w:type="dxa"/>
                  <w:vMerge w:val="continue"/>
                  <w:tcBorders>
                    <w:tl2br w:val="nil"/>
                    <w:tr2bl w:val="nil"/>
                  </w:tcBorders>
                  <w:noWrap w:val="0"/>
                  <w:vAlign w:val="center"/>
                </w:tcPr>
                <w:p w14:paraId="7161904D">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rPr>
                  </w:pPr>
                </w:p>
              </w:tc>
              <w:tc>
                <w:tcPr>
                  <w:tcW w:w="517" w:type="dxa"/>
                  <w:vMerge w:val="continue"/>
                  <w:tcBorders>
                    <w:tl2br w:val="nil"/>
                    <w:tr2bl w:val="nil"/>
                  </w:tcBorders>
                  <w:noWrap w:val="0"/>
                  <w:vAlign w:val="center"/>
                </w:tcPr>
                <w:p w14:paraId="14D9C137">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eastAsia" w:ascii="Times New Roman" w:hAnsi="Times New Roman" w:eastAsia="宋体" w:cs="Times New Roman"/>
                      <w:color w:val="auto"/>
                      <w:spacing w:val="-2"/>
                      <w:sz w:val="21"/>
                      <w:szCs w:val="21"/>
                      <w:lang w:eastAsia="zh-CN"/>
                    </w:rPr>
                  </w:pPr>
                </w:p>
              </w:tc>
              <w:tc>
                <w:tcPr>
                  <w:tcW w:w="832" w:type="dxa"/>
                  <w:gridSpan w:val="2"/>
                  <w:tcBorders>
                    <w:tl2br w:val="nil"/>
                    <w:tr2bl w:val="nil"/>
                  </w:tcBorders>
                  <w:noWrap w:val="0"/>
                  <w:vAlign w:val="center"/>
                </w:tcPr>
                <w:p w14:paraId="375B41C4">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eastAsia" w:ascii="Times New Roman" w:hAnsi="Times New Roman" w:eastAsia="宋体" w:cs="Times New Roman"/>
                      <w:color w:val="auto"/>
                      <w:spacing w:val="-2"/>
                      <w:sz w:val="21"/>
                      <w:szCs w:val="21"/>
                      <w:lang w:eastAsia="zh-CN"/>
                    </w:rPr>
                  </w:pPr>
                  <w:r>
                    <w:rPr>
                      <w:rFonts w:hint="eastAsia" w:ascii="Times New Roman" w:hAnsi="Times New Roman" w:eastAsia="宋体" w:cs="Times New Roman"/>
                      <w:color w:val="auto"/>
                      <w:spacing w:val="-2"/>
                      <w:sz w:val="21"/>
                      <w:szCs w:val="21"/>
                      <w:lang w:eastAsia="zh-CN"/>
                    </w:rPr>
                    <w:t>废旧逆变器、箱变</w:t>
                  </w:r>
                </w:p>
              </w:tc>
              <w:tc>
                <w:tcPr>
                  <w:tcW w:w="2896" w:type="dxa"/>
                  <w:gridSpan w:val="2"/>
                  <w:vMerge w:val="continue"/>
                  <w:tcBorders>
                    <w:tl2br w:val="nil"/>
                    <w:tr2bl w:val="nil"/>
                  </w:tcBorders>
                  <w:noWrap w:val="0"/>
                  <w:vAlign w:val="center"/>
                </w:tcPr>
                <w:p w14:paraId="21B89789">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pacing w:val="-2"/>
                      <w:sz w:val="21"/>
                      <w:szCs w:val="21"/>
                    </w:rPr>
                  </w:pPr>
                </w:p>
              </w:tc>
              <w:tc>
                <w:tcPr>
                  <w:tcW w:w="705" w:type="dxa"/>
                  <w:vMerge w:val="continue"/>
                  <w:tcBorders>
                    <w:tl2br w:val="nil"/>
                    <w:tr2bl w:val="nil"/>
                  </w:tcBorders>
                  <w:noWrap w:val="0"/>
                  <w:vAlign w:val="center"/>
                </w:tcPr>
                <w:p w14:paraId="399F31C2">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rPr>
                  </w:pPr>
                </w:p>
              </w:tc>
              <w:tc>
                <w:tcPr>
                  <w:tcW w:w="1950" w:type="dxa"/>
                  <w:vMerge w:val="continue"/>
                  <w:tcBorders>
                    <w:tl2br w:val="nil"/>
                    <w:tr2bl w:val="nil"/>
                  </w:tcBorders>
                  <w:noWrap w:val="0"/>
                  <w:vAlign w:val="center"/>
                </w:tcPr>
                <w:p w14:paraId="0CC95143">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rPr>
                  </w:pPr>
                </w:p>
              </w:tc>
              <w:tc>
                <w:tcPr>
                  <w:tcW w:w="763" w:type="dxa"/>
                  <w:vMerge w:val="continue"/>
                  <w:tcBorders>
                    <w:tl2br w:val="nil"/>
                    <w:tr2bl w:val="nil"/>
                  </w:tcBorders>
                  <w:noWrap w:val="0"/>
                  <w:vAlign w:val="center"/>
                </w:tcPr>
                <w:p w14:paraId="63FE6170">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rPr>
                  </w:pPr>
                </w:p>
              </w:tc>
            </w:tr>
            <w:tr w14:paraId="08F97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9" w:type="dxa"/>
                  <w:vMerge w:val="continue"/>
                  <w:tcBorders>
                    <w:tl2br w:val="nil"/>
                    <w:tr2bl w:val="nil"/>
                  </w:tcBorders>
                  <w:noWrap w:val="0"/>
                  <w:vAlign w:val="center"/>
                </w:tcPr>
                <w:p w14:paraId="7137F8A1">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rPr>
                  </w:pPr>
                </w:p>
              </w:tc>
              <w:tc>
                <w:tcPr>
                  <w:tcW w:w="517" w:type="dxa"/>
                  <w:vMerge w:val="continue"/>
                  <w:tcBorders>
                    <w:tl2br w:val="nil"/>
                    <w:tr2bl w:val="nil"/>
                  </w:tcBorders>
                  <w:noWrap w:val="0"/>
                  <w:vAlign w:val="center"/>
                </w:tcPr>
                <w:p w14:paraId="1A0DB7A4">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pacing w:val="-2"/>
                      <w:sz w:val="21"/>
                      <w:szCs w:val="21"/>
                      <w:lang w:val="en-US" w:eastAsia="zh-CN"/>
                    </w:rPr>
                  </w:pPr>
                </w:p>
              </w:tc>
              <w:tc>
                <w:tcPr>
                  <w:tcW w:w="832" w:type="dxa"/>
                  <w:gridSpan w:val="2"/>
                  <w:tcBorders>
                    <w:tl2br w:val="nil"/>
                    <w:tr2bl w:val="nil"/>
                  </w:tcBorders>
                  <w:noWrap w:val="0"/>
                  <w:vAlign w:val="center"/>
                </w:tcPr>
                <w:p w14:paraId="09B95E94">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废事</w:t>
                  </w:r>
                </w:p>
                <w:p w14:paraId="06BE5FB6">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故油</w:t>
                  </w:r>
                </w:p>
              </w:tc>
              <w:tc>
                <w:tcPr>
                  <w:tcW w:w="2896" w:type="dxa"/>
                  <w:gridSpan w:val="2"/>
                  <w:tcBorders>
                    <w:tl2br w:val="nil"/>
                    <w:tr2bl w:val="nil"/>
                  </w:tcBorders>
                  <w:noWrap w:val="0"/>
                  <w:vAlign w:val="center"/>
                </w:tcPr>
                <w:p w14:paraId="62782BA4">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pacing w:val="-2"/>
                      <w:sz w:val="21"/>
                      <w:szCs w:val="21"/>
                      <w:vertAlign w:val="superscript"/>
                      <w:lang w:val="en-US" w:eastAsia="zh-CN"/>
                    </w:rPr>
                  </w:pPr>
                  <w:r>
                    <w:rPr>
                      <w:rFonts w:hint="eastAsia" w:ascii="Times New Roman" w:hAnsi="Times New Roman" w:eastAsia="宋体" w:cs="Times New Roman"/>
                      <w:color w:val="auto"/>
                      <w:spacing w:val="-2"/>
                      <w:sz w:val="21"/>
                      <w:szCs w:val="21"/>
                      <w:lang w:val="en-US" w:eastAsia="zh-CN"/>
                    </w:rPr>
                    <w:t>箱变下方设置事故油池，容积不小于3m</w:t>
                  </w:r>
                  <w:r>
                    <w:rPr>
                      <w:rFonts w:hint="eastAsia" w:ascii="Times New Roman" w:hAnsi="Times New Roman" w:eastAsia="宋体" w:cs="Times New Roman"/>
                      <w:color w:val="auto"/>
                      <w:spacing w:val="-2"/>
                      <w:sz w:val="21"/>
                      <w:szCs w:val="21"/>
                      <w:vertAlign w:val="superscript"/>
                      <w:lang w:val="en-US" w:eastAsia="zh-CN"/>
                    </w:rPr>
                    <w:t>3</w:t>
                  </w:r>
                  <w:r>
                    <w:rPr>
                      <w:rFonts w:hint="eastAsia" w:ascii="Times New Roman" w:hAnsi="Times New Roman" w:eastAsia="宋体" w:cs="Times New Roman"/>
                      <w:color w:val="auto"/>
                      <w:spacing w:val="-2"/>
                      <w:sz w:val="21"/>
                      <w:szCs w:val="21"/>
                      <w:lang w:val="en-US" w:eastAsia="zh-CN"/>
                    </w:rPr>
                    <w:t>；</w:t>
                  </w:r>
                </w:p>
              </w:tc>
              <w:tc>
                <w:tcPr>
                  <w:tcW w:w="705" w:type="dxa"/>
                  <w:tcBorders>
                    <w:tl2br w:val="nil"/>
                    <w:tr2bl w:val="nil"/>
                  </w:tcBorders>
                  <w:noWrap w:val="0"/>
                  <w:vAlign w:val="center"/>
                </w:tcPr>
                <w:p w14:paraId="3812B522">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21座</w:t>
                  </w:r>
                </w:p>
              </w:tc>
              <w:tc>
                <w:tcPr>
                  <w:tcW w:w="1950" w:type="dxa"/>
                  <w:tcBorders>
                    <w:tl2br w:val="nil"/>
                    <w:tr2bl w:val="nil"/>
                  </w:tcBorders>
                  <w:noWrap w:val="0"/>
                  <w:vAlign w:val="center"/>
                </w:tcPr>
                <w:p w14:paraId="7C2E5699">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《危险废物贮存污染控制标准》</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GB18597-20</w:t>
                  </w:r>
                  <w:r>
                    <w:rPr>
                      <w:rFonts w:hint="eastAsia" w:ascii="Times New Roman" w:hAnsi="Times New Roman" w:eastAsia="宋体" w:cs="Times New Roman"/>
                      <w:color w:val="auto"/>
                      <w:sz w:val="21"/>
                      <w:szCs w:val="21"/>
                      <w:lang w:val="en-US" w:eastAsia="zh-CN"/>
                    </w:rPr>
                    <w:t>23）</w:t>
                  </w:r>
                </w:p>
              </w:tc>
              <w:tc>
                <w:tcPr>
                  <w:tcW w:w="763" w:type="dxa"/>
                  <w:tcBorders>
                    <w:tl2br w:val="nil"/>
                    <w:tr2bl w:val="nil"/>
                  </w:tcBorders>
                  <w:noWrap w:val="0"/>
                  <w:vAlign w:val="center"/>
                </w:tcPr>
                <w:p w14:paraId="2A5674EB">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w:t>
                  </w:r>
                </w:p>
              </w:tc>
            </w:tr>
            <w:tr w14:paraId="35663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9" w:type="dxa"/>
                  <w:vMerge w:val="restart"/>
                  <w:tcBorders>
                    <w:tl2br w:val="nil"/>
                    <w:tr2bl w:val="nil"/>
                  </w:tcBorders>
                  <w:noWrap w:val="0"/>
                  <w:vAlign w:val="center"/>
                </w:tcPr>
                <w:p w14:paraId="70E9B59F">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674" w:type="dxa"/>
                  <w:gridSpan w:val="2"/>
                  <w:tcBorders>
                    <w:tl2br w:val="nil"/>
                    <w:tr2bl w:val="nil"/>
                  </w:tcBorders>
                  <w:noWrap w:val="0"/>
                  <w:vAlign w:val="center"/>
                </w:tcPr>
                <w:p w14:paraId="5096AD61">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施工期</w:t>
                  </w:r>
                </w:p>
              </w:tc>
              <w:tc>
                <w:tcPr>
                  <w:tcW w:w="675" w:type="dxa"/>
                  <w:tcBorders>
                    <w:tl2br w:val="nil"/>
                    <w:tr2bl w:val="nil"/>
                  </w:tcBorders>
                  <w:noWrap w:val="0"/>
                  <w:vAlign w:val="center"/>
                </w:tcPr>
                <w:p w14:paraId="59F93019">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设备噪声</w:t>
                  </w:r>
                </w:p>
              </w:tc>
              <w:tc>
                <w:tcPr>
                  <w:tcW w:w="2896" w:type="dxa"/>
                  <w:gridSpan w:val="2"/>
                  <w:tcBorders>
                    <w:tl2br w:val="nil"/>
                    <w:tr2bl w:val="nil"/>
                  </w:tcBorders>
                  <w:noWrap w:val="0"/>
                  <w:vAlign w:val="center"/>
                </w:tcPr>
                <w:p w14:paraId="4FF12B78">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使用低噪声设备、禁止夜间施工</w:t>
                  </w:r>
                </w:p>
              </w:tc>
              <w:tc>
                <w:tcPr>
                  <w:tcW w:w="705" w:type="dxa"/>
                  <w:tcBorders>
                    <w:tl2br w:val="nil"/>
                    <w:tr2bl w:val="nil"/>
                  </w:tcBorders>
                  <w:noWrap w:val="0"/>
                  <w:vAlign w:val="center"/>
                </w:tcPr>
                <w:p w14:paraId="40818A66">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950" w:type="dxa"/>
                  <w:tcBorders>
                    <w:tl2br w:val="nil"/>
                    <w:tr2bl w:val="nil"/>
                  </w:tcBorders>
                  <w:noWrap w:val="0"/>
                  <w:vAlign w:val="center"/>
                </w:tcPr>
                <w:p w14:paraId="38B2182F">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《建筑施工场界环境噪声排放标准》（GB12523-2011）</w:t>
                  </w:r>
                </w:p>
              </w:tc>
              <w:tc>
                <w:tcPr>
                  <w:tcW w:w="763" w:type="dxa"/>
                  <w:tcBorders>
                    <w:tl2br w:val="nil"/>
                    <w:tr2bl w:val="nil"/>
                  </w:tcBorders>
                  <w:noWrap w:val="0"/>
                  <w:vAlign w:val="center"/>
                </w:tcPr>
                <w:p w14:paraId="2F099C1C">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1A81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9" w:type="dxa"/>
                  <w:vMerge w:val="continue"/>
                  <w:tcBorders>
                    <w:tl2br w:val="nil"/>
                    <w:tr2bl w:val="nil"/>
                  </w:tcBorders>
                  <w:noWrap w:val="0"/>
                  <w:vAlign w:val="center"/>
                </w:tcPr>
                <w:p w14:paraId="3CC53251">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rPr>
                  </w:pPr>
                </w:p>
              </w:tc>
              <w:tc>
                <w:tcPr>
                  <w:tcW w:w="674" w:type="dxa"/>
                  <w:gridSpan w:val="2"/>
                  <w:tcBorders>
                    <w:tl2br w:val="nil"/>
                    <w:tr2bl w:val="nil"/>
                  </w:tcBorders>
                  <w:noWrap w:val="0"/>
                  <w:vAlign w:val="center"/>
                </w:tcPr>
                <w:p w14:paraId="5D480DD7">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运营期</w:t>
                  </w:r>
                </w:p>
              </w:tc>
              <w:tc>
                <w:tcPr>
                  <w:tcW w:w="675" w:type="dxa"/>
                  <w:tcBorders>
                    <w:tl2br w:val="nil"/>
                    <w:tr2bl w:val="nil"/>
                  </w:tcBorders>
                  <w:noWrap w:val="0"/>
                  <w:vAlign w:val="center"/>
                </w:tcPr>
                <w:p w14:paraId="04BA02C1">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箱式变压器</w:t>
                  </w:r>
                </w:p>
              </w:tc>
              <w:tc>
                <w:tcPr>
                  <w:tcW w:w="2896" w:type="dxa"/>
                  <w:gridSpan w:val="2"/>
                  <w:tcBorders>
                    <w:tl2br w:val="nil"/>
                    <w:tr2bl w:val="nil"/>
                  </w:tcBorders>
                  <w:noWrap w:val="0"/>
                  <w:vAlign w:val="center"/>
                </w:tcPr>
                <w:p w14:paraId="688A2616">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基础减震、优化布置、光伏区绿化</w:t>
                  </w:r>
                </w:p>
              </w:tc>
              <w:tc>
                <w:tcPr>
                  <w:tcW w:w="705" w:type="dxa"/>
                  <w:tcBorders>
                    <w:tl2br w:val="nil"/>
                    <w:tr2bl w:val="nil"/>
                  </w:tcBorders>
                  <w:noWrap w:val="0"/>
                  <w:vAlign w:val="center"/>
                </w:tcPr>
                <w:p w14:paraId="5FA28469">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rPr>
                  </w:pPr>
                </w:p>
              </w:tc>
              <w:tc>
                <w:tcPr>
                  <w:tcW w:w="1950" w:type="dxa"/>
                  <w:tcBorders>
                    <w:tl2br w:val="nil"/>
                    <w:tr2bl w:val="nil"/>
                  </w:tcBorders>
                  <w:noWrap w:val="0"/>
                  <w:vAlign w:val="center"/>
                </w:tcPr>
                <w:p w14:paraId="7FEA676B">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《声环境质量标准》（GB3096-2008）中</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类标准</w:t>
                  </w:r>
                </w:p>
              </w:tc>
              <w:tc>
                <w:tcPr>
                  <w:tcW w:w="763" w:type="dxa"/>
                  <w:tcBorders>
                    <w:tl2br w:val="nil"/>
                    <w:tr2bl w:val="nil"/>
                  </w:tcBorders>
                  <w:noWrap w:val="0"/>
                  <w:vAlign w:val="center"/>
                </w:tcPr>
                <w:p w14:paraId="08758564">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74D6C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559" w:type="dxa"/>
                  <w:tcBorders>
                    <w:tl2br w:val="nil"/>
                    <w:tr2bl w:val="nil"/>
                  </w:tcBorders>
                  <w:noWrap w:val="0"/>
                  <w:vAlign w:val="center"/>
                </w:tcPr>
                <w:p w14:paraId="127FC25B">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tc>
              <w:tc>
                <w:tcPr>
                  <w:tcW w:w="1349" w:type="dxa"/>
                  <w:gridSpan w:val="3"/>
                  <w:tcBorders>
                    <w:tl2br w:val="nil"/>
                    <w:tr2bl w:val="nil"/>
                  </w:tcBorders>
                  <w:noWrap w:val="0"/>
                  <w:vAlign w:val="center"/>
                </w:tcPr>
                <w:p w14:paraId="44ABA9FE">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896" w:type="dxa"/>
                  <w:gridSpan w:val="2"/>
                  <w:tcBorders>
                    <w:tl2br w:val="nil"/>
                    <w:tr2bl w:val="nil"/>
                  </w:tcBorders>
                  <w:noWrap w:val="0"/>
                  <w:vAlign w:val="center"/>
                </w:tcPr>
                <w:p w14:paraId="42142B57">
                  <w:pPr>
                    <w:keepNext w:val="0"/>
                    <w:keepLines w:val="0"/>
                    <w:pageBreakBefore w:val="0"/>
                    <w:widowControl w:val="0"/>
                    <w:kinsoku/>
                    <w:wordWrap/>
                    <w:overflowPunct/>
                    <w:topLinePunct w:val="0"/>
                    <w:autoSpaceDE/>
                    <w:autoSpaceDN/>
                    <w:bidi w:val="0"/>
                    <w:adjustRightInd w:val="0"/>
                    <w:snapToGrid w:val="0"/>
                    <w:spacing w:line="240" w:lineRule="auto"/>
                    <w:ind w:right="0" w:firstLine="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光伏区设</w:t>
                  </w:r>
                  <w:r>
                    <w:rPr>
                      <w:rFonts w:hint="default" w:ascii="Times New Roman" w:hAnsi="Times New Roman" w:eastAsia="宋体" w:cs="Times New Roman"/>
                      <w:color w:val="auto"/>
                      <w:kern w:val="0"/>
                      <w:sz w:val="21"/>
                      <w:szCs w:val="21"/>
                    </w:rPr>
                    <w:t>雨水导流渠、排水沟，路基边坡加固，施工期植被恢复</w:t>
                  </w:r>
                  <w:r>
                    <w:rPr>
                      <w:rFonts w:hint="eastAsia" w:ascii="Times New Roman" w:hAnsi="Times New Roman" w:eastAsia="宋体" w:cs="Times New Roman"/>
                      <w:color w:val="auto"/>
                      <w:kern w:val="0"/>
                      <w:sz w:val="21"/>
                      <w:szCs w:val="21"/>
                      <w:lang w:eastAsia="zh-CN"/>
                    </w:rPr>
                    <w:t>等措施，</w:t>
                  </w:r>
                </w:p>
              </w:tc>
              <w:tc>
                <w:tcPr>
                  <w:tcW w:w="705" w:type="dxa"/>
                  <w:tcBorders>
                    <w:tl2br w:val="nil"/>
                    <w:tr2bl w:val="nil"/>
                  </w:tcBorders>
                  <w:noWrap w:val="0"/>
                  <w:vAlign w:val="center"/>
                </w:tcPr>
                <w:p w14:paraId="4576FA70">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950" w:type="dxa"/>
                  <w:tcBorders>
                    <w:tl2br w:val="nil"/>
                    <w:tr2bl w:val="nil"/>
                  </w:tcBorders>
                  <w:noWrap w:val="0"/>
                  <w:vAlign w:val="center"/>
                </w:tcPr>
                <w:p w14:paraId="7F6D5B73">
                  <w:pPr>
                    <w:pStyle w:val="11"/>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进行植被恢复，项目区无明显裸露地面；设雨水导流沟；</w:t>
                  </w:r>
                </w:p>
              </w:tc>
              <w:tc>
                <w:tcPr>
                  <w:tcW w:w="763" w:type="dxa"/>
                  <w:tcBorders>
                    <w:tl2br w:val="nil"/>
                    <w:tr2bl w:val="nil"/>
                  </w:tcBorders>
                  <w:noWrap w:val="0"/>
                  <w:vAlign w:val="center"/>
                </w:tcPr>
                <w:p w14:paraId="6E251C9E">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81.5</w:t>
                  </w:r>
                </w:p>
              </w:tc>
            </w:tr>
            <w:tr w14:paraId="7EF5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559" w:type="dxa"/>
                  <w:vMerge w:val="restart"/>
                  <w:tcBorders>
                    <w:tl2br w:val="nil"/>
                    <w:tr2bl w:val="nil"/>
                  </w:tcBorders>
                  <w:noWrap w:val="0"/>
                  <w:vAlign w:val="center"/>
                </w:tcPr>
                <w:p w14:paraId="15C98661">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废气</w:t>
                  </w:r>
                </w:p>
              </w:tc>
              <w:tc>
                <w:tcPr>
                  <w:tcW w:w="1349" w:type="dxa"/>
                  <w:gridSpan w:val="3"/>
                  <w:tcBorders>
                    <w:tl2br w:val="nil"/>
                    <w:tr2bl w:val="nil"/>
                  </w:tcBorders>
                  <w:noWrap w:val="0"/>
                  <w:vAlign w:val="center"/>
                </w:tcPr>
                <w:p w14:paraId="75A200B9">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w:t>
                  </w:r>
                </w:p>
                <w:p w14:paraId="2EB6F60D">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扬尘</w:t>
                  </w:r>
                </w:p>
              </w:tc>
              <w:tc>
                <w:tcPr>
                  <w:tcW w:w="2896" w:type="dxa"/>
                  <w:gridSpan w:val="2"/>
                  <w:tcBorders>
                    <w:tl2br w:val="nil"/>
                    <w:tr2bl w:val="nil"/>
                  </w:tcBorders>
                  <w:noWrap w:val="0"/>
                  <w:vAlign w:val="center"/>
                </w:tcPr>
                <w:p w14:paraId="4399DF8A">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施工期间，在边界四周设置高度2.0米以上的围挡；洒水抑尘</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建筑垃圾应及时清运，且在清运过程中密闭运输</w:t>
                  </w:r>
                </w:p>
              </w:tc>
              <w:tc>
                <w:tcPr>
                  <w:tcW w:w="705" w:type="dxa"/>
                  <w:vMerge w:val="restart"/>
                  <w:tcBorders>
                    <w:tl2br w:val="nil"/>
                    <w:tr2bl w:val="nil"/>
                  </w:tcBorders>
                  <w:noWrap w:val="0"/>
                  <w:vAlign w:val="center"/>
                </w:tcPr>
                <w:p w14:paraId="0E2E0267">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950" w:type="dxa"/>
                  <w:vMerge w:val="restart"/>
                  <w:tcBorders>
                    <w:tl2br w:val="nil"/>
                    <w:tr2bl w:val="nil"/>
                  </w:tcBorders>
                  <w:noWrap w:val="0"/>
                  <w:vAlign w:val="center"/>
                </w:tcPr>
                <w:p w14:paraId="4A1A9A9C">
                  <w:pPr>
                    <w:pStyle w:val="11"/>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（DB61/1078-2017）</w:t>
                  </w:r>
                  <w:r>
                    <w:rPr>
                      <w:rFonts w:hint="eastAsia" w:ascii="Times New Roman" w:hAnsi="Times New Roman" w:eastAsia="宋体" w:cs="Times New Roman"/>
                      <w:color w:val="auto"/>
                      <w:kern w:val="2"/>
                      <w:sz w:val="21"/>
                      <w:szCs w:val="21"/>
                      <w:lang w:val="en-US" w:eastAsia="zh-CN" w:bidi="ar-SA"/>
                    </w:rPr>
                    <w:t>满足</w:t>
                  </w:r>
                  <w:r>
                    <w:rPr>
                      <w:rFonts w:hint="default" w:ascii="Times New Roman" w:hAnsi="Times New Roman" w:eastAsia="宋体" w:cs="Times New Roman"/>
                      <w:color w:val="auto"/>
                      <w:kern w:val="2"/>
                      <w:sz w:val="21"/>
                      <w:szCs w:val="21"/>
                      <w:lang w:val="en-US" w:eastAsia="zh-CN" w:bidi="ar-SA"/>
                    </w:rPr>
                    <w:t>《施工场界扬尘排放限值》标准要求</w:t>
                  </w:r>
                </w:p>
              </w:tc>
              <w:tc>
                <w:tcPr>
                  <w:tcW w:w="763" w:type="dxa"/>
                  <w:vMerge w:val="restart"/>
                  <w:tcBorders>
                    <w:tl2br w:val="nil"/>
                    <w:tr2bl w:val="nil"/>
                  </w:tcBorders>
                  <w:noWrap w:val="0"/>
                  <w:vAlign w:val="center"/>
                </w:tcPr>
                <w:p w14:paraId="2E6B18F4">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r>
            <w:tr w14:paraId="3CFB4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559" w:type="dxa"/>
                  <w:vMerge w:val="continue"/>
                  <w:tcBorders>
                    <w:tl2br w:val="nil"/>
                    <w:tr2bl w:val="nil"/>
                  </w:tcBorders>
                  <w:noWrap w:val="0"/>
                  <w:vAlign w:val="center"/>
                </w:tcPr>
                <w:p w14:paraId="3DCFA75C">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color w:val="auto"/>
                    </w:rPr>
                  </w:pPr>
                </w:p>
              </w:tc>
              <w:tc>
                <w:tcPr>
                  <w:tcW w:w="1349" w:type="dxa"/>
                  <w:gridSpan w:val="3"/>
                  <w:tcBorders>
                    <w:tl2br w:val="nil"/>
                    <w:tr2bl w:val="nil"/>
                  </w:tcBorders>
                  <w:noWrap w:val="0"/>
                  <w:vAlign w:val="center"/>
                </w:tcPr>
                <w:p w14:paraId="13B9340A">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施工机械、车辆废气</w:t>
                  </w:r>
                </w:p>
              </w:tc>
              <w:tc>
                <w:tcPr>
                  <w:tcW w:w="2896" w:type="dxa"/>
                  <w:gridSpan w:val="2"/>
                  <w:tcBorders>
                    <w:tl2br w:val="nil"/>
                    <w:tr2bl w:val="nil"/>
                  </w:tcBorders>
                  <w:noWrap w:val="0"/>
                  <w:vAlign w:val="center"/>
                </w:tcPr>
                <w:p w14:paraId="1D23A423">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选用符合国家有关卫生标准的施工机械和运输工具</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选用符合国家有关卫生标准的施工机械和运输工具</w:t>
                  </w:r>
                </w:p>
              </w:tc>
              <w:tc>
                <w:tcPr>
                  <w:tcW w:w="705" w:type="dxa"/>
                  <w:vMerge w:val="continue"/>
                  <w:tcBorders>
                    <w:tl2br w:val="nil"/>
                    <w:tr2bl w:val="nil"/>
                  </w:tcBorders>
                  <w:noWrap w:val="0"/>
                  <w:vAlign w:val="center"/>
                </w:tcPr>
                <w:p w14:paraId="6DD9D84D">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eastAsia" w:ascii="Times New Roman" w:hAnsi="Times New Roman" w:eastAsia="宋体" w:cs="Times New Roman"/>
                      <w:color w:val="auto"/>
                      <w:sz w:val="21"/>
                      <w:szCs w:val="21"/>
                      <w:lang w:val="en-US" w:eastAsia="zh-CN"/>
                    </w:rPr>
                  </w:pPr>
                </w:p>
              </w:tc>
              <w:tc>
                <w:tcPr>
                  <w:tcW w:w="1950" w:type="dxa"/>
                  <w:vMerge w:val="continue"/>
                  <w:tcBorders>
                    <w:tl2br w:val="nil"/>
                    <w:tr2bl w:val="nil"/>
                  </w:tcBorders>
                  <w:noWrap w:val="0"/>
                  <w:vAlign w:val="center"/>
                </w:tcPr>
                <w:p w14:paraId="1D7D0192">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eastAsia" w:ascii="Times New Roman" w:hAnsi="Times New Roman" w:eastAsia="宋体" w:cs="Times New Roman"/>
                      <w:color w:val="auto"/>
                      <w:sz w:val="21"/>
                      <w:szCs w:val="21"/>
                      <w:lang w:val="en-US" w:eastAsia="zh-CN"/>
                    </w:rPr>
                  </w:pPr>
                </w:p>
              </w:tc>
              <w:tc>
                <w:tcPr>
                  <w:tcW w:w="763" w:type="dxa"/>
                  <w:vMerge w:val="continue"/>
                  <w:tcBorders>
                    <w:tl2br w:val="nil"/>
                    <w:tr2bl w:val="nil"/>
                  </w:tcBorders>
                  <w:noWrap w:val="0"/>
                  <w:vAlign w:val="center"/>
                </w:tcPr>
                <w:p w14:paraId="5809D2F9">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eastAsia" w:ascii="Times New Roman" w:hAnsi="Times New Roman" w:eastAsia="宋体" w:cs="Times New Roman"/>
                      <w:color w:val="auto"/>
                      <w:sz w:val="21"/>
                      <w:szCs w:val="21"/>
                      <w:lang w:val="en-US" w:eastAsia="zh-CN"/>
                    </w:rPr>
                  </w:pPr>
                </w:p>
              </w:tc>
            </w:tr>
            <w:tr w14:paraId="33C3B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59" w:type="dxa"/>
                  <w:tcBorders>
                    <w:tl2br w:val="nil"/>
                    <w:tr2bl w:val="nil"/>
                  </w:tcBorders>
                  <w:noWrap w:val="0"/>
                  <w:vAlign w:val="center"/>
                </w:tcPr>
                <w:p w14:paraId="66DCA04B">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环境风险</w:t>
                  </w:r>
                </w:p>
              </w:tc>
              <w:tc>
                <w:tcPr>
                  <w:tcW w:w="1349" w:type="dxa"/>
                  <w:gridSpan w:val="3"/>
                  <w:tcBorders>
                    <w:tl2br w:val="nil"/>
                    <w:tr2bl w:val="nil"/>
                  </w:tcBorders>
                  <w:noWrap w:val="0"/>
                  <w:vAlign w:val="center"/>
                </w:tcPr>
                <w:p w14:paraId="4F84B67D">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光伏场</w:t>
                  </w:r>
                </w:p>
              </w:tc>
              <w:tc>
                <w:tcPr>
                  <w:tcW w:w="5551" w:type="dxa"/>
                  <w:gridSpan w:val="4"/>
                  <w:tcBorders>
                    <w:tl2br w:val="nil"/>
                    <w:tr2bl w:val="nil"/>
                  </w:tcBorders>
                  <w:noWrap w:val="0"/>
                  <w:vAlign w:val="center"/>
                </w:tcPr>
                <w:p w14:paraId="26E07422">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rPr>
                    <w:t>编制《环境污染事件处置应急预案》</w:t>
                  </w:r>
                </w:p>
              </w:tc>
              <w:tc>
                <w:tcPr>
                  <w:tcW w:w="763" w:type="dxa"/>
                  <w:tcBorders>
                    <w:tl2br w:val="nil"/>
                    <w:tr2bl w:val="nil"/>
                  </w:tcBorders>
                  <w:noWrap w:val="0"/>
                  <w:vAlign w:val="center"/>
                </w:tcPr>
                <w:p w14:paraId="56E20C50">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w:t>
                  </w:r>
                </w:p>
              </w:tc>
            </w:tr>
            <w:tr w14:paraId="0295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908" w:type="dxa"/>
                  <w:gridSpan w:val="4"/>
                  <w:tcBorders>
                    <w:tl2br w:val="nil"/>
                    <w:tr2bl w:val="nil"/>
                  </w:tcBorders>
                  <w:noWrap w:val="0"/>
                  <w:vAlign w:val="center"/>
                </w:tcPr>
                <w:p w14:paraId="7540EBB8">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合计</w:t>
                  </w:r>
                </w:p>
              </w:tc>
              <w:tc>
                <w:tcPr>
                  <w:tcW w:w="5551" w:type="dxa"/>
                  <w:gridSpan w:val="4"/>
                  <w:tcBorders>
                    <w:tl2br w:val="nil"/>
                    <w:tr2bl w:val="nil"/>
                  </w:tcBorders>
                  <w:noWrap w:val="0"/>
                  <w:vAlign w:val="center"/>
                </w:tcPr>
                <w:p w14:paraId="798AF1AD">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763" w:type="dxa"/>
                  <w:tcBorders>
                    <w:tl2br w:val="nil"/>
                    <w:tr2bl w:val="nil"/>
                  </w:tcBorders>
                  <w:noWrap w:val="0"/>
                  <w:vAlign w:val="center"/>
                </w:tcPr>
                <w:p w14:paraId="423E0516">
                  <w:pPr>
                    <w:keepNext w:val="0"/>
                    <w:keepLines w:val="0"/>
                    <w:pageBreakBefore w:val="0"/>
                    <w:widowControl w:val="0"/>
                    <w:kinsoku/>
                    <w:wordWrap/>
                    <w:overflowPunct/>
                    <w:topLinePunct w:val="0"/>
                    <w:autoSpaceDE/>
                    <w:autoSpaceDN/>
                    <w:bidi w:val="0"/>
                    <w:adjustRightInd w:val="0"/>
                    <w:snapToGrid w:val="0"/>
                    <w:spacing w:line="240" w:lineRule="auto"/>
                    <w:ind w:right="0" w:firstLine="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121</w:t>
                  </w:r>
                </w:p>
              </w:tc>
            </w:tr>
          </w:tbl>
          <w:p w14:paraId="5F8B723C">
            <w:pPr>
              <w:adjustRightInd w:val="0"/>
              <w:snapToGrid w:val="0"/>
              <w:rPr>
                <w:rFonts w:ascii="Times New Roman" w:hAnsi="Times New Roman" w:eastAsia="宋体" w:cs="Times New Roman"/>
                <w:bCs/>
                <w:color w:val="auto"/>
                <w:spacing w:val="10"/>
                <w:szCs w:val="21"/>
                <w:highlight w:val="none"/>
              </w:rPr>
            </w:pPr>
          </w:p>
        </w:tc>
      </w:tr>
    </w:tbl>
    <w:p w14:paraId="1CA4C834">
      <w:pPr>
        <w:rPr>
          <w:color w:val="auto"/>
          <w:highlight w:val="none"/>
        </w:rPr>
        <w:sectPr>
          <w:pgSz w:w="11907" w:h="16840"/>
          <w:pgMar w:top="1440" w:right="1797" w:bottom="1440" w:left="1797" w:header="851" w:footer="1077" w:gutter="0"/>
          <w:pgBorders>
            <w:top w:val="none" w:sz="0" w:space="0"/>
            <w:left w:val="none" w:sz="0" w:space="0"/>
            <w:bottom w:val="none" w:sz="0" w:space="0"/>
            <w:right w:val="none" w:sz="0" w:space="0"/>
          </w:pgBorders>
          <w:cols w:space="425" w:num="1"/>
          <w:docGrid w:linePitch="312" w:charSpace="0"/>
        </w:sectPr>
      </w:pPr>
    </w:p>
    <w:p w14:paraId="5F1896F2">
      <w:pPr>
        <w:pStyle w:val="21"/>
        <w:jc w:val="center"/>
        <w:outlineLvl w:val="0"/>
        <w:rPr>
          <w:rFonts w:ascii="Times New Roman" w:hAnsi="Times New Roman" w:eastAsia="黑体" w:cs="Times New Roman"/>
          <w:snapToGrid w:val="0"/>
          <w:color w:val="auto"/>
          <w:sz w:val="30"/>
          <w:szCs w:val="30"/>
          <w:highlight w:val="none"/>
        </w:rPr>
      </w:pPr>
      <w:r>
        <w:rPr>
          <w:rFonts w:ascii="Times New Roman" w:hAnsi="Times New Roman" w:eastAsia="黑体" w:cs="Times New Roman"/>
          <w:snapToGrid w:val="0"/>
          <w:color w:val="auto"/>
          <w:sz w:val="30"/>
          <w:szCs w:val="30"/>
          <w:highlight w:val="none"/>
        </w:rPr>
        <w:t>六、生态环境保护措施监督检查清单</w:t>
      </w:r>
    </w:p>
    <w:tbl>
      <w:tblPr>
        <w:tblStyle w:val="24"/>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2589"/>
        <w:gridCol w:w="1931"/>
        <w:gridCol w:w="1586"/>
        <w:gridCol w:w="907"/>
      </w:tblGrid>
      <w:tr w14:paraId="0AFA19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09" w:type="dxa"/>
            <w:vMerge w:val="restart"/>
            <w:tcBorders>
              <w:tl2br w:val="single" w:color="auto" w:sz="4" w:space="0"/>
            </w:tcBorders>
            <w:noWrap w:val="0"/>
            <w:vAlign w:val="center"/>
          </w:tcPr>
          <w:p w14:paraId="02F40958">
            <w:pPr>
              <w:pStyle w:val="21"/>
              <w:adjustRightInd w:val="0"/>
              <w:snapToGrid w:val="0"/>
              <w:spacing w:before="72" w:beforeLines="30" w:beforeAutospacing="0" w:after="0" w:afterAutospacing="0"/>
              <w:jc w:val="right"/>
              <w:outlineLvl w:val="0"/>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内容</w:t>
            </w:r>
          </w:p>
          <w:p w14:paraId="19ACB7EB">
            <w:pPr>
              <w:pStyle w:val="21"/>
              <w:adjustRightInd w:val="0"/>
              <w:snapToGrid w:val="0"/>
              <w:spacing w:before="0" w:beforeAutospacing="0" w:after="0" w:afterAutospacing="0" w:line="14" w:lineRule="auto"/>
              <w:jc w:val="center"/>
              <w:outlineLvl w:val="0"/>
              <w:rPr>
                <w:rFonts w:ascii="Times New Roman" w:hAnsi="Times New Roman" w:eastAsia="宋体" w:cs="Times New Roman"/>
                <w:color w:val="auto"/>
                <w:kern w:val="2"/>
                <w:sz w:val="21"/>
                <w:szCs w:val="21"/>
                <w:highlight w:val="none"/>
                <w:lang w:val="en-US" w:eastAsia="zh-CN" w:bidi="ar-SA"/>
              </w:rPr>
            </w:pPr>
          </w:p>
          <w:p w14:paraId="3062FF8E">
            <w:pPr>
              <w:pStyle w:val="21"/>
              <w:adjustRightInd w:val="0"/>
              <w:snapToGrid w:val="0"/>
              <w:spacing w:before="0" w:beforeAutospacing="0" w:after="0" w:afterAutospacing="0"/>
              <w:jc w:val="left"/>
              <w:outlineLvl w:val="0"/>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要素</w:t>
            </w:r>
          </w:p>
        </w:tc>
        <w:tc>
          <w:tcPr>
            <w:tcW w:w="4520" w:type="dxa"/>
            <w:gridSpan w:val="2"/>
            <w:noWrap w:val="0"/>
            <w:vAlign w:val="center"/>
          </w:tcPr>
          <w:p w14:paraId="45F01973">
            <w:pPr>
              <w:pStyle w:val="21"/>
              <w:adjustRightInd w:val="0"/>
              <w:snapToGrid w:val="0"/>
              <w:spacing w:before="0" w:beforeAutospacing="0" w:after="0" w:afterAutospacing="0"/>
              <w:jc w:val="center"/>
              <w:outlineLvl w:val="0"/>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施工期</w:t>
            </w:r>
          </w:p>
        </w:tc>
        <w:tc>
          <w:tcPr>
            <w:tcW w:w="2493" w:type="dxa"/>
            <w:gridSpan w:val="2"/>
            <w:noWrap w:val="0"/>
            <w:vAlign w:val="center"/>
          </w:tcPr>
          <w:p w14:paraId="0AB7B192">
            <w:pPr>
              <w:pStyle w:val="21"/>
              <w:adjustRightInd w:val="0"/>
              <w:snapToGrid w:val="0"/>
              <w:spacing w:before="0" w:beforeAutospacing="0" w:after="0" w:afterAutospacing="0"/>
              <w:jc w:val="center"/>
              <w:outlineLvl w:val="0"/>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运营期</w:t>
            </w:r>
          </w:p>
        </w:tc>
      </w:tr>
      <w:tr w14:paraId="22C43E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509" w:type="dxa"/>
            <w:vMerge w:val="continue"/>
            <w:noWrap w:val="0"/>
            <w:vAlign w:val="center"/>
          </w:tcPr>
          <w:p w14:paraId="7CD2DF86">
            <w:pPr>
              <w:pStyle w:val="21"/>
              <w:adjustRightInd w:val="0"/>
              <w:snapToGrid w:val="0"/>
              <w:spacing w:before="0" w:beforeAutospacing="0" w:after="0" w:afterAutospacing="0"/>
              <w:ind w:firstLine="840"/>
              <w:jc w:val="center"/>
              <w:outlineLvl w:val="0"/>
              <w:rPr>
                <w:rFonts w:ascii="Times New Roman" w:hAnsi="Times New Roman" w:eastAsia="宋体" w:cs="Times New Roman"/>
                <w:color w:val="auto"/>
                <w:kern w:val="2"/>
                <w:sz w:val="21"/>
                <w:szCs w:val="21"/>
                <w:highlight w:val="none"/>
                <w:lang w:val="en-US" w:eastAsia="zh-CN" w:bidi="ar-SA"/>
              </w:rPr>
            </w:pPr>
          </w:p>
        </w:tc>
        <w:tc>
          <w:tcPr>
            <w:tcW w:w="2589" w:type="dxa"/>
            <w:noWrap w:val="0"/>
            <w:vAlign w:val="center"/>
          </w:tcPr>
          <w:p w14:paraId="546C7805">
            <w:pPr>
              <w:pStyle w:val="21"/>
              <w:adjustRightInd w:val="0"/>
              <w:snapToGrid w:val="0"/>
              <w:spacing w:before="0" w:beforeAutospacing="0" w:after="0" w:afterAutospacing="0"/>
              <w:jc w:val="center"/>
              <w:outlineLvl w:val="0"/>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环境保护措施</w:t>
            </w:r>
          </w:p>
        </w:tc>
        <w:tc>
          <w:tcPr>
            <w:tcW w:w="1931" w:type="dxa"/>
            <w:noWrap w:val="0"/>
            <w:vAlign w:val="center"/>
          </w:tcPr>
          <w:p w14:paraId="25A5A0F6">
            <w:pPr>
              <w:pStyle w:val="21"/>
              <w:adjustRightInd w:val="0"/>
              <w:snapToGrid w:val="0"/>
              <w:spacing w:before="0" w:beforeAutospacing="0" w:after="0" w:afterAutospacing="0"/>
              <w:jc w:val="center"/>
              <w:outlineLvl w:val="0"/>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验收要求</w:t>
            </w:r>
          </w:p>
        </w:tc>
        <w:tc>
          <w:tcPr>
            <w:tcW w:w="1586" w:type="dxa"/>
            <w:noWrap w:val="0"/>
            <w:vAlign w:val="center"/>
          </w:tcPr>
          <w:p w14:paraId="561E72DA">
            <w:pPr>
              <w:pStyle w:val="21"/>
              <w:adjustRightInd w:val="0"/>
              <w:snapToGrid w:val="0"/>
              <w:spacing w:before="0" w:beforeAutospacing="0" w:after="0" w:afterAutospacing="0"/>
              <w:jc w:val="center"/>
              <w:outlineLvl w:val="0"/>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环境保护措施</w:t>
            </w:r>
          </w:p>
        </w:tc>
        <w:tc>
          <w:tcPr>
            <w:tcW w:w="907" w:type="dxa"/>
            <w:noWrap w:val="0"/>
            <w:vAlign w:val="center"/>
          </w:tcPr>
          <w:p w14:paraId="71206878">
            <w:pPr>
              <w:pStyle w:val="21"/>
              <w:adjustRightInd w:val="0"/>
              <w:snapToGrid w:val="0"/>
              <w:spacing w:before="0" w:beforeAutospacing="0" w:after="0" w:afterAutospacing="0"/>
              <w:jc w:val="center"/>
              <w:outlineLvl w:val="0"/>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验收</w:t>
            </w:r>
          </w:p>
          <w:p w14:paraId="7F1A43BB">
            <w:pPr>
              <w:pStyle w:val="21"/>
              <w:adjustRightInd w:val="0"/>
              <w:snapToGrid w:val="0"/>
              <w:spacing w:before="0" w:beforeAutospacing="0" w:after="0" w:afterAutospacing="0"/>
              <w:jc w:val="center"/>
              <w:outlineLvl w:val="0"/>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要求</w:t>
            </w:r>
          </w:p>
        </w:tc>
      </w:tr>
      <w:tr w14:paraId="6E73F8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7" w:hRule="atLeast"/>
          <w:jc w:val="center"/>
        </w:trPr>
        <w:tc>
          <w:tcPr>
            <w:tcW w:w="1509" w:type="dxa"/>
            <w:noWrap w:val="0"/>
            <w:vAlign w:val="center"/>
          </w:tcPr>
          <w:p w14:paraId="2481BB54">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生态</w:t>
            </w:r>
          </w:p>
        </w:tc>
        <w:tc>
          <w:tcPr>
            <w:tcW w:w="2589" w:type="dxa"/>
            <w:noWrap w:val="0"/>
            <w:vAlign w:val="center"/>
          </w:tcPr>
          <w:p w14:paraId="1A912AEC">
            <w:pPr>
              <w:pStyle w:val="11"/>
              <w:rPr>
                <w:rFonts w:hint="eastAsia"/>
                <w:color w:val="auto"/>
                <w:lang w:val="en-US" w:eastAsia="zh-CN"/>
              </w:rPr>
            </w:pPr>
            <w:r>
              <w:rPr>
                <w:rFonts w:hint="eastAsia"/>
                <w:color w:val="auto"/>
                <w:lang w:val="en-US" w:eastAsia="zh-CN"/>
              </w:rPr>
              <w:t>格控制在征地范围内，尽可能减少对周围土地的破坏。2、各施工机械和设备不得随意堆放。3、施工优先采用环保型设备。4、在施工过程中，做好表土的集中堆存和保护，并要求完工后及时利用原表土对施工造成的裸露面进行覆土。5、尽量减少大型机械施工。6、电缆沟施工后应及时回填，并恢复原有地</w:t>
            </w:r>
          </w:p>
          <w:p w14:paraId="4EE7F984">
            <w:pPr>
              <w:pStyle w:val="11"/>
              <w:rPr>
                <w:rFonts w:hint="eastAsia"/>
                <w:color w:val="auto"/>
                <w:lang w:val="en-US" w:eastAsia="zh-CN"/>
              </w:rPr>
            </w:pPr>
            <w:r>
              <w:rPr>
                <w:rFonts w:hint="eastAsia"/>
                <w:color w:val="auto"/>
                <w:lang w:val="en-US" w:eastAsia="zh-CN"/>
              </w:rPr>
              <w:t>貌。7、工程施工过程中和施工结束后，应及时并严格按照本工程所提出的各种水土保持措施对各水土流失防治部位进行治理，防止新增水土流失。</w:t>
            </w:r>
          </w:p>
        </w:tc>
        <w:tc>
          <w:tcPr>
            <w:tcW w:w="1931" w:type="dxa"/>
            <w:noWrap w:val="0"/>
            <w:vAlign w:val="center"/>
          </w:tcPr>
          <w:p w14:paraId="2771657D">
            <w:pPr>
              <w:pStyle w:val="11"/>
              <w:rPr>
                <w:rFonts w:hint="eastAsia"/>
                <w:color w:val="auto"/>
                <w:lang w:val="en-US" w:eastAsia="zh-CN"/>
              </w:rPr>
            </w:pPr>
            <w:r>
              <w:rPr>
                <w:rFonts w:hint="eastAsia"/>
                <w:color w:val="auto"/>
                <w:lang w:val="en-US" w:eastAsia="zh-CN"/>
              </w:rPr>
              <w:t>施工结束后，恢复生态植被生长。</w:t>
            </w:r>
          </w:p>
          <w:p w14:paraId="02C0BDB4">
            <w:pPr>
              <w:pStyle w:val="11"/>
              <w:rPr>
                <w:rFonts w:hint="eastAsia"/>
                <w:color w:val="auto"/>
                <w:lang w:val="en-US" w:eastAsia="zh-CN"/>
              </w:rPr>
            </w:pPr>
          </w:p>
        </w:tc>
        <w:tc>
          <w:tcPr>
            <w:tcW w:w="1586" w:type="dxa"/>
            <w:noWrap w:val="0"/>
            <w:vAlign w:val="center"/>
          </w:tcPr>
          <w:p w14:paraId="4B3E3B6B">
            <w:pPr>
              <w:pStyle w:val="11"/>
              <w:rPr>
                <w:rFonts w:hint="eastAsia"/>
                <w:color w:val="auto"/>
                <w:lang w:val="en-US" w:eastAsia="zh-CN"/>
              </w:rPr>
            </w:pPr>
            <w:r>
              <w:rPr>
                <w:rFonts w:hint="eastAsia"/>
                <w:color w:val="auto"/>
                <w:lang w:val="en-US" w:eastAsia="zh-CN"/>
              </w:rPr>
              <w:t xml:space="preserve">项目建成后，应及时对施工运输机械碾压过的土地进行恢复， 光伏阵列区在保护原有植被的前提下，实 施植被恢复方案，提高植被覆盖率，改善 </w:t>
            </w:r>
          </w:p>
          <w:p w14:paraId="74205F9F">
            <w:pPr>
              <w:pStyle w:val="11"/>
              <w:rPr>
                <w:rFonts w:hint="eastAsia"/>
                <w:color w:val="auto"/>
                <w:lang w:val="en-US" w:eastAsia="zh-CN"/>
              </w:rPr>
            </w:pPr>
            <w:r>
              <w:rPr>
                <w:rFonts w:hint="eastAsia"/>
                <w:color w:val="auto"/>
                <w:lang w:val="en-US" w:eastAsia="zh-CN"/>
              </w:rPr>
              <w:t>当地生态环境。</w:t>
            </w:r>
          </w:p>
          <w:p w14:paraId="6CD0523F">
            <w:pPr>
              <w:pStyle w:val="11"/>
              <w:rPr>
                <w:rFonts w:hint="eastAsia"/>
                <w:color w:val="auto"/>
                <w:lang w:val="en-US" w:eastAsia="zh-CN"/>
              </w:rPr>
            </w:pPr>
          </w:p>
        </w:tc>
        <w:tc>
          <w:tcPr>
            <w:tcW w:w="907" w:type="dxa"/>
            <w:noWrap w:val="0"/>
            <w:vAlign w:val="center"/>
          </w:tcPr>
          <w:p w14:paraId="4FCBCFDF">
            <w:pPr>
              <w:adjustRightInd w:val="0"/>
              <w:snapToGrid w:val="0"/>
              <w:jc w:val="both"/>
              <w:rPr>
                <w:rFonts w:hint="eastAsia"/>
                <w:color w:val="auto"/>
                <w:lang w:val="en-US" w:eastAsia="zh-CN"/>
              </w:rPr>
            </w:pPr>
            <w:r>
              <w:rPr>
                <w:rFonts w:hint="eastAsia"/>
                <w:color w:val="auto"/>
                <w:lang w:val="en-US" w:eastAsia="zh-CN"/>
              </w:rPr>
              <w:t>生态环境水平 不降低。</w:t>
            </w:r>
          </w:p>
          <w:p w14:paraId="69AAE69D">
            <w:pPr>
              <w:adjustRightInd w:val="0"/>
              <w:snapToGrid w:val="0"/>
              <w:jc w:val="center"/>
              <w:rPr>
                <w:rFonts w:ascii="Times New Roman" w:hAnsi="Times New Roman" w:eastAsia="宋体" w:cs="Times New Roman"/>
                <w:color w:val="auto"/>
                <w:sz w:val="21"/>
                <w:szCs w:val="21"/>
                <w:highlight w:val="none"/>
              </w:rPr>
            </w:pPr>
          </w:p>
        </w:tc>
      </w:tr>
      <w:tr w14:paraId="78FB8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1509" w:type="dxa"/>
            <w:vMerge w:val="restart"/>
            <w:noWrap w:val="0"/>
            <w:vAlign w:val="center"/>
          </w:tcPr>
          <w:p w14:paraId="481EF55D">
            <w:pPr>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地表水环境</w:t>
            </w:r>
          </w:p>
        </w:tc>
        <w:tc>
          <w:tcPr>
            <w:tcW w:w="2589" w:type="dxa"/>
            <w:noWrap w:val="0"/>
            <w:vAlign w:val="center"/>
          </w:tcPr>
          <w:p w14:paraId="44A0AF3C">
            <w:pPr>
              <w:adjustRightInd w:val="0"/>
              <w:snapToGrid w:val="0"/>
              <w:jc w:val="both"/>
              <w:rPr>
                <w:rFonts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施工区出入口设置洗车平台，并设沉淀池收集冲洗废水</w:t>
            </w:r>
          </w:p>
        </w:tc>
        <w:tc>
          <w:tcPr>
            <w:tcW w:w="1931" w:type="dxa"/>
            <w:noWrap w:val="0"/>
            <w:vAlign w:val="center"/>
          </w:tcPr>
          <w:p w14:paraId="1E2DD05A">
            <w:pPr>
              <w:adjustRightInd w:val="0"/>
              <w:snapToGrid w:val="0"/>
              <w:jc w:val="both"/>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废水循环利用不外排</w:t>
            </w:r>
          </w:p>
        </w:tc>
        <w:tc>
          <w:tcPr>
            <w:tcW w:w="1586" w:type="dxa"/>
            <w:vMerge w:val="restart"/>
            <w:noWrap w:val="0"/>
            <w:vAlign w:val="center"/>
          </w:tcPr>
          <w:p w14:paraId="0ACA9AA8">
            <w:pPr>
              <w:adjustRightInd w:val="0"/>
              <w:snapToGrid w:val="0"/>
              <w:jc w:val="both"/>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光伏板清洗废水自然蒸发</w:t>
            </w:r>
          </w:p>
        </w:tc>
        <w:tc>
          <w:tcPr>
            <w:tcW w:w="907" w:type="dxa"/>
            <w:vMerge w:val="restart"/>
            <w:noWrap w:val="0"/>
            <w:vAlign w:val="center"/>
          </w:tcPr>
          <w:p w14:paraId="269B7374">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自然蒸发</w:t>
            </w:r>
          </w:p>
        </w:tc>
      </w:tr>
      <w:tr w14:paraId="1757F8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509" w:type="dxa"/>
            <w:vMerge w:val="continue"/>
            <w:noWrap w:val="0"/>
            <w:vAlign w:val="center"/>
          </w:tcPr>
          <w:p w14:paraId="7FE7B75B">
            <w:pPr>
              <w:adjustRightInd w:val="0"/>
              <w:snapToGrid w:val="0"/>
              <w:jc w:val="center"/>
              <w:rPr>
                <w:color w:val="auto"/>
                <w:highlight w:val="green"/>
              </w:rPr>
            </w:pPr>
          </w:p>
        </w:tc>
        <w:tc>
          <w:tcPr>
            <w:tcW w:w="2589" w:type="dxa"/>
            <w:noWrap w:val="0"/>
            <w:vAlign w:val="center"/>
          </w:tcPr>
          <w:p w14:paraId="222046C3">
            <w:pPr>
              <w:adjustRightInd w:val="0"/>
              <w:snapToGrid w:val="0"/>
              <w:jc w:val="both"/>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生活污水</w:t>
            </w:r>
            <w:r>
              <w:rPr>
                <w:rFonts w:hint="eastAsia" w:ascii="Times New Roman" w:hAnsi="Times New Roman" w:eastAsia="宋体" w:cs="Times New Roman"/>
                <w:color w:val="auto"/>
                <w:sz w:val="21"/>
                <w:szCs w:val="21"/>
                <w:highlight w:val="none"/>
                <w:lang w:val="en-US" w:eastAsia="zh-CN"/>
              </w:rPr>
              <w:t>依托周边农户环保厕所处置</w:t>
            </w:r>
          </w:p>
        </w:tc>
        <w:tc>
          <w:tcPr>
            <w:tcW w:w="1931" w:type="dxa"/>
            <w:noWrap w:val="0"/>
            <w:vAlign w:val="center"/>
          </w:tcPr>
          <w:p w14:paraId="4780E0BE">
            <w:pPr>
              <w:adjustRightInd w:val="0"/>
              <w:snapToGrid w:val="0"/>
              <w:jc w:val="both"/>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综合利用，不外排</w:t>
            </w:r>
          </w:p>
        </w:tc>
        <w:tc>
          <w:tcPr>
            <w:tcW w:w="1586" w:type="dxa"/>
            <w:vMerge w:val="continue"/>
            <w:noWrap w:val="0"/>
            <w:vAlign w:val="center"/>
          </w:tcPr>
          <w:p w14:paraId="205AC896">
            <w:pPr>
              <w:adjustRightInd w:val="0"/>
              <w:snapToGrid w:val="0"/>
              <w:jc w:val="center"/>
              <w:rPr>
                <w:rFonts w:ascii="Times New Roman" w:hAnsi="Times New Roman" w:eastAsia="宋体" w:cs="Times New Roman"/>
                <w:color w:val="auto"/>
                <w:sz w:val="21"/>
                <w:szCs w:val="21"/>
                <w:highlight w:val="green"/>
              </w:rPr>
            </w:pPr>
          </w:p>
        </w:tc>
        <w:tc>
          <w:tcPr>
            <w:tcW w:w="907" w:type="dxa"/>
            <w:vMerge w:val="continue"/>
            <w:noWrap w:val="0"/>
            <w:vAlign w:val="center"/>
          </w:tcPr>
          <w:p w14:paraId="0747834F">
            <w:pPr>
              <w:adjustRightInd w:val="0"/>
              <w:snapToGrid w:val="0"/>
              <w:jc w:val="center"/>
              <w:rPr>
                <w:rFonts w:ascii="Times New Roman" w:hAnsi="Times New Roman" w:eastAsia="宋体" w:cs="Times New Roman"/>
                <w:color w:val="auto"/>
                <w:sz w:val="21"/>
                <w:szCs w:val="21"/>
                <w:highlight w:val="green"/>
              </w:rPr>
            </w:pPr>
          </w:p>
        </w:tc>
      </w:tr>
      <w:tr w14:paraId="3F2349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9" w:type="dxa"/>
            <w:noWrap w:val="0"/>
            <w:vAlign w:val="center"/>
          </w:tcPr>
          <w:p w14:paraId="3E5BFB3B">
            <w:pPr>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声环境</w:t>
            </w:r>
          </w:p>
        </w:tc>
        <w:tc>
          <w:tcPr>
            <w:tcW w:w="2589" w:type="dxa"/>
            <w:noWrap w:val="0"/>
            <w:vAlign w:val="center"/>
          </w:tcPr>
          <w:p w14:paraId="4CC3B1DA">
            <w:pPr>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优选低噪声设备；合理安排工期；基础减震</w:t>
            </w:r>
          </w:p>
        </w:tc>
        <w:tc>
          <w:tcPr>
            <w:tcW w:w="1931" w:type="dxa"/>
            <w:noWrap w:val="0"/>
            <w:vAlign w:val="center"/>
          </w:tcPr>
          <w:p w14:paraId="42F521EA">
            <w:pPr>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《建筑施工场界环境噪声排放标准》（GB12523-2011）</w:t>
            </w:r>
          </w:p>
        </w:tc>
        <w:tc>
          <w:tcPr>
            <w:tcW w:w="1586" w:type="dxa"/>
            <w:noWrap w:val="0"/>
            <w:vAlign w:val="center"/>
          </w:tcPr>
          <w:p w14:paraId="0CE8833F">
            <w:pPr>
              <w:adjustRightInd w:val="0"/>
              <w:snapToGrid w:val="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变压器通过采取设置减振垫、设备箱隔声等措施</w:t>
            </w:r>
            <w:r>
              <w:rPr>
                <w:rFonts w:hint="eastAsia" w:ascii="Times New Roman" w:hAnsi="Times New Roman" w:eastAsia="宋体" w:cs="Times New Roman"/>
                <w:color w:val="auto"/>
                <w:sz w:val="21"/>
                <w:szCs w:val="21"/>
                <w:highlight w:val="none"/>
                <w:lang w:eastAsia="zh-CN"/>
              </w:rPr>
              <w:t>；厂区在种植绿化</w:t>
            </w:r>
          </w:p>
        </w:tc>
        <w:tc>
          <w:tcPr>
            <w:tcW w:w="907" w:type="dxa"/>
            <w:noWrap w:val="0"/>
            <w:vAlign w:val="center"/>
          </w:tcPr>
          <w:p w14:paraId="67A4EF13">
            <w:pPr>
              <w:adjustRightInd w:val="0"/>
              <w:snapToGrid w:val="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《工业企业厂界环境噪声排放标准》（GB12348-2008）</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类标准</w:t>
            </w:r>
            <w:r>
              <w:rPr>
                <w:rFonts w:hint="eastAsia" w:ascii="Times New Roman" w:hAnsi="Times New Roman" w:eastAsia="宋体" w:cs="Times New Roman"/>
                <w:color w:val="auto"/>
                <w:sz w:val="21"/>
                <w:szCs w:val="21"/>
                <w:highlight w:val="none"/>
                <w:lang w:eastAsia="zh-CN"/>
              </w:rPr>
              <w:t>要求</w:t>
            </w:r>
          </w:p>
        </w:tc>
      </w:tr>
      <w:tr w14:paraId="0C9962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9" w:type="dxa"/>
            <w:noWrap w:val="0"/>
            <w:vAlign w:val="center"/>
          </w:tcPr>
          <w:p w14:paraId="64A0D8C2">
            <w:pPr>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大气环境</w:t>
            </w:r>
          </w:p>
        </w:tc>
        <w:tc>
          <w:tcPr>
            <w:tcW w:w="2589" w:type="dxa"/>
            <w:noWrap w:val="0"/>
            <w:vAlign w:val="center"/>
          </w:tcPr>
          <w:p w14:paraId="01E0D485">
            <w:pPr>
              <w:adjustRightInd w:val="0"/>
              <w:snapToGrid w:val="0"/>
              <w:jc w:val="center"/>
              <w:rPr>
                <w:rFonts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施工期间边界四周设置高度2.0米以上的围挡；洒水抑尘</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建筑垃圾应及时清运，且在清运过程中密闭运输</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对于工地内裸露地面</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及时种植植被绿化</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加强施工队伍的管理</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严格执行“禁土令”</w:t>
            </w:r>
            <w:r>
              <w:rPr>
                <w:rFonts w:hint="eastAsia"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选用符合国家有关卫生标准的施工机械和运输工具</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采用低尘低毒焊条</w:t>
            </w:r>
          </w:p>
        </w:tc>
        <w:tc>
          <w:tcPr>
            <w:tcW w:w="1931" w:type="dxa"/>
            <w:noWrap w:val="0"/>
            <w:vAlign w:val="center"/>
          </w:tcPr>
          <w:p w14:paraId="52EBC770">
            <w:pPr>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《施工</w:t>
            </w:r>
            <w:r>
              <w:rPr>
                <w:rFonts w:hint="eastAsia" w:ascii="Times New Roman" w:hAnsi="Times New Roman" w:eastAsia="宋体" w:cs="Times New Roman"/>
                <w:color w:val="auto"/>
                <w:sz w:val="21"/>
                <w:szCs w:val="21"/>
                <w:highlight w:val="none"/>
                <w:lang w:eastAsia="zh-CN"/>
              </w:rPr>
              <w:t>场</w:t>
            </w:r>
            <w:r>
              <w:rPr>
                <w:rFonts w:ascii="Times New Roman" w:hAnsi="Times New Roman" w:eastAsia="宋体" w:cs="Times New Roman"/>
                <w:color w:val="auto"/>
                <w:sz w:val="21"/>
                <w:szCs w:val="21"/>
                <w:highlight w:val="none"/>
              </w:rPr>
              <w:t>界扬尘排放限值》（DB61/1078 -2017）</w:t>
            </w:r>
          </w:p>
        </w:tc>
        <w:tc>
          <w:tcPr>
            <w:tcW w:w="1586" w:type="dxa"/>
            <w:noWrap w:val="0"/>
            <w:vAlign w:val="center"/>
          </w:tcPr>
          <w:p w14:paraId="02ABD0B5">
            <w:pPr>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p>
        </w:tc>
        <w:tc>
          <w:tcPr>
            <w:tcW w:w="907" w:type="dxa"/>
            <w:noWrap w:val="0"/>
            <w:vAlign w:val="center"/>
          </w:tcPr>
          <w:p w14:paraId="730AE8A3">
            <w:pPr>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p>
        </w:tc>
      </w:tr>
      <w:tr w14:paraId="07EAA7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9" w:type="dxa"/>
            <w:noWrap w:val="0"/>
            <w:vAlign w:val="center"/>
          </w:tcPr>
          <w:p w14:paraId="59CAEC29">
            <w:pPr>
              <w:adjustRightInd w:val="0"/>
              <w:snapToGrid w:val="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固体废物</w:t>
            </w:r>
            <w:r>
              <w:rPr>
                <w:rFonts w:ascii="Times New Roman" w:hAnsi="Times New Roman" w:eastAsia="宋体" w:cs="Times New Roman"/>
                <w:color w:val="auto"/>
                <w:sz w:val="21"/>
                <w:szCs w:val="21"/>
                <w:highlight w:val="none"/>
              </w:rPr>
              <w:t>环境</w:t>
            </w:r>
          </w:p>
        </w:tc>
        <w:tc>
          <w:tcPr>
            <w:tcW w:w="2589" w:type="dxa"/>
            <w:noWrap w:val="0"/>
            <w:vAlign w:val="center"/>
          </w:tcPr>
          <w:p w14:paraId="4286D36E">
            <w:pPr>
              <w:adjustRightInd w:val="0"/>
              <w:snapToGrid w:val="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生活垃圾</w:t>
            </w:r>
            <w:r>
              <w:rPr>
                <w:rFonts w:hint="default" w:ascii="Times New Roman" w:hAnsi="Times New Roman" w:eastAsia="宋体" w:cs="Times New Roman"/>
                <w:color w:val="auto"/>
                <w:sz w:val="21"/>
                <w:szCs w:val="21"/>
                <w:highlight w:val="none"/>
                <w:lang w:eastAsia="zh-CN"/>
              </w:rPr>
              <w:t>设垃圾桶对生活</w:t>
            </w:r>
            <w:r>
              <w:rPr>
                <w:rFonts w:hint="eastAsia" w:ascii="Times New Roman" w:hAnsi="Times New Roman" w:eastAsia="宋体" w:cs="Times New Roman"/>
                <w:color w:val="auto"/>
                <w:sz w:val="21"/>
                <w:szCs w:val="21"/>
                <w:highlight w:val="none"/>
                <w:lang w:val="en-US" w:eastAsia="zh-CN"/>
              </w:rPr>
              <w:t>垃圾</w:t>
            </w:r>
            <w:r>
              <w:rPr>
                <w:rFonts w:hint="default" w:ascii="Times New Roman" w:hAnsi="Times New Roman" w:eastAsia="宋体" w:cs="Times New Roman"/>
                <w:color w:val="auto"/>
                <w:sz w:val="21"/>
                <w:szCs w:val="21"/>
                <w:highlight w:val="none"/>
                <w:lang w:eastAsia="zh-CN"/>
              </w:rPr>
              <w:t>统一收集后，送至</w:t>
            </w:r>
            <w:r>
              <w:rPr>
                <w:rFonts w:hint="eastAsia" w:ascii="Times New Roman" w:hAnsi="Times New Roman" w:eastAsia="宋体" w:cs="Times New Roman"/>
                <w:color w:val="auto"/>
                <w:sz w:val="21"/>
                <w:szCs w:val="21"/>
                <w:highlight w:val="none"/>
                <w:lang w:eastAsia="zh-CN"/>
              </w:rPr>
              <w:t>附近</w:t>
            </w:r>
            <w:r>
              <w:rPr>
                <w:rFonts w:hint="default" w:ascii="Times New Roman" w:hAnsi="Times New Roman" w:eastAsia="宋体" w:cs="Times New Roman"/>
                <w:color w:val="auto"/>
                <w:sz w:val="21"/>
                <w:szCs w:val="21"/>
                <w:highlight w:val="none"/>
                <w:lang w:eastAsia="zh-CN"/>
              </w:rPr>
              <w:t>垃圾收集点，交由环卫部门统一处置</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建筑垃圾可回用的进行综合利用或外售回收单位，不能回用的需及时收集后运往指定的建筑垃圾填埋场处置</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光伏板废弃包装材料和少量废弃钢筋边角料可外售废品回收单位；损坏的材料或组件由</w:t>
            </w:r>
            <w:r>
              <w:rPr>
                <w:rFonts w:hint="eastAsia" w:ascii="Times New Roman" w:hAnsi="Times New Roman" w:eastAsia="宋体" w:cs="Times New Roman"/>
                <w:color w:val="auto"/>
                <w:sz w:val="21"/>
                <w:szCs w:val="21"/>
                <w:highlight w:val="none"/>
                <w:lang w:val="en-US" w:eastAsia="zh-CN"/>
              </w:rPr>
              <w:t>专业回收</w:t>
            </w:r>
            <w:r>
              <w:rPr>
                <w:rFonts w:hint="default" w:ascii="Times New Roman" w:hAnsi="Times New Roman" w:eastAsia="宋体" w:cs="Times New Roman"/>
                <w:color w:val="auto"/>
                <w:sz w:val="21"/>
                <w:szCs w:val="21"/>
                <w:highlight w:val="none"/>
                <w:lang w:eastAsia="zh-CN"/>
              </w:rPr>
              <w:t>单位回收处置</w:t>
            </w:r>
          </w:p>
        </w:tc>
        <w:tc>
          <w:tcPr>
            <w:tcW w:w="1931" w:type="dxa"/>
            <w:noWrap w:val="0"/>
            <w:vAlign w:val="center"/>
          </w:tcPr>
          <w:p w14:paraId="4C9DF164">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100%处置</w:t>
            </w:r>
          </w:p>
        </w:tc>
        <w:tc>
          <w:tcPr>
            <w:tcW w:w="1586" w:type="dxa"/>
            <w:noWrap w:val="0"/>
            <w:vAlign w:val="center"/>
          </w:tcPr>
          <w:p w14:paraId="3025E18E">
            <w:pPr>
              <w:adjustRightInd w:val="0"/>
              <w:snapToGrid w:val="0"/>
              <w:jc w:val="center"/>
              <w:rPr>
                <w:rFonts w:ascii="Times New Roman" w:hAnsi="Times New Roman" w:eastAsia="宋体" w:cs="Times New Roman"/>
                <w:color w:val="auto"/>
                <w:sz w:val="21"/>
                <w:szCs w:val="21"/>
                <w:highlight w:val="green"/>
              </w:rPr>
            </w:pPr>
            <w:r>
              <w:rPr>
                <w:rFonts w:hint="default" w:ascii="Times New Roman" w:hAnsi="Times New Roman" w:eastAsia="宋体" w:cs="Times New Roman"/>
                <w:color w:val="auto"/>
                <w:sz w:val="21"/>
                <w:szCs w:val="21"/>
                <w:highlight w:val="none"/>
                <w:lang w:eastAsia="zh-CN"/>
              </w:rPr>
              <w:t>主要包括检修过程产生的太阳能电池板组件等。交由</w:t>
            </w:r>
            <w:r>
              <w:rPr>
                <w:rFonts w:hint="default" w:ascii="Times New Roman" w:hAnsi="Times New Roman" w:eastAsia="宋体" w:cs="Times New Roman"/>
                <w:color w:val="auto"/>
                <w:sz w:val="21"/>
                <w:szCs w:val="21"/>
                <w:highlight w:val="none"/>
                <w:lang w:val="en-US" w:eastAsia="zh-CN"/>
              </w:rPr>
              <w:t>专业回收</w:t>
            </w:r>
            <w:r>
              <w:rPr>
                <w:rFonts w:hint="default" w:ascii="Times New Roman" w:hAnsi="Times New Roman" w:eastAsia="宋体" w:cs="Times New Roman"/>
                <w:color w:val="auto"/>
                <w:sz w:val="21"/>
                <w:szCs w:val="21"/>
                <w:highlight w:val="none"/>
                <w:lang w:eastAsia="zh-CN"/>
              </w:rPr>
              <w:t>单位回收处置</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废油产生后暂存箱变下方事故油池，有资质单位收集处置，</w:t>
            </w:r>
          </w:p>
        </w:tc>
        <w:tc>
          <w:tcPr>
            <w:tcW w:w="907" w:type="dxa"/>
            <w:noWrap w:val="0"/>
            <w:vAlign w:val="center"/>
          </w:tcPr>
          <w:p w14:paraId="656AA3DA">
            <w:pPr>
              <w:adjustRightInd w:val="0"/>
              <w:snapToGrid w:val="0"/>
              <w:jc w:val="center"/>
              <w:rPr>
                <w:rFonts w:ascii="Times New Roman" w:hAnsi="Times New Roman" w:eastAsia="宋体" w:cs="Times New Roman"/>
                <w:color w:val="auto"/>
                <w:sz w:val="21"/>
                <w:szCs w:val="21"/>
                <w:highlight w:val="green"/>
              </w:rPr>
            </w:pPr>
            <w:r>
              <w:rPr>
                <w:rFonts w:hint="eastAsia" w:ascii="Times New Roman" w:hAnsi="Times New Roman" w:eastAsia="宋体" w:cs="Times New Roman"/>
                <w:color w:val="auto"/>
                <w:sz w:val="21"/>
                <w:szCs w:val="21"/>
                <w:highlight w:val="none"/>
                <w:lang w:val="en-US" w:eastAsia="zh-CN"/>
              </w:rPr>
              <w:t>100%处置</w:t>
            </w:r>
          </w:p>
        </w:tc>
      </w:tr>
      <w:tr w14:paraId="315B99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509" w:type="dxa"/>
            <w:noWrap w:val="0"/>
            <w:vAlign w:val="center"/>
          </w:tcPr>
          <w:p w14:paraId="6E0D6A99">
            <w:pPr>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环境风险</w:t>
            </w:r>
          </w:p>
        </w:tc>
        <w:tc>
          <w:tcPr>
            <w:tcW w:w="7013" w:type="dxa"/>
            <w:gridSpan w:val="4"/>
            <w:noWrap w:val="0"/>
            <w:vAlign w:val="center"/>
          </w:tcPr>
          <w:p w14:paraId="0315021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站内设置</w:t>
            </w: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eastAsia" w:ascii="Times New Roman" w:hAnsi="Times New Roman" w:eastAsia="宋体" w:cs="Times New Roman"/>
                <w:color w:val="auto"/>
                <w:sz w:val="21"/>
                <w:szCs w:val="21"/>
                <w:highlight w:val="none"/>
                <w:vertAlign w:val="baseline"/>
                <w:lang w:eastAsia="zh-CN"/>
              </w:rPr>
              <w:t>总</w:t>
            </w:r>
            <w:r>
              <w:rPr>
                <w:rFonts w:hint="default" w:ascii="Times New Roman" w:hAnsi="Times New Roman" w:eastAsia="宋体" w:cs="Times New Roman"/>
                <w:color w:val="auto"/>
                <w:sz w:val="21"/>
                <w:szCs w:val="21"/>
                <w:highlight w:val="none"/>
                <w:lang w:val="en-US" w:eastAsia="zh-CN"/>
              </w:rPr>
              <w:t>事故油池</w:t>
            </w:r>
            <w:r>
              <w:rPr>
                <w:rFonts w:hint="eastAsia" w:ascii="Times New Roman" w:hAnsi="Times New Roman" w:eastAsia="宋体" w:cs="Times New Roman"/>
                <w:color w:val="auto"/>
                <w:sz w:val="21"/>
                <w:szCs w:val="21"/>
                <w:highlight w:val="none"/>
                <w:lang w:val="en-US" w:eastAsia="zh-CN"/>
              </w:rPr>
              <w:t>，箱变下方设置2m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事故油池</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0"/>
                <w:sz w:val="21"/>
                <w:szCs w:val="21"/>
                <w:highlight w:val="none"/>
              </w:rPr>
              <w:t>同时</w:t>
            </w:r>
            <w:r>
              <w:rPr>
                <w:rFonts w:hint="default" w:ascii="Times New Roman" w:hAnsi="Times New Roman" w:eastAsia="宋体" w:cs="Times New Roman"/>
                <w:color w:val="auto"/>
                <w:kern w:val="0"/>
                <w:sz w:val="21"/>
                <w:szCs w:val="21"/>
                <w:highlight w:val="none"/>
                <w:lang w:val="en-US" w:eastAsia="zh-CN"/>
              </w:rPr>
              <w:t>建设单位应</w:t>
            </w:r>
            <w:r>
              <w:rPr>
                <w:rFonts w:hint="default" w:ascii="Times New Roman" w:hAnsi="Times New Roman" w:eastAsia="宋体" w:cs="Times New Roman"/>
                <w:color w:val="auto"/>
                <w:kern w:val="0"/>
                <w:sz w:val="21"/>
                <w:szCs w:val="21"/>
                <w:highlight w:val="none"/>
              </w:rPr>
              <w:t>制定《环境污染事件处置应急预案》</w:t>
            </w:r>
          </w:p>
        </w:tc>
      </w:tr>
      <w:tr w14:paraId="119594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9" w:type="dxa"/>
            <w:noWrap w:val="0"/>
            <w:vAlign w:val="center"/>
          </w:tcPr>
          <w:p w14:paraId="48433397">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光污染</w:t>
            </w:r>
          </w:p>
        </w:tc>
        <w:tc>
          <w:tcPr>
            <w:tcW w:w="7013" w:type="dxa"/>
            <w:gridSpan w:val="4"/>
            <w:noWrap w:val="0"/>
            <w:vAlign w:val="center"/>
          </w:tcPr>
          <w:p w14:paraId="206A4C15">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w:t>
            </w:r>
          </w:p>
        </w:tc>
      </w:tr>
      <w:tr w14:paraId="0AF06D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9" w:type="dxa"/>
            <w:noWrap w:val="0"/>
            <w:vAlign w:val="center"/>
          </w:tcPr>
          <w:p w14:paraId="1A9788C6">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环境监测</w:t>
            </w:r>
          </w:p>
        </w:tc>
        <w:tc>
          <w:tcPr>
            <w:tcW w:w="2589" w:type="dxa"/>
            <w:noWrap w:val="0"/>
            <w:vAlign w:val="center"/>
          </w:tcPr>
          <w:p w14:paraId="7E99E283">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噪声监测</w:t>
            </w:r>
          </w:p>
        </w:tc>
        <w:tc>
          <w:tcPr>
            <w:tcW w:w="1931" w:type="dxa"/>
            <w:noWrap w:val="0"/>
            <w:vAlign w:val="center"/>
          </w:tcPr>
          <w:p w14:paraId="3E82A463">
            <w:pPr>
              <w:adjustRightInd w:val="0"/>
              <w:snapToGrid w:val="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(GB3096-2008)《声环境质量标准》2类标准</w:t>
            </w:r>
          </w:p>
        </w:tc>
        <w:tc>
          <w:tcPr>
            <w:tcW w:w="1586" w:type="dxa"/>
            <w:noWrap w:val="0"/>
            <w:vAlign w:val="center"/>
          </w:tcPr>
          <w:p w14:paraId="5D80D4AD">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w:t>
            </w:r>
          </w:p>
        </w:tc>
        <w:tc>
          <w:tcPr>
            <w:tcW w:w="907" w:type="dxa"/>
            <w:noWrap w:val="0"/>
            <w:vAlign w:val="center"/>
          </w:tcPr>
          <w:p w14:paraId="1206BDC5">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w:t>
            </w:r>
          </w:p>
        </w:tc>
      </w:tr>
      <w:tr w14:paraId="3517F6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9" w:type="dxa"/>
            <w:noWrap w:val="0"/>
            <w:vAlign w:val="center"/>
          </w:tcPr>
          <w:p w14:paraId="06C1D516">
            <w:pPr>
              <w:adjustRightInd w:val="0"/>
              <w:snapToGrid w:val="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其他</w:t>
            </w:r>
          </w:p>
        </w:tc>
        <w:tc>
          <w:tcPr>
            <w:tcW w:w="7013" w:type="dxa"/>
            <w:gridSpan w:val="4"/>
            <w:noWrap w:val="0"/>
            <w:vAlign w:val="center"/>
          </w:tcPr>
          <w:p w14:paraId="15D28009">
            <w:pPr>
              <w:keepNext w:val="0"/>
              <w:keepLines w:val="0"/>
              <w:pageBreakBefore w:val="0"/>
              <w:widowControl w:val="0"/>
              <w:kinsoku/>
              <w:wordWrap/>
              <w:overflowPunct/>
              <w:topLinePunct w:val="0"/>
              <w:autoSpaceDE/>
              <w:autoSpaceDN/>
              <w:bidi w:val="0"/>
              <w:adjustRightInd w:val="0"/>
              <w:snapToGrid w:val="0"/>
              <w:spacing w:before="48" w:beforeLines="20" w:after="48" w:afterLines="20" w:line="288" w:lineRule="auto"/>
              <w:ind w:firstLine="420" w:firstLineChars="200"/>
              <w:textAlignment w:val="auto"/>
              <w:rPr>
                <w:rFonts w:hint="eastAsia" w:ascii="Times New Roman" w:hAnsi="Times New Roman" w:cs="Times New Roman" w:eastAsiaTheme="minorEastAsia"/>
                <w:color w:val="auto"/>
                <w:sz w:val="21"/>
                <w:szCs w:val="21"/>
                <w:highlight w:val="none"/>
                <w:lang w:val="en-US" w:eastAsia="zh-CN"/>
              </w:rPr>
            </w:pPr>
            <w:r>
              <w:rPr>
                <w:color w:val="auto"/>
                <w:highlight w:val="none"/>
              </w:rPr>
              <w:t>建设单位应按照《建设项目竣工环境保护验收管理办法》中的相关规定，及时进行自主验收，并报当地</w:t>
            </w:r>
            <w:r>
              <w:rPr>
                <w:rFonts w:hint="eastAsia"/>
                <w:color w:val="auto"/>
                <w:highlight w:val="none"/>
              </w:rPr>
              <w:t>生态环境</w:t>
            </w:r>
            <w:r>
              <w:rPr>
                <w:color w:val="auto"/>
                <w:highlight w:val="none"/>
              </w:rPr>
              <w:t>主管部门备案</w:t>
            </w:r>
          </w:p>
        </w:tc>
      </w:tr>
      <w:tr w14:paraId="5C6389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22" w:type="dxa"/>
            <w:gridSpan w:val="5"/>
            <w:noWrap w:val="0"/>
            <w:vAlign w:val="center"/>
          </w:tcPr>
          <w:p w14:paraId="062A69FE">
            <w:pPr>
              <w:adjustRightInd w:val="0"/>
              <w:snapToGrid w:val="0"/>
              <w:jc w:val="center"/>
              <w:rPr>
                <w:color w:val="auto"/>
                <w:highlight w:val="green"/>
              </w:rPr>
            </w:pPr>
          </w:p>
          <w:p w14:paraId="2555EAB2">
            <w:pPr>
              <w:pStyle w:val="34"/>
              <w:rPr>
                <w:rFonts w:ascii="Times New Roman" w:hAnsi="Times New Roman" w:eastAsia="宋体" w:cs="Times New Roman"/>
                <w:color w:val="auto"/>
                <w:sz w:val="21"/>
                <w:szCs w:val="21"/>
                <w:highlight w:val="green"/>
              </w:rPr>
            </w:pPr>
          </w:p>
          <w:p w14:paraId="56DA9132">
            <w:pPr>
              <w:pStyle w:val="34"/>
              <w:rPr>
                <w:rFonts w:ascii="Times New Roman" w:hAnsi="Times New Roman" w:eastAsia="宋体" w:cs="Times New Roman"/>
                <w:color w:val="auto"/>
                <w:sz w:val="21"/>
                <w:szCs w:val="21"/>
                <w:highlight w:val="green"/>
              </w:rPr>
            </w:pPr>
          </w:p>
          <w:p w14:paraId="4E125C21">
            <w:pPr>
              <w:pStyle w:val="34"/>
              <w:rPr>
                <w:rFonts w:ascii="Times New Roman" w:hAnsi="Times New Roman" w:eastAsia="宋体" w:cs="Times New Roman"/>
                <w:color w:val="auto"/>
                <w:sz w:val="21"/>
                <w:szCs w:val="21"/>
                <w:highlight w:val="green"/>
              </w:rPr>
            </w:pPr>
          </w:p>
          <w:p w14:paraId="5A79CC1B">
            <w:pPr>
              <w:pStyle w:val="34"/>
              <w:rPr>
                <w:rFonts w:ascii="Times New Roman" w:hAnsi="Times New Roman" w:eastAsia="宋体" w:cs="Times New Roman"/>
                <w:color w:val="auto"/>
                <w:sz w:val="21"/>
                <w:szCs w:val="21"/>
                <w:highlight w:val="green"/>
              </w:rPr>
            </w:pPr>
          </w:p>
          <w:p w14:paraId="41C22F56">
            <w:pPr>
              <w:pStyle w:val="34"/>
              <w:rPr>
                <w:rFonts w:ascii="Times New Roman" w:hAnsi="Times New Roman" w:eastAsia="宋体" w:cs="Times New Roman"/>
                <w:color w:val="auto"/>
                <w:sz w:val="21"/>
                <w:szCs w:val="21"/>
                <w:highlight w:val="green"/>
              </w:rPr>
            </w:pPr>
          </w:p>
          <w:p w14:paraId="3C23F2DD">
            <w:pPr>
              <w:pStyle w:val="34"/>
              <w:rPr>
                <w:rFonts w:ascii="Times New Roman" w:hAnsi="Times New Roman" w:eastAsia="宋体" w:cs="Times New Roman"/>
                <w:color w:val="auto"/>
                <w:sz w:val="21"/>
                <w:szCs w:val="21"/>
                <w:highlight w:val="green"/>
              </w:rPr>
            </w:pPr>
          </w:p>
          <w:p w14:paraId="7EF1198A">
            <w:pPr>
              <w:pStyle w:val="34"/>
              <w:rPr>
                <w:rFonts w:ascii="Times New Roman" w:hAnsi="Times New Roman" w:eastAsia="宋体" w:cs="Times New Roman"/>
                <w:color w:val="auto"/>
                <w:sz w:val="21"/>
                <w:szCs w:val="21"/>
                <w:highlight w:val="green"/>
              </w:rPr>
            </w:pPr>
          </w:p>
          <w:p w14:paraId="792CD713">
            <w:pPr>
              <w:pStyle w:val="34"/>
              <w:rPr>
                <w:rFonts w:ascii="Times New Roman" w:hAnsi="Times New Roman" w:eastAsia="宋体" w:cs="Times New Roman"/>
                <w:color w:val="auto"/>
                <w:sz w:val="21"/>
                <w:szCs w:val="21"/>
                <w:highlight w:val="green"/>
              </w:rPr>
            </w:pPr>
          </w:p>
          <w:p w14:paraId="001C6EEE">
            <w:pPr>
              <w:pStyle w:val="34"/>
              <w:rPr>
                <w:rFonts w:ascii="Times New Roman" w:hAnsi="Times New Roman" w:eastAsia="宋体" w:cs="Times New Roman"/>
                <w:color w:val="auto"/>
                <w:sz w:val="21"/>
                <w:szCs w:val="21"/>
                <w:highlight w:val="green"/>
              </w:rPr>
            </w:pPr>
          </w:p>
          <w:p w14:paraId="0532A9C8">
            <w:pPr>
              <w:pStyle w:val="34"/>
              <w:rPr>
                <w:rFonts w:ascii="Times New Roman" w:hAnsi="Times New Roman" w:eastAsia="宋体" w:cs="Times New Roman"/>
                <w:color w:val="auto"/>
                <w:sz w:val="21"/>
                <w:szCs w:val="21"/>
                <w:highlight w:val="green"/>
              </w:rPr>
            </w:pPr>
          </w:p>
          <w:p w14:paraId="023033A7">
            <w:pPr>
              <w:pStyle w:val="34"/>
              <w:rPr>
                <w:rFonts w:ascii="Times New Roman" w:hAnsi="Times New Roman" w:eastAsia="宋体" w:cs="Times New Roman"/>
                <w:color w:val="auto"/>
                <w:sz w:val="21"/>
                <w:szCs w:val="21"/>
                <w:highlight w:val="green"/>
              </w:rPr>
            </w:pPr>
          </w:p>
          <w:p w14:paraId="1F433A8F">
            <w:pPr>
              <w:pStyle w:val="34"/>
              <w:rPr>
                <w:rFonts w:ascii="Times New Roman" w:hAnsi="Times New Roman" w:eastAsia="宋体" w:cs="Times New Roman"/>
                <w:color w:val="auto"/>
                <w:sz w:val="21"/>
                <w:szCs w:val="21"/>
                <w:highlight w:val="green"/>
              </w:rPr>
            </w:pPr>
          </w:p>
          <w:p w14:paraId="0B92634D">
            <w:pPr>
              <w:pStyle w:val="34"/>
              <w:rPr>
                <w:rFonts w:ascii="Times New Roman" w:hAnsi="Times New Roman" w:eastAsia="宋体" w:cs="Times New Roman"/>
                <w:color w:val="auto"/>
                <w:sz w:val="21"/>
                <w:szCs w:val="21"/>
                <w:highlight w:val="green"/>
              </w:rPr>
            </w:pPr>
          </w:p>
          <w:p w14:paraId="5E25CEAB">
            <w:pPr>
              <w:pStyle w:val="34"/>
              <w:rPr>
                <w:rFonts w:ascii="Times New Roman" w:hAnsi="Times New Roman" w:eastAsia="宋体" w:cs="Times New Roman"/>
                <w:color w:val="auto"/>
                <w:sz w:val="21"/>
                <w:szCs w:val="21"/>
                <w:highlight w:val="green"/>
              </w:rPr>
            </w:pPr>
          </w:p>
          <w:p w14:paraId="26F2B5D9">
            <w:pPr>
              <w:pStyle w:val="34"/>
              <w:rPr>
                <w:rFonts w:ascii="Times New Roman" w:hAnsi="Times New Roman" w:eastAsia="宋体" w:cs="Times New Roman"/>
                <w:color w:val="auto"/>
                <w:sz w:val="21"/>
                <w:szCs w:val="21"/>
                <w:highlight w:val="green"/>
              </w:rPr>
            </w:pPr>
          </w:p>
          <w:p w14:paraId="4DA088C4">
            <w:pPr>
              <w:pStyle w:val="34"/>
              <w:rPr>
                <w:rFonts w:ascii="Times New Roman" w:hAnsi="Times New Roman" w:eastAsia="宋体" w:cs="Times New Roman"/>
                <w:color w:val="auto"/>
                <w:sz w:val="21"/>
                <w:szCs w:val="21"/>
                <w:highlight w:val="green"/>
              </w:rPr>
            </w:pPr>
          </w:p>
          <w:p w14:paraId="25247BBF">
            <w:pPr>
              <w:pStyle w:val="34"/>
              <w:rPr>
                <w:rFonts w:ascii="Times New Roman" w:hAnsi="Times New Roman" w:eastAsia="宋体" w:cs="Times New Roman"/>
                <w:color w:val="auto"/>
                <w:sz w:val="21"/>
                <w:szCs w:val="21"/>
                <w:highlight w:val="green"/>
              </w:rPr>
            </w:pPr>
          </w:p>
          <w:p w14:paraId="01FF916D">
            <w:pPr>
              <w:pStyle w:val="34"/>
              <w:rPr>
                <w:rFonts w:ascii="Times New Roman" w:hAnsi="Times New Roman" w:eastAsia="宋体" w:cs="Times New Roman"/>
                <w:color w:val="auto"/>
                <w:sz w:val="21"/>
                <w:szCs w:val="21"/>
                <w:highlight w:val="green"/>
              </w:rPr>
            </w:pPr>
          </w:p>
          <w:p w14:paraId="403018F3">
            <w:pPr>
              <w:pStyle w:val="34"/>
              <w:rPr>
                <w:rFonts w:ascii="Times New Roman" w:hAnsi="Times New Roman" w:eastAsia="宋体" w:cs="Times New Roman"/>
                <w:color w:val="auto"/>
                <w:sz w:val="21"/>
                <w:szCs w:val="21"/>
                <w:highlight w:val="green"/>
              </w:rPr>
            </w:pPr>
          </w:p>
          <w:p w14:paraId="5A36F57C">
            <w:pPr>
              <w:pStyle w:val="34"/>
              <w:rPr>
                <w:rFonts w:ascii="Times New Roman" w:hAnsi="Times New Roman" w:eastAsia="宋体" w:cs="Times New Roman"/>
                <w:color w:val="auto"/>
                <w:sz w:val="21"/>
                <w:szCs w:val="21"/>
                <w:highlight w:val="green"/>
              </w:rPr>
            </w:pPr>
          </w:p>
          <w:p w14:paraId="6F61AA9C">
            <w:pPr>
              <w:pStyle w:val="34"/>
              <w:rPr>
                <w:rFonts w:ascii="Times New Roman" w:hAnsi="Times New Roman" w:eastAsia="宋体" w:cs="Times New Roman"/>
                <w:color w:val="auto"/>
                <w:sz w:val="21"/>
                <w:szCs w:val="21"/>
                <w:highlight w:val="green"/>
              </w:rPr>
            </w:pPr>
          </w:p>
          <w:p w14:paraId="7EF30C06">
            <w:pPr>
              <w:pStyle w:val="34"/>
              <w:rPr>
                <w:rFonts w:ascii="Times New Roman" w:hAnsi="Times New Roman" w:eastAsia="宋体" w:cs="Times New Roman"/>
                <w:color w:val="auto"/>
                <w:sz w:val="21"/>
                <w:szCs w:val="21"/>
                <w:highlight w:val="green"/>
              </w:rPr>
            </w:pPr>
          </w:p>
          <w:p w14:paraId="563ACEFC">
            <w:pPr>
              <w:pStyle w:val="34"/>
              <w:rPr>
                <w:rFonts w:ascii="Times New Roman" w:hAnsi="Times New Roman" w:eastAsia="宋体" w:cs="Times New Roman"/>
                <w:color w:val="auto"/>
                <w:sz w:val="21"/>
                <w:szCs w:val="21"/>
                <w:highlight w:val="green"/>
              </w:rPr>
            </w:pPr>
          </w:p>
          <w:p w14:paraId="309E45BD">
            <w:pPr>
              <w:pStyle w:val="34"/>
              <w:rPr>
                <w:rFonts w:ascii="Times New Roman" w:hAnsi="Times New Roman" w:eastAsia="宋体" w:cs="Times New Roman"/>
                <w:color w:val="auto"/>
                <w:sz w:val="21"/>
                <w:szCs w:val="21"/>
                <w:highlight w:val="green"/>
              </w:rPr>
            </w:pPr>
          </w:p>
          <w:p w14:paraId="0F6ED7BA">
            <w:pPr>
              <w:pStyle w:val="34"/>
              <w:rPr>
                <w:rFonts w:ascii="Times New Roman" w:hAnsi="Times New Roman" w:eastAsia="宋体" w:cs="Times New Roman"/>
                <w:color w:val="auto"/>
                <w:sz w:val="21"/>
                <w:szCs w:val="21"/>
                <w:highlight w:val="green"/>
              </w:rPr>
            </w:pPr>
          </w:p>
          <w:p w14:paraId="4513E742">
            <w:pPr>
              <w:pStyle w:val="34"/>
              <w:rPr>
                <w:rFonts w:ascii="Times New Roman" w:hAnsi="Times New Roman" w:eastAsia="宋体" w:cs="Times New Roman"/>
                <w:color w:val="auto"/>
                <w:sz w:val="21"/>
                <w:szCs w:val="21"/>
                <w:highlight w:val="green"/>
              </w:rPr>
            </w:pPr>
          </w:p>
          <w:p w14:paraId="67C025E1">
            <w:pPr>
              <w:pStyle w:val="34"/>
              <w:rPr>
                <w:rFonts w:ascii="Times New Roman" w:hAnsi="Times New Roman" w:eastAsia="宋体" w:cs="Times New Roman"/>
                <w:color w:val="auto"/>
                <w:sz w:val="21"/>
                <w:szCs w:val="21"/>
                <w:highlight w:val="green"/>
              </w:rPr>
            </w:pPr>
          </w:p>
        </w:tc>
      </w:tr>
    </w:tbl>
    <w:p w14:paraId="268B536D">
      <w:pPr>
        <w:pStyle w:val="21"/>
        <w:spacing w:before="0" w:beforeAutospacing="0" w:line="240" w:lineRule="auto"/>
        <w:jc w:val="center"/>
        <w:outlineLvl w:val="0"/>
        <w:rPr>
          <w:rFonts w:ascii="Times New Roman" w:hAnsi="Times New Roman" w:eastAsia="黑体" w:cs="Times New Roman"/>
          <w:snapToGrid w:val="0"/>
          <w:color w:val="auto"/>
          <w:sz w:val="30"/>
          <w:szCs w:val="30"/>
          <w:highlight w:val="none"/>
        </w:rPr>
      </w:pPr>
      <w:r>
        <w:rPr>
          <w:rFonts w:ascii="Times New Roman" w:hAnsi="Times New Roman" w:eastAsia="黑体" w:cs="Times New Roman"/>
          <w:snapToGrid w:val="0"/>
          <w:color w:val="auto"/>
          <w:sz w:val="30"/>
          <w:szCs w:val="30"/>
          <w:highlight w:val="none"/>
        </w:rPr>
        <w:br w:type="page"/>
      </w:r>
      <w:r>
        <w:rPr>
          <w:rStyle w:val="42"/>
          <w:rFonts w:hint="eastAsia" w:ascii="黑体" w:hAnsi="黑体" w:eastAsia="黑体" w:cs="黑体"/>
          <w:color w:val="auto"/>
          <w:sz w:val="30"/>
          <w:szCs w:val="30"/>
          <w:highlight w:val="none"/>
        </w:rPr>
        <w:t>七、结论</w:t>
      </w:r>
    </w:p>
    <w:tbl>
      <w:tblPr>
        <w:tblStyle w:val="24"/>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4AE334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98" w:hRule="atLeast"/>
          <w:jc w:val="center"/>
        </w:trPr>
        <w:tc>
          <w:tcPr>
            <w:tcW w:w="9289" w:type="dxa"/>
            <w:noWrap w:val="0"/>
            <w:vAlign w:val="top"/>
          </w:tcPr>
          <w:p w14:paraId="5BCC47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1、结论</w:t>
            </w:r>
          </w:p>
          <w:p w14:paraId="4CD81CA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大唐洋县60MW光伏发电项目符合国家产业和环保政策，选址合理。在落实本次评价提出的生态环保措施后，项目在实施过程中产生的各种影响均得到有效的控制，对项目周围生态环境影响不大。从环境保护的角度分析，该项目的实施是可行的。</w:t>
            </w:r>
          </w:p>
          <w:p w14:paraId="6DF9BEAF">
            <w:pPr>
              <w:pStyle w:val="34"/>
              <w:rPr>
                <w:rFonts w:ascii="Times New Roman" w:hAnsi="Times New Roman" w:eastAsia="宋体" w:cs="Times New Roman"/>
                <w:color w:val="auto"/>
                <w:szCs w:val="21"/>
                <w:highlight w:val="none"/>
              </w:rPr>
            </w:pPr>
          </w:p>
          <w:p w14:paraId="6320125D">
            <w:pPr>
              <w:pStyle w:val="34"/>
              <w:rPr>
                <w:rFonts w:ascii="Times New Roman" w:hAnsi="Times New Roman" w:eastAsia="宋体" w:cs="Times New Roman"/>
                <w:color w:val="auto"/>
                <w:szCs w:val="21"/>
                <w:highlight w:val="none"/>
              </w:rPr>
            </w:pPr>
          </w:p>
          <w:p w14:paraId="2F4981A8">
            <w:pPr>
              <w:pStyle w:val="34"/>
              <w:rPr>
                <w:rFonts w:ascii="Times New Roman" w:hAnsi="Times New Roman" w:eastAsia="宋体" w:cs="Times New Roman"/>
                <w:color w:val="auto"/>
                <w:szCs w:val="21"/>
                <w:highlight w:val="none"/>
              </w:rPr>
            </w:pPr>
          </w:p>
          <w:p w14:paraId="1EF56E48">
            <w:pPr>
              <w:pStyle w:val="34"/>
              <w:rPr>
                <w:rFonts w:ascii="Times New Roman" w:hAnsi="Times New Roman" w:eastAsia="宋体" w:cs="Times New Roman"/>
                <w:color w:val="auto"/>
                <w:szCs w:val="21"/>
                <w:highlight w:val="none"/>
              </w:rPr>
            </w:pPr>
          </w:p>
          <w:p w14:paraId="419EE236">
            <w:pPr>
              <w:pStyle w:val="34"/>
              <w:rPr>
                <w:rFonts w:ascii="Times New Roman" w:hAnsi="Times New Roman" w:eastAsia="宋体" w:cs="Times New Roman"/>
                <w:color w:val="auto"/>
                <w:szCs w:val="21"/>
                <w:highlight w:val="none"/>
              </w:rPr>
            </w:pPr>
          </w:p>
          <w:p w14:paraId="6DE7BC76">
            <w:pPr>
              <w:pStyle w:val="34"/>
              <w:rPr>
                <w:rFonts w:ascii="Times New Roman" w:hAnsi="Times New Roman" w:eastAsia="宋体" w:cs="Times New Roman"/>
                <w:color w:val="auto"/>
                <w:szCs w:val="21"/>
                <w:highlight w:val="none"/>
              </w:rPr>
            </w:pPr>
          </w:p>
          <w:p w14:paraId="4CA87ECF">
            <w:pPr>
              <w:pStyle w:val="34"/>
              <w:rPr>
                <w:rFonts w:ascii="Times New Roman" w:hAnsi="Times New Roman" w:eastAsia="宋体" w:cs="Times New Roman"/>
                <w:color w:val="auto"/>
                <w:szCs w:val="21"/>
                <w:highlight w:val="none"/>
              </w:rPr>
            </w:pPr>
          </w:p>
          <w:p w14:paraId="222B3925">
            <w:pPr>
              <w:pStyle w:val="34"/>
              <w:rPr>
                <w:rFonts w:ascii="Times New Roman" w:hAnsi="Times New Roman" w:eastAsia="宋体" w:cs="Times New Roman"/>
                <w:color w:val="auto"/>
                <w:szCs w:val="21"/>
                <w:highlight w:val="none"/>
              </w:rPr>
            </w:pPr>
          </w:p>
          <w:p w14:paraId="0174362B">
            <w:pPr>
              <w:pStyle w:val="34"/>
              <w:rPr>
                <w:rFonts w:ascii="Times New Roman" w:hAnsi="Times New Roman" w:eastAsia="宋体" w:cs="Times New Roman"/>
                <w:color w:val="auto"/>
                <w:szCs w:val="21"/>
                <w:highlight w:val="none"/>
              </w:rPr>
            </w:pPr>
          </w:p>
          <w:p w14:paraId="06726A71">
            <w:pPr>
              <w:pStyle w:val="34"/>
              <w:rPr>
                <w:rFonts w:ascii="Times New Roman" w:hAnsi="Times New Roman" w:eastAsia="宋体" w:cs="Times New Roman"/>
                <w:color w:val="auto"/>
                <w:szCs w:val="21"/>
                <w:highlight w:val="none"/>
              </w:rPr>
            </w:pPr>
          </w:p>
          <w:p w14:paraId="5790E20B">
            <w:pPr>
              <w:pStyle w:val="34"/>
              <w:rPr>
                <w:rFonts w:ascii="Times New Roman" w:hAnsi="Times New Roman" w:eastAsia="宋体" w:cs="Times New Roman"/>
                <w:color w:val="auto"/>
                <w:szCs w:val="21"/>
                <w:highlight w:val="none"/>
              </w:rPr>
            </w:pPr>
          </w:p>
          <w:p w14:paraId="55A6D6EA">
            <w:pPr>
              <w:pStyle w:val="34"/>
              <w:rPr>
                <w:rFonts w:ascii="Times New Roman" w:hAnsi="Times New Roman" w:eastAsia="宋体" w:cs="Times New Roman"/>
                <w:color w:val="auto"/>
                <w:szCs w:val="21"/>
                <w:highlight w:val="none"/>
              </w:rPr>
            </w:pPr>
          </w:p>
          <w:p w14:paraId="0105092A">
            <w:pPr>
              <w:pStyle w:val="34"/>
              <w:rPr>
                <w:rFonts w:ascii="Times New Roman" w:hAnsi="Times New Roman" w:eastAsia="宋体" w:cs="Times New Roman"/>
                <w:color w:val="auto"/>
                <w:szCs w:val="21"/>
                <w:highlight w:val="none"/>
              </w:rPr>
            </w:pPr>
          </w:p>
          <w:p w14:paraId="636EF5A6">
            <w:pPr>
              <w:pStyle w:val="34"/>
              <w:rPr>
                <w:rFonts w:ascii="Times New Roman" w:hAnsi="Times New Roman" w:eastAsia="宋体" w:cs="Times New Roman"/>
                <w:color w:val="auto"/>
                <w:szCs w:val="21"/>
                <w:highlight w:val="none"/>
              </w:rPr>
            </w:pPr>
          </w:p>
          <w:p w14:paraId="133F581E">
            <w:pPr>
              <w:pStyle w:val="34"/>
              <w:rPr>
                <w:rFonts w:ascii="Times New Roman" w:hAnsi="Times New Roman" w:eastAsia="宋体" w:cs="Times New Roman"/>
                <w:color w:val="auto"/>
                <w:szCs w:val="21"/>
                <w:highlight w:val="none"/>
              </w:rPr>
            </w:pPr>
          </w:p>
          <w:p w14:paraId="58B74DAC">
            <w:pPr>
              <w:pStyle w:val="34"/>
              <w:rPr>
                <w:rFonts w:ascii="Times New Roman" w:hAnsi="Times New Roman" w:eastAsia="宋体" w:cs="Times New Roman"/>
                <w:color w:val="auto"/>
                <w:szCs w:val="21"/>
                <w:highlight w:val="none"/>
              </w:rPr>
            </w:pPr>
          </w:p>
          <w:p w14:paraId="3C31C39E">
            <w:pPr>
              <w:pStyle w:val="34"/>
              <w:rPr>
                <w:rFonts w:ascii="Times New Roman" w:hAnsi="Times New Roman" w:eastAsia="宋体" w:cs="Times New Roman"/>
                <w:color w:val="auto"/>
                <w:szCs w:val="21"/>
                <w:highlight w:val="none"/>
              </w:rPr>
            </w:pPr>
          </w:p>
          <w:p w14:paraId="7F4B58EC">
            <w:pPr>
              <w:pStyle w:val="34"/>
              <w:rPr>
                <w:rFonts w:ascii="Times New Roman" w:hAnsi="Times New Roman" w:eastAsia="宋体" w:cs="Times New Roman"/>
                <w:color w:val="auto"/>
                <w:szCs w:val="21"/>
                <w:highlight w:val="none"/>
              </w:rPr>
            </w:pPr>
          </w:p>
          <w:p w14:paraId="6CDC2D90">
            <w:pPr>
              <w:pStyle w:val="34"/>
              <w:rPr>
                <w:rFonts w:ascii="Times New Roman" w:hAnsi="Times New Roman" w:eastAsia="宋体" w:cs="Times New Roman"/>
                <w:color w:val="auto"/>
                <w:szCs w:val="21"/>
                <w:highlight w:val="none"/>
              </w:rPr>
            </w:pPr>
          </w:p>
          <w:p w14:paraId="6DF89B22">
            <w:pPr>
              <w:pStyle w:val="34"/>
              <w:rPr>
                <w:rFonts w:ascii="Times New Roman" w:hAnsi="Times New Roman" w:eastAsia="宋体" w:cs="Times New Roman"/>
                <w:color w:val="auto"/>
                <w:szCs w:val="21"/>
                <w:highlight w:val="none"/>
              </w:rPr>
            </w:pPr>
          </w:p>
          <w:p w14:paraId="2E49BA46">
            <w:pPr>
              <w:pStyle w:val="34"/>
              <w:rPr>
                <w:rFonts w:ascii="Times New Roman" w:hAnsi="Times New Roman" w:eastAsia="宋体" w:cs="Times New Roman"/>
                <w:color w:val="auto"/>
                <w:szCs w:val="21"/>
                <w:highlight w:val="none"/>
              </w:rPr>
            </w:pPr>
          </w:p>
          <w:p w14:paraId="16926495">
            <w:pPr>
              <w:pStyle w:val="34"/>
              <w:rPr>
                <w:rFonts w:ascii="Times New Roman" w:hAnsi="Times New Roman" w:eastAsia="宋体" w:cs="Times New Roman"/>
                <w:color w:val="auto"/>
                <w:szCs w:val="21"/>
                <w:highlight w:val="none"/>
              </w:rPr>
            </w:pPr>
          </w:p>
          <w:p w14:paraId="5114E687">
            <w:pPr>
              <w:pStyle w:val="34"/>
              <w:rPr>
                <w:rFonts w:ascii="Times New Roman" w:hAnsi="Times New Roman" w:eastAsia="宋体" w:cs="Times New Roman"/>
                <w:color w:val="auto"/>
                <w:szCs w:val="21"/>
                <w:highlight w:val="none"/>
              </w:rPr>
            </w:pPr>
          </w:p>
          <w:p w14:paraId="6FF3B4D4">
            <w:pPr>
              <w:pStyle w:val="34"/>
              <w:rPr>
                <w:rFonts w:ascii="Times New Roman" w:hAnsi="Times New Roman" w:eastAsia="宋体" w:cs="Times New Roman"/>
                <w:color w:val="auto"/>
                <w:szCs w:val="21"/>
                <w:highlight w:val="none"/>
              </w:rPr>
            </w:pPr>
          </w:p>
          <w:p w14:paraId="07A8F29C">
            <w:pPr>
              <w:pStyle w:val="34"/>
              <w:rPr>
                <w:rFonts w:ascii="Times New Roman" w:hAnsi="Times New Roman" w:eastAsia="宋体" w:cs="Times New Roman"/>
                <w:color w:val="auto"/>
                <w:szCs w:val="21"/>
                <w:highlight w:val="none"/>
              </w:rPr>
            </w:pPr>
          </w:p>
          <w:p w14:paraId="349BA9C3">
            <w:pPr>
              <w:pStyle w:val="34"/>
              <w:rPr>
                <w:rFonts w:ascii="Times New Roman" w:hAnsi="Times New Roman" w:eastAsia="宋体" w:cs="Times New Roman"/>
                <w:color w:val="auto"/>
                <w:szCs w:val="21"/>
                <w:highlight w:val="none"/>
              </w:rPr>
            </w:pPr>
          </w:p>
          <w:p w14:paraId="1674D992">
            <w:pPr>
              <w:pStyle w:val="34"/>
              <w:rPr>
                <w:rFonts w:ascii="Times New Roman" w:hAnsi="Times New Roman" w:eastAsia="宋体" w:cs="Times New Roman"/>
                <w:color w:val="auto"/>
                <w:szCs w:val="21"/>
                <w:highlight w:val="none"/>
              </w:rPr>
            </w:pPr>
          </w:p>
          <w:p w14:paraId="442318D0">
            <w:pPr>
              <w:pStyle w:val="34"/>
              <w:rPr>
                <w:rFonts w:hint="eastAsia" w:ascii="Times New Roman" w:hAnsi="Times New Roman" w:eastAsia="宋体" w:cs="Times New Roman"/>
                <w:color w:val="auto"/>
                <w:szCs w:val="21"/>
                <w:highlight w:val="none"/>
                <w:lang w:val="en-US" w:eastAsia="zh-CN"/>
              </w:rPr>
            </w:pPr>
          </w:p>
        </w:tc>
      </w:tr>
    </w:tbl>
    <w:p w14:paraId="3FB9BF94">
      <w:pPr>
        <w:jc w:val="left"/>
        <w:rPr>
          <w:rFonts w:hint="eastAsia"/>
          <w:color w:val="auto"/>
          <w:highlight w:val="none"/>
        </w:rPr>
      </w:pPr>
    </w:p>
    <w:sectPr>
      <w:pgSz w:w="11906" w:h="16838"/>
      <w:pgMar w:top="1440" w:right="1800" w:bottom="1440" w:left="1800" w:header="851" w:footer="1077" w:gutter="0"/>
      <w:pgBorders>
        <w:top w:val="none" w:sz="0" w:space="0"/>
        <w:left w:val="none" w:sz="0" w:space="0"/>
        <w:bottom w:val="none" w:sz="0" w:space="0"/>
        <w:right w:val="none" w:sz="0" w:space="0"/>
      </w:pgBorders>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auto"/>
    <w:pitch w:val="default"/>
    <w:sig w:usb0="00000000" w:usb1="00000000" w:usb2="0000003F" w:usb3="00000000" w:csb0="603F01FF" w:csb1="FFFF0000"/>
  </w:font>
  <w:font w:name="MingLiU">
    <w:altName w:val="PMingLiU-ExtB"/>
    <w:panose1 w:val="02020509000000000000"/>
    <w:charset w:val="88"/>
    <w:family w:val="modern"/>
    <w:pitch w:val="default"/>
    <w:sig w:usb0="00000000" w:usb1="00000000" w:usb2="00000016" w:usb3="00000000" w:csb0="00100001" w:csb1="00000000"/>
  </w:font>
  <w:font w:name="方正小标宋_GBK">
    <w:altName w:val="微软雅黑"/>
    <w:panose1 w:val="02000000000000000000"/>
    <w:charset w:val="86"/>
    <w:family w:val="script"/>
    <w:pitch w:val="default"/>
    <w:sig w:usb0="00000000" w:usb1="00000000" w:usb2="00082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93F31">
    <w:pPr>
      <w:pStyle w:val="17"/>
      <w:ind w:right="360" w:firstLine="360"/>
      <w:jc w:val="center"/>
      <w:rPr>
        <w:rFonts w:ascii="Times New Roman" w:hAnsi="Times New Roman" w:eastAsia="宋体"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62E42">
    <w:pPr>
      <w:pStyle w:val="17"/>
      <w:framePr w:wrap="around" w:vAnchor="text" w:hAnchor="margin" w:xAlign="outside" w:y="1"/>
      <w:rPr>
        <w:rStyle w:val="27"/>
        <w:rFonts w:ascii="Times New Roman" w:hAnsi="Times New Roman" w:eastAsia="宋体" w:cs="Times New Roman"/>
      </w:rPr>
    </w:pPr>
    <w:r>
      <w:rPr>
        <w:rStyle w:val="27"/>
        <w:rFonts w:ascii="Times New Roman" w:hAnsi="Times New Roman" w:eastAsia="宋体" w:cs="Times New Roman"/>
      </w:rPr>
      <w:fldChar w:fldCharType="begin"/>
    </w:r>
    <w:r>
      <w:rPr>
        <w:rStyle w:val="27"/>
        <w:rFonts w:ascii="Times New Roman" w:hAnsi="Times New Roman" w:eastAsia="宋体" w:cs="Times New Roman"/>
      </w:rPr>
      <w:instrText xml:space="preserve">PAGE  </w:instrText>
    </w:r>
    <w:r>
      <w:rPr>
        <w:rStyle w:val="27"/>
        <w:rFonts w:ascii="Times New Roman" w:hAnsi="Times New Roman" w:eastAsia="宋体" w:cs="Times New Roman"/>
      </w:rPr>
      <w:fldChar w:fldCharType="end"/>
    </w:r>
  </w:p>
  <w:p w14:paraId="56A313F0">
    <w:pPr>
      <w:pStyle w:val="17"/>
      <w:ind w:right="360" w:firstLine="360"/>
      <w:rPr>
        <w:rFonts w:ascii="Times New Roman" w:hAnsi="Times New Roman" w:eastAsia="宋体"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07413">
    <w:pPr>
      <w:pStyle w:val="17"/>
      <w:jc w:val="center"/>
    </w:pPr>
    <w:r>
      <w:fldChar w:fldCharType="begin"/>
    </w:r>
    <w:r>
      <w:instrText xml:space="preserve">PAGE   \* MERGEFORMAT</w:instrText>
    </w:r>
    <w:r>
      <w:fldChar w:fldCharType="separate"/>
    </w:r>
    <w:r>
      <w:rPr>
        <w:lang w:val="zh-CN"/>
      </w:rPr>
      <w:t>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EC3EB">
    <w:pPr>
      <w:pStyle w:val="17"/>
      <w:framePr w:wrap="around" w:vAnchor="text" w:hAnchor="margin" w:xAlign="outside" w:y="1"/>
      <w:rPr>
        <w:rStyle w:val="27"/>
        <w:rFonts w:ascii="宋体" w:hAnsi="宋体" w:eastAsia="宋体" w:cs="Times New Roman"/>
        <w:sz w:val="28"/>
        <w:szCs w:val="28"/>
      </w:rPr>
    </w:pPr>
    <w:r>
      <w:rPr>
        <w:rStyle w:val="27"/>
        <w:rFonts w:hint="eastAsia" w:ascii="宋体" w:hAnsi="宋体" w:eastAsia="宋体" w:cs="Times New Roman"/>
        <w:sz w:val="28"/>
        <w:szCs w:val="28"/>
      </w:rPr>
      <w:t>—</w:t>
    </w:r>
    <w:r>
      <w:rPr>
        <w:rStyle w:val="27"/>
        <w:rFonts w:hint="eastAsia" w:ascii="宋体" w:hAnsi="宋体" w:eastAsia="宋体" w:cs="Times New Roman"/>
        <w:sz w:val="20"/>
        <w:szCs w:val="20"/>
      </w:rPr>
      <w:t xml:space="preserve">  </w:t>
    </w:r>
    <w:r>
      <w:rPr>
        <w:rStyle w:val="27"/>
        <w:rFonts w:ascii="宋体" w:hAnsi="宋体" w:eastAsia="宋体" w:cs="Times New Roman"/>
        <w:sz w:val="26"/>
        <w:szCs w:val="26"/>
      </w:rPr>
      <w:fldChar w:fldCharType="begin"/>
    </w:r>
    <w:r>
      <w:rPr>
        <w:rStyle w:val="27"/>
        <w:rFonts w:ascii="宋体" w:hAnsi="宋体" w:eastAsia="宋体" w:cs="Times New Roman"/>
        <w:sz w:val="26"/>
        <w:szCs w:val="26"/>
      </w:rPr>
      <w:instrText xml:space="preserve">PAGE  </w:instrText>
    </w:r>
    <w:r>
      <w:rPr>
        <w:rStyle w:val="27"/>
        <w:rFonts w:ascii="宋体" w:hAnsi="宋体" w:eastAsia="宋体" w:cs="Times New Roman"/>
        <w:sz w:val="26"/>
        <w:szCs w:val="26"/>
      </w:rPr>
      <w:fldChar w:fldCharType="separate"/>
    </w:r>
    <w:r>
      <w:rPr>
        <w:rStyle w:val="27"/>
        <w:rFonts w:ascii="宋体" w:hAnsi="宋体" w:eastAsia="宋体" w:cs="Times New Roman"/>
        <w:sz w:val="26"/>
        <w:szCs w:val="26"/>
      </w:rPr>
      <w:t>3</w:t>
    </w:r>
    <w:r>
      <w:rPr>
        <w:rStyle w:val="27"/>
        <w:rFonts w:ascii="宋体" w:hAnsi="宋体" w:eastAsia="宋体" w:cs="Times New Roman"/>
        <w:sz w:val="26"/>
        <w:szCs w:val="26"/>
      </w:rPr>
      <w:fldChar w:fldCharType="end"/>
    </w:r>
    <w:r>
      <w:rPr>
        <w:rStyle w:val="27"/>
        <w:rFonts w:hint="eastAsia" w:ascii="宋体" w:hAnsi="宋体" w:eastAsia="宋体" w:cs="Times New Roman"/>
        <w:sz w:val="20"/>
        <w:szCs w:val="20"/>
      </w:rPr>
      <w:t xml:space="preserve">  </w:t>
    </w:r>
    <w:r>
      <w:rPr>
        <w:rStyle w:val="27"/>
        <w:rFonts w:hint="eastAsia" w:ascii="宋体" w:hAnsi="宋体" w:eastAsia="宋体" w:cs="Times New Roman"/>
        <w:sz w:val="28"/>
        <w:szCs w:val="28"/>
      </w:rPr>
      <w:t>—</w:t>
    </w:r>
  </w:p>
  <w:p w14:paraId="33ED646C">
    <w:pPr>
      <w:pStyle w:val="17"/>
      <w:ind w:right="360" w:firstLine="360"/>
      <w:jc w:val="center"/>
      <w:rPr>
        <w:rFonts w:ascii="Times New Roman" w:hAnsi="Times New Roman" w:eastAsia="宋体" w:cs="Times New Roma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2187AD"/>
    <w:multiLevelType w:val="singleLevel"/>
    <w:tmpl w:val="9F2187AD"/>
    <w:lvl w:ilvl="0" w:tentative="0">
      <w:start w:val="1"/>
      <w:numFmt w:val="decimal"/>
      <w:suff w:val="nothing"/>
      <w:lvlText w:val="%1、"/>
      <w:lvlJc w:val="left"/>
    </w:lvl>
  </w:abstractNum>
  <w:abstractNum w:abstractNumId="1">
    <w:nsid w:val="0E54328F"/>
    <w:multiLevelType w:val="singleLevel"/>
    <w:tmpl w:val="0E54328F"/>
    <w:lvl w:ilvl="0" w:tentative="0">
      <w:start w:val="6"/>
      <w:numFmt w:val="decimal"/>
      <w:suff w:val="nothing"/>
      <w:lvlText w:val="（%1）"/>
      <w:lvlJc w:val="left"/>
    </w:lvl>
  </w:abstractNum>
  <w:abstractNum w:abstractNumId="2">
    <w:nsid w:val="17CAF030"/>
    <w:multiLevelType w:val="singleLevel"/>
    <w:tmpl w:val="17CAF030"/>
    <w:lvl w:ilvl="0" w:tentative="0">
      <w:start w:val="1"/>
      <w:numFmt w:val="decimal"/>
      <w:suff w:val="nothing"/>
      <w:lvlText w:val="%1、"/>
      <w:lvlJc w:val="left"/>
    </w:lvl>
  </w:abstractNum>
  <w:abstractNum w:abstractNumId="3">
    <w:nsid w:val="38D97C4C"/>
    <w:multiLevelType w:val="singleLevel"/>
    <w:tmpl w:val="38D97C4C"/>
    <w:lvl w:ilvl="0" w:tentative="0">
      <w:start w:val="2"/>
      <w:numFmt w:val="decimal"/>
      <w:suff w:val="nothing"/>
      <w:lvlText w:val="（%1）"/>
      <w:lvlJc w:val="left"/>
    </w:lvl>
  </w:abstractNum>
  <w:abstractNum w:abstractNumId="4">
    <w:nsid w:val="5A44BC9B"/>
    <w:multiLevelType w:val="singleLevel"/>
    <w:tmpl w:val="5A44BC9B"/>
    <w:lvl w:ilvl="0" w:tentative="0">
      <w:start w:val="1"/>
      <w:numFmt w:val="chineseCounting"/>
      <w:suff w:val="nothing"/>
      <w:lvlText w:val="%1、"/>
      <w:lvlJc w:val="left"/>
      <w:pPr>
        <w:ind w:left="-62"/>
      </w:pPr>
      <w:rPr>
        <w:rFonts w:hint="eastAsia"/>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mMzVjYjcwZmJlM2M1NjU3MWY4Zjk0YzQyMzc4OTQifQ=="/>
  </w:docVars>
  <w:rsids>
    <w:rsidRoot w:val="005841B5"/>
    <w:rsid w:val="00053F95"/>
    <w:rsid w:val="00145923"/>
    <w:rsid w:val="003455D0"/>
    <w:rsid w:val="00472CEB"/>
    <w:rsid w:val="005841B5"/>
    <w:rsid w:val="006F44A5"/>
    <w:rsid w:val="00991ADF"/>
    <w:rsid w:val="00A41BCF"/>
    <w:rsid w:val="00C141BA"/>
    <w:rsid w:val="01052FA6"/>
    <w:rsid w:val="012C7916"/>
    <w:rsid w:val="01370158"/>
    <w:rsid w:val="01423CE7"/>
    <w:rsid w:val="014F4701"/>
    <w:rsid w:val="01541451"/>
    <w:rsid w:val="01D475F1"/>
    <w:rsid w:val="023B2820"/>
    <w:rsid w:val="023C7DE0"/>
    <w:rsid w:val="02833597"/>
    <w:rsid w:val="029D0DDF"/>
    <w:rsid w:val="029E1330"/>
    <w:rsid w:val="029F7154"/>
    <w:rsid w:val="02E83A34"/>
    <w:rsid w:val="02EF3D7C"/>
    <w:rsid w:val="030F3FB2"/>
    <w:rsid w:val="033B4A28"/>
    <w:rsid w:val="03527DB5"/>
    <w:rsid w:val="035C2B88"/>
    <w:rsid w:val="03675921"/>
    <w:rsid w:val="03855ED7"/>
    <w:rsid w:val="03C41D45"/>
    <w:rsid w:val="03F3666F"/>
    <w:rsid w:val="03F7006B"/>
    <w:rsid w:val="040C6A6B"/>
    <w:rsid w:val="04105830"/>
    <w:rsid w:val="041751E6"/>
    <w:rsid w:val="044B3F5F"/>
    <w:rsid w:val="045E7519"/>
    <w:rsid w:val="04A363C3"/>
    <w:rsid w:val="051105D3"/>
    <w:rsid w:val="052B221C"/>
    <w:rsid w:val="059958EC"/>
    <w:rsid w:val="05F004DF"/>
    <w:rsid w:val="061E65E2"/>
    <w:rsid w:val="062D1D01"/>
    <w:rsid w:val="068958A9"/>
    <w:rsid w:val="0707270B"/>
    <w:rsid w:val="07470FAD"/>
    <w:rsid w:val="080B27A2"/>
    <w:rsid w:val="08232487"/>
    <w:rsid w:val="08395955"/>
    <w:rsid w:val="085B645A"/>
    <w:rsid w:val="08657C03"/>
    <w:rsid w:val="087F1F12"/>
    <w:rsid w:val="08BF44AE"/>
    <w:rsid w:val="08C76348"/>
    <w:rsid w:val="08D43EFE"/>
    <w:rsid w:val="08DF02AB"/>
    <w:rsid w:val="091A5F8D"/>
    <w:rsid w:val="0932616A"/>
    <w:rsid w:val="09FE1345"/>
    <w:rsid w:val="0A61658C"/>
    <w:rsid w:val="0AB700EC"/>
    <w:rsid w:val="0B0816E1"/>
    <w:rsid w:val="0B0D7E40"/>
    <w:rsid w:val="0B513398"/>
    <w:rsid w:val="0B626F71"/>
    <w:rsid w:val="0BAE18AA"/>
    <w:rsid w:val="0BDF5AC8"/>
    <w:rsid w:val="0C1725E7"/>
    <w:rsid w:val="0C24674A"/>
    <w:rsid w:val="0C437732"/>
    <w:rsid w:val="0C743400"/>
    <w:rsid w:val="0CF114B8"/>
    <w:rsid w:val="0D184E2B"/>
    <w:rsid w:val="0D581B1B"/>
    <w:rsid w:val="0D712EF1"/>
    <w:rsid w:val="0DB71884"/>
    <w:rsid w:val="0E314053"/>
    <w:rsid w:val="0E3B1977"/>
    <w:rsid w:val="0E523FC7"/>
    <w:rsid w:val="0E976379"/>
    <w:rsid w:val="0EA3133B"/>
    <w:rsid w:val="0EB74B13"/>
    <w:rsid w:val="0EDE153F"/>
    <w:rsid w:val="0F156924"/>
    <w:rsid w:val="0F29227F"/>
    <w:rsid w:val="0F5117D6"/>
    <w:rsid w:val="0F886E4C"/>
    <w:rsid w:val="0FDD23F8"/>
    <w:rsid w:val="0FFA180E"/>
    <w:rsid w:val="103B2F63"/>
    <w:rsid w:val="115B4D6B"/>
    <w:rsid w:val="11765132"/>
    <w:rsid w:val="118C0E85"/>
    <w:rsid w:val="11A94FB8"/>
    <w:rsid w:val="11BA7660"/>
    <w:rsid w:val="11F47D58"/>
    <w:rsid w:val="11F5707A"/>
    <w:rsid w:val="121E2CF1"/>
    <w:rsid w:val="122D0CDF"/>
    <w:rsid w:val="12DE32A0"/>
    <w:rsid w:val="12E55068"/>
    <w:rsid w:val="13157981"/>
    <w:rsid w:val="134843FA"/>
    <w:rsid w:val="139B54D6"/>
    <w:rsid w:val="139D4FEA"/>
    <w:rsid w:val="13C851B5"/>
    <w:rsid w:val="1420003D"/>
    <w:rsid w:val="14315A03"/>
    <w:rsid w:val="14440C97"/>
    <w:rsid w:val="1473611C"/>
    <w:rsid w:val="15082520"/>
    <w:rsid w:val="155B33AF"/>
    <w:rsid w:val="15683E4D"/>
    <w:rsid w:val="15B91211"/>
    <w:rsid w:val="15B91E83"/>
    <w:rsid w:val="15C34BD4"/>
    <w:rsid w:val="15C402A5"/>
    <w:rsid w:val="160475A2"/>
    <w:rsid w:val="160E2C92"/>
    <w:rsid w:val="16941BC7"/>
    <w:rsid w:val="16B960FF"/>
    <w:rsid w:val="16B97D6D"/>
    <w:rsid w:val="16BE128C"/>
    <w:rsid w:val="17181830"/>
    <w:rsid w:val="171C51F1"/>
    <w:rsid w:val="172036A8"/>
    <w:rsid w:val="177B11ED"/>
    <w:rsid w:val="1791029B"/>
    <w:rsid w:val="179D04FF"/>
    <w:rsid w:val="17AE2237"/>
    <w:rsid w:val="17DA31A4"/>
    <w:rsid w:val="17E641D8"/>
    <w:rsid w:val="180562AB"/>
    <w:rsid w:val="181D158B"/>
    <w:rsid w:val="183B16B9"/>
    <w:rsid w:val="185940E5"/>
    <w:rsid w:val="18C66474"/>
    <w:rsid w:val="18D10D80"/>
    <w:rsid w:val="19144A62"/>
    <w:rsid w:val="193E7106"/>
    <w:rsid w:val="19686217"/>
    <w:rsid w:val="19E332BC"/>
    <w:rsid w:val="19F332A5"/>
    <w:rsid w:val="1A0046EA"/>
    <w:rsid w:val="1A552D92"/>
    <w:rsid w:val="1A784A8A"/>
    <w:rsid w:val="1AA776E6"/>
    <w:rsid w:val="1B320857"/>
    <w:rsid w:val="1B627906"/>
    <w:rsid w:val="1BAF754B"/>
    <w:rsid w:val="1C171C84"/>
    <w:rsid w:val="1C2221D2"/>
    <w:rsid w:val="1C4A23B8"/>
    <w:rsid w:val="1C556FFB"/>
    <w:rsid w:val="1CCD23AF"/>
    <w:rsid w:val="1D1F368C"/>
    <w:rsid w:val="1D336838"/>
    <w:rsid w:val="1D801C2E"/>
    <w:rsid w:val="1D8E6F2C"/>
    <w:rsid w:val="1DBA1F76"/>
    <w:rsid w:val="1DE17085"/>
    <w:rsid w:val="1DEB6CD6"/>
    <w:rsid w:val="1E20046C"/>
    <w:rsid w:val="1E5860DE"/>
    <w:rsid w:val="1E6C03DB"/>
    <w:rsid w:val="1E7548B4"/>
    <w:rsid w:val="1E7D4FCA"/>
    <w:rsid w:val="1EBC709C"/>
    <w:rsid w:val="1EBD34EB"/>
    <w:rsid w:val="1EC94B09"/>
    <w:rsid w:val="1ED67283"/>
    <w:rsid w:val="1F076757"/>
    <w:rsid w:val="1F241D18"/>
    <w:rsid w:val="1F4B2A76"/>
    <w:rsid w:val="1F4E7B1D"/>
    <w:rsid w:val="1F52137F"/>
    <w:rsid w:val="1F80156A"/>
    <w:rsid w:val="1FAA4E6F"/>
    <w:rsid w:val="1FAF2175"/>
    <w:rsid w:val="1FE152F3"/>
    <w:rsid w:val="202B1BD0"/>
    <w:rsid w:val="203942EC"/>
    <w:rsid w:val="207F391D"/>
    <w:rsid w:val="2092107F"/>
    <w:rsid w:val="20C95719"/>
    <w:rsid w:val="20EA72E8"/>
    <w:rsid w:val="213A277F"/>
    <w:rsid w:val="218849A2"/>
    <w:rsid w:val="219B1694"/>
    <w:rsid w:val="22663A5B"/>
    <w:rsid w:val="23021A8B"/>
    <w:rsid w:val="230D3FEF"/>
    <w:rsid w:val="23941165"/>
    <w:rsid w:val="23DC7BA2"/>
    <w:rsid w:val="23E40DCC"/>
    <w:rsid w:val="23FC1340"/>
    <w:rsid w:val="24041557"/>
    <w:rsid w:val="240F7720"/>
    <w:rsid w:val="24171483"/>
    <w:rsid w:val="246043BE"/>
    <w:rsid w:val="248E087C"/>
    <w:rsid w:val="24FE23B2"/>
    <w:rsid w:val="25124A13"/>
    <w:rsid w:val="251673F9"/>
    <w:rsid w:val="252E1C28"/>
    <w:rsid w:val="255851F5"/>
    <w:rsid w:val="259D7D69"/>
    <w:rsid w:val="25F9220E"/>
    <w:rsid w:val="26566A4F"/>
    <w:rsid w:val="268C52E6"/>
    <w:rsid w:val="268D2414"/>
    <w:rsid w:val="26E2748C"/>
    <w:rsid w:val="2793217F"/>
    <w:rsid w:val="282B26AE"/>
    <w:rsid w:val="286B7705"/>
    <w:rsid w:val="28F53E48"/>
    <w:rsid w:val="291122AA"/>
    <w:rsid w:val="291D08F0"/>
    <w:rsid w:val="293A5854"/>
    <w:rsid w:val="2956295F"/>
    <w:rsid w:val="296D2BA6"/>
    <w:rsid w:val="2980459E"/>
    <w:rsid w:val="29D34024"/>
    <w:rsid w:val="2A11371B"/>
    <w:rsid w:val="2AB964B3"/>
    <w:rsid w:val="2B6C7E70"/>
    <w:rsid w:val="2B7635A8"/>
    <w:rsid w:val="2B824645"/>
    <w:rsid w:val="2BB13F83"/>
    <w:rsid w:val="2BC13A26"/>
    <w:rsid w:val="2BCE2782"/>
    <w:rsid w:val="2BEA4EE8"/>
    <w:rsid w:val="2C4F5002"/>
    <w:rsid w:val="2C5F0AFF"/>
    <w:rsid w:val="2C745A0C"/>
    <w:rsid w:val="2CA8482B"/>
    <w:rsid w:val="2CB50F09"/>
    <w:rsid w:val="2CBC472B"/>
    <w:rsid w:val="2CCA6080"/>
    <w:rsid w:val="2D0F4E2A"/>
    <w:rsid w:val="2D8B7479"/>
    <w:rsid w:val="2DAD6657"/>
    <w:rsid w:val="2DF83F29"/>
    <w:rsid w:val="2DFA5D97"/>
    <w:rsid w:val="2E440A2C"/>
    <w:rsid w:val="2E936523"/>
    <w:rsid w:val="2EE02F2A"/>
    <w:rsid w:val="2F0401BB"/>
    <w:rsid w:val="2F1C5505"/>
    <w:rsid w:val="2F4861AB"/>
    <w:rsid w:val="2F7949DD"/>
    <w:rsid w:val="2F7F5165"/>
    <w:rsid w:val="2FCD021F"/>
    <w:rsid w:val="304034FB"/>
    <w:rsid w:val="30674903"/>
    <w:rsid w:val="307E24E1"/>
    <w:rsid w:val="3098505F"/>
    <w:rsid w:val="30AE492A"/>
    <w:rsid w:val="30C57633"/>
    <w:rsid w:val="30E85312"/>
    <w:rsid w:val="314826BC"/>
    <w:rsid w:val="317126C5"/>
    <w:rsid w:val="31AF1412"/>
    <w:rsid w:val="31B30958"/>
    <w:rsid w:val="31E4174E"/>
    <w:rsid w:val="31EE63E7"/>
    <w:rsid w:val="32101E6B"/>
    <w:rsid w:val="32B44E31"/>
    <w:rsid w:val="32E63970"/>
    <w:rsid w:val="32EE73AD"/>
    <w:rsid w:val="33212691"/>
    <w:rsid w:val="336A02EB"/>
    <w:rsid w:val="339008E6"/>
    <w:rsid w:val="33BE4654"/>
    <w:rsid w:val="33EF4F96"/>
    <w:rsid w:val="33F319CD"/>
    <w:rsid w:val="33FD0CC3"/>
    <w:rsid w:val="340E77C2"/>
    <w:rsid w:val="34104BC5"/>
    <w:rsid w:val="34E90EEA"/>
    <w:rsid w:val="352371B8"/>
    <w:rsid w:val="35403929"/>
    <w:rsid w:val="35593FC3"/>
    <w:rsid w:val="35817355"/>
    <w:rsid w:val="35E735DF"/>
    <w:rsid w:val="36527B36"/>
    <w:rsid w:val="374A1C60"/>
    <w:rsid w:val="37795AD8"/>
    <w:rsid w:val="37850684"/>
    <w:rsid w:val="37CB3987"/>
    <w:rsid w:val="37F3570D"/>
    <w:rsid w:val="384545B9"/>
    <w:rsid w:val="38635F18"/>
    <w:rsid w:val="38FD30E9"/>
    <w:rsid w:val="391E3E77"/>
    <w:rsid w:val="397E3E37"/>
    <w:rsid w:val="39D938B0"/>
    <w:rsid w:val="3A022F89"/>
    <w:rsid w:val="3A33312D"/>
    <w:rsid w:val="3A772E2F"/>
    <w:rsid w:val="3A9D5DE3"/>
    <w:rsid w:val="3B092121"/>
    <w:rsid w:val="3B367357"/>
    <w:rsid w:val="3B581673"/>
    <w:rsid w:val="3BA12E7E"/>
    <w:rsid w:val="3BEE00E6"/>
    <w:rsid w:val="3C135F16"/>
    <w:rsid w:val="3C3406F7"/>
    <w:rsid w:val="3C957A54"/>
    <w:rsid w:val="3CB11B31"/>
    <w:rsid w:val="3CC654B6"/>
    <w:rsid w:val="3CDF240C"/>
    <w:rsid w:val="3D3E6053"/>
    <w:rsid w:val="3D5357A2"/>
    <w:rsid w:val="3D781C87"/>
    <w:rsid w:val="3D873002"/>
    <w:rsid w:val="3E2D1CE0"/>
    <w:rsid w:val="3E4E0497"/>
    <w:rsid w:val="3EA42F8B"/>
    <w:rsid w:val="3EBF3194"/>
    <w:rsid w:val="3ECA590D"/>
    <w:rsid w:val="3F1A76C7"/>
    <w:rsid w:val="3F2908E2"/>
    <w:rsid w:val="3F5A19F4"/>
    <w:rsid w:val="3F720317"/>
    <w:rsid w:val="3FF102E8"/>
    <w:rsid w:val="400E52D3"/>
    <w:rsid w:val="401B307D"/>
    <w:rsid w:val="403919CD"/>
    <w:rsid w:val="40A62E81"/>
    <w:rsid w:val="41327F46"/>
    <w:rsid w:val="415E516E"/>
    <w:rsid w:val="418A2D92"/>
    <w:rsid w:val="41A179F6"/>
    <w:rsid w:val="41C50786"/>
    <w:rsid w:val="41DB2FFE"/>
    <w:rsid w:val="420915DF"/>
    <w:rsid w:val="423C1243"/>
    <w:rsid w:val="4285795B"/>
    <w:rsid w:val="42903580"/>
    <w:rsid w:val="42BF7F64"/>
    <w:rsid w:val="42C41AB7"/>
    <w:rsid w:val="42DD266E"/>
    <w:rsid w:val="43226325"/>
    <w:rsid w:val="4324390D"/>
    <w:rsid w:val="438051A1"/>
    <w:rsid w:val="439E6856"/>
    <w:rsid w:val="43A41E9B"/>
    <w:rsid w:val="43AD1288"/>
    <w:rsid w:val="43C21A70"/>
    <w:rsid w:val="43E9407A"/>
    <w:rsid w:val="440940D0"/>
    <w:rsid w:val="445E05DC"/>
    <w:rsid w:val="446B5B48"/>
    <w:rsid w:val="44CF1B29"/>
    <w:rsid w:val="45047312"/>
    <w:rsid w:val="451E164D"/>
    <w:rsid w:val="452828D1"/>
    <w:rsid w:val="457A17C4"/>
    <w:rsid w:val="45EC7456"/>
    <w:rsid w:val="45F068A9"/>
    <w:rsid w:val="465B1511"/>
    <w:rsid w:val="466E689A"/>
    <w:rsid w:val="46731C37"/>
    <w:rsid w:val="46746464"/>
    <w:rsid w:val="46E8339A"/>
    <w:rsid w:val="47040B24"/>
    <w:rsid w:val="47084895"/>
    <w:rsid w:val="472719DF"/>
    <w:rsid w:val="472C4902"/>
    <w:rsid w:val="472C4C3C"/>
    <w:rsid w:val="48194880"/>
    <w:rsid w:val="48BE73DA"/>
    <w:rsid w:val="48DF22BB"/>
    <w:rsid w:val="49272B73"/>
    <w:rsid w:val="49594C33"/>
    <w:rsid w:val="498C4FFD"/>
    <w:rsid w:val="49A62E0B"/>
    <w:rsid w:val="49B857E8"/>
    <w:rsid w:val="4A111CB3"/>
    <w:rsid w:val="4A174702"/>
    <w:rsid w:val="4A3D5194"/>
    <w:rsid w:val="4A5F50F2"/>
    <w:rsid w:val="4A7E6C1C"/>
    <w:rsid w:val="4ACC1DF8"/>
    <w:rsid w:val="4B1655D8"/>
    <w:rsid w:val="4B1B0F03"/>
    <w:rsid w:val="4B9401F2"/>
    <w:rsid w:val="4BBA082C"/>
    <w:rsid w:val="4BC60DBE"/>
    <w:rsid w:val="4BDF36EB"/>
    <w:rsid w:val="4CBA60C0"/>
    <w:rsid w:val="4CDE22D8"/>
    <w:rsid w:val="4D524190"/>
    <w:rsid w:val="4DC12CA7"/>
    <w:rsid w:val="4DE52A01"/>
    <w:rsid w:val="4DE52D63"/>
    <w:rsid w:val="4E7B6A3F"/>
    <w:rsid w:val="4E9B2C3B"/>
    <w:rsid w:val="4F2426DA"/>
    <w:rsid w:val="4F4A74CD"/>
    <w:rsid w:val="4F960564"/>
    <w:rsid w:val="4FA319C0"/>
    <w:rsid w:val="4FC27756"/>
    <w:rsid w:val="501965AF"/>
    <w:rsid w:val="511C1ED7"/>
    <w:rsid w:val="51772DE4"/>
    <w:rsid w:val="51973947"/>
    <w:rsid w:val="521E49D2"/>
    <w:rsid w:val="522A0D7D"/>
    <w:rsid w:val="52395930"/>
    <w:rsid w:val="528A0854"/>
    <w:rsid w:val="52A64703"/>
    <w:rsid w:val="53996357"/>
    <w:rsid w:val="54017841"/>
    <w:rsid w:val="54624B90"/>
    <w:rsid w:val="54861FE7"/>
    <w:rsid w:val="54AC4BAE"/>
    <w:rsid w:val="54C06C1E"/>
    <w:rsid w:val="54FD3B4A"/>
    <w:rsid w:val="552731B2"/>
    <w:rsid w:val="55393E6B"/>
    <w:rsid w:val="556968A9"/>
    <w:rsid w:val="556E498F"/>
    <w:rsid w:val="559733E6"/>
    <w:rsid w:val="56224534"/>
    <w:rsid w:val="56324BC3"/>
    <w:rsid w:val="568D536D"/>
    <w:rsid w:val="56920730"/>
    <w:rsid w:val="56D86E1A"/>
    <w:rsid w:val="56E223E3"/>
    <w:rsid w:val="56EC3192"/>
    <w:rsid w:val="572728F4"/>
    <w:rsid w:val="58152869"/>
    <w:rsid w:val="58264614"/>
    <w:rsid w:val="58367F05"/>
    <w:rsid w:val="583F3E8F"/>
    <w:rsid w:val="58D85FD9"/>
    <w:rsid w:val="58DA1D81"/>
    <w:rsid w:val="58DE31C9"/>
    <w:rsid w:val="59480FBD"/>
    <w:rsid w:val="59715610"/>
    <w:rsid w:val="59723976"/>
    <w:rsid w:val="5A354173"/>
    <w:rsid w:val="5A571034"/>
    <w:rsid w:val="5A5C3309"/>
    <w:rsid w:val="5A98702D"/>
    <w:rsid w:val="5ACB483F"/>
    <w:rsid w:val="5ADA528F"/>
    <w:rsid w:val="5AE57C1C"/>
    <w:rsid w:val="5B3C33C9"/>
    <w:rsid w:val="5BF44F90"/>
    <w:rsid w:val="5C170976"/>
    <w:rsid w:val="5C7A6C50"/>
    <w:rsid w:val="5C94184A"/>
    <w:rsid w:val="5CB6380F"/>
    <w:rsid w:val="5CB95B54"/>
    <w:rsid w:val="5D312624"/>
    <w:rsid w:val="5D4A125E"/>
    <w:rsid w:val="5D565A6D"/>
    <w:rsid w:val="5D5D733C"/>
    <w:rsid w:val="5DAD5B64"/>
    <w:rsid w:val="5E1D5CC2"/>
    <w:rsid w:val="5E2D6537"/>
    <w:rsid w:val="5E2E3D13"/>
    <w:rsid w:val="5E3A4E7E"/>
    <w:rsid w:val="5EC10183"/>
    <w:rsid w:val="5EDE3F38"/>
    <w:rsid w:val="5F2274D8"/>
    <w:rsid w:val="5F2C7CCC"/>
    <w:rsid w:val="5F2E5EAC"/>
    <w:rsid w:val="5F456853"/>
    <w:rsid w:val="5F8151C3"/>
    <w:rsid w:val="5F8215AA"/>
    <w:rsid w:val="5FA36785"/>
    <w:rsid w:val="5FA47A4A"/>
    <w:rsid w:val="5FCA64FE"/>
    <w:rsid w:val="5FCE2EA7"/>
    <w:rsid w:val="600F43EA"/>
    <w:rsid w:val="601C5F20"/>
    <w:rsid w:val="60420557"/>
    <w:rsid w:val="6045283F"/>
    <w:rsid w:val="60A066DF"/>
    <w:rsid w:val="60A71948"/>
    <w:rsid w:val="60B53F49"/>
    <w:rsid w:val="612E639C"/>
    <w:rsid w:val="61553E4F"/>
    <w:rsid w:val="61907F8C"/>
    <w:rsid w:val="61912986"/>
    <w:rsid w:val="61A45FFA"/>
    <w:rsid w:val="61BE678E"/>
    <w:rsid w:val="62344C43"/>
    <w:rsid w:val="626926CD"/>
    <w:rsid w:val="62951DEF"/>
    <w:rsid w:val="62B933DE"/>
    <w:rsid w:val="62EB2348"/>
    <w:rsid w:val="62F61584"/>
    <w:rsid w:val="634A664C"/>
    <w:rsid w:val="63754B89"/>
    <w:rsid w:val="637F6DE1"/>
    <w:rsid w:val="63961CFC"/>
    <w:rsid w:val="63FC44C9"/>
    <w:rsid w:val="64243C17"/>
    <w:rsid w:val="642B4861"/>
    <w:rsid w:val="644545DB"/>
    <w:rsid w:val="64542F90"/>
    <w:rsid w:val="645C36D2"/>
    <w:rsid w:val="64642E3E"/>
    <w:rsid w:val="64AA277E"/>
    <w:rsid w:val="64B10894"/>
    <w:rsid w:val="64F5101F"/>
    <w:rsid w:val="652847F1"/>
    <w:rsid w:val="658C73D9"/>
    <w:rsid w:val="65AE647B"/>
    <w:rsid w:val="65BC7F16"/>
    <w:rsid w:val="65D56CAE"/>
    <w:rsid w:val="662B02B1"/>
    <w:rsid w:val="66ED2728"/>
    <w:rsid w:val="671B614D"/>
    <w:rsid w:val="67220E85"/>
    <w:rsid w:val="673826FB"/>
    <w:rsid w:val="679D0FC6"/>
    <w:rsid w:val="67A96C2F"/>
    <w:rsid w:val="683C6DC4"/>
    <w:rsid w:val="683D2BE2"/>
    <w:rsid w:val="685C1FD6"/>
    <w:rsid w:val="686218AB"/>
    <w:rsid w:val="68734412"/>
    <w:rsid w:val="687F5F93"/>
    <w:rsid w:val="68B933B4"/>
    <w:rsid w:val="68CA3301"/>
    <w:rsid w:val="68D15851"/>
    <w:rsid w:val="68D20B88"/>
    <w:rsid w:val="68E4425C"/>
    <w:rsid w:val="69263842"/>
    <w:rsid w:val="69842490"/>
    <w:rsid w:val="69AA1A66"/>
    <w:rsid w:val="69D97BD7"/>
    <w:rsid w:val="6A051FC1"/>
    <w:rsid w:val="6A072332"/>
    <w:rsid w:val="6A165EC3"/>
    <w:rsid w:val="6A52507D"/>
    <w:rsid w:val="6AB32119"/>
    <w:rsid w:val="6AC97EB0"/>
    <w:rsid w:val="6AEA7161"/>
    <w:rsid w:val="6B1A11F0"/>
    <w:rsid w:val="6B306A52"/>
    <w:rsid w:val="6B515320"/>
    <w:rsid w:val="6B8E77B1"/>
    <w:rsid w:val="6B996963"/>
    <w:rsid w:val="6BE2382F"/>
    <w:rsid w:val="6BF21B8C"/>
    <w:rsid w:val="6C2D7B6A"/>
    <w:rsid w:val="6C2E759C"/>
    <w:rsid w:val="6C8B7B6A"/>
    <w:rsid w:val="6CCA1697"/>
    <w:rsid w:val="6CE060D7"/>
    <w:rsid w:val="6CE77152"/>
    <w:rsid w:val="6D2C7E07"/>
    <w:rsid w:val="6D3F3BE4"/>
    <w:rsid w:val="6DD60081"/>
    <w:rsid w:val="6EF46889"/>
    <w:rsid w:val="6F021A1A"/>
    <w:rsid w:val="6F197B60"/>
    <w:rsid w:val="6F213366"/>
    <w:rsid w:val="6F36202D"/>
    <w:rsid w:val="6F4638FD"/>
    <w:rsid w:val="6F527E96"/>
    <w:rsid w:val="6F7E2E8A"/>
    <w:rsid w:val="6FB87BED"/>
    <w:rsid w:val="6FD85836"/>
    <w:rsid w:val="70182930"/>
    <w:rsid w:val="70374038"/>
    <w:rsid w:val="70A5362A"/>
    <w:rsid w:val="71427B28"/>
    <w:rsid w:val="714D642E"/>
    <w:rsid w:val="71584B4F"/>
    <w:rsid w:val="71C578FA"/>
    <w:rsid w:val="71ED5533"/>
    <w:rsid w:val="71FB6FFF"/>
    <w:rsid w:val="720028FE"/>
    <w:rsid w:val="720E0702"/>
    <w:rsid w:val="721E012D"/>
    <w:rsid w:val="72751D56"/>
    <w:rsid w:val="72A050D2"/>
    <w:rsid w:val="72E052BB"/>
    <w:rsid w:val="7319683A"/>
    <w:rsid w:val="73333D3D"/>
    <w:rsid w:val="735F0AE9"/>
    <w:rsid w:val="7376008C"/>
    <w:rsid w:val="73C43A1C"/>
    <w:rsid w:val="746360A7"/>
    <w:rsid w:val="74666E3E"/>
    <w:rsid w:val="74AF2C0D"/>
    <w:rsid w:val="74C87056"/>
    <w:rsid w:val="74E40210"/>
    <w:rsid w:val="756920F3"/>
    <w:rsid w:val="75914ADE"/>
    <w:rsid w:val="759A6246"/>
    <w:rsid w:val="75AB2128"/>
    <w:rsid w:val="75C26072"/>
    <w:rsid w:val="75D86622"/>
    <w:rsid w:val="75E1030B"/>
    <w:rsid w:val="76247C21"/>
    <w:rsid w:val="766F55F6"/>
    <w:rsid w:val="768C50B4"/>
    <w:rsid w:val="76D85E57"/>
    <w:rsid w:val="76F20715"/>
    <w:rsid w:val="76F450A2"/>
    <w:rsid w:val="76F4608F"/>
    <w:rsid w:val="77054375"/>
    <w:rsid w:val="776404EF"/>
    <w:rsid w:val="778E33CA"/>
    <w:rsid w:val="785E6F7A"/>
    <w:rsid w:val="78E8472E"/>
    <w:rsid w:val="79010476"/>
    <w:rsid w:val="79267986"/>
    <w:rsid w:val="79291CB5"/>
    <w:rsid w:val="79772634"/>
    <w:rsid w:val="79CF6A66"/>
    <w:rsid w:val="79EB37FE"/>
    <w:rsid w:val="7A0E43B3"/>
    <w:rsid w:val="7A4D6CCC"/>
    <w:rsid w:val="7A5F0B67"/>
    <w:rsid w:val="7AC112DF"/>
    <w:rsid w:val="7AD31617"/>
    <w:rsid w:val="7AF1473F"/>
    <w:rsid w:val="7B224FF9"/>
    <w:rsid w:val="7B8378F8"/>
    <w:rsid w:val="7BE01A23"/>
    <w:rsid w:val="7C08086F"/>
    <w:rsid w:val="7C2E02D8"/>
    <w:rsid w:val="7C700A7C"/>
    <w:rsid w:val="7CD66284"/>
    <w:rsid w:val="7D247DBE"/>
    <w:rsid w:val="7D4519BB"/>
    <w:rsid w:val="7D6C3AA8"/>
    <w:rsid w:val="7D7B29C4"/>
    <w:rsid w:val="7DBB56B6"/>
    <w:rsid w:val="7E0C66A9"/>
    <w:rsid w:val="7EB5769F"/>
    <w:rsid w:val="7EB937A4"/>
    <w:rsid w:val="7F6459FB"/>
    <w:rsid w:val="7FC04A63"/>
    <w:rsid w:val="7FDD5E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nhideWhenUsed="0" w:uiPriority="0"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qFormat="1" w:uiPriority="0" w:semiHidden="0" w:name="Body Text Indent 3"/>
    <w:lsdException w:qFormat="1" w:unhideWhenUsed="0" w:uiPriority="0"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2"/>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autoRedefine/>
    <w:qFormat/>
    <w:uiPriority w:val="0"/>
    <w:pPr>
      <w:keepNext/>
      <w:keepLines/>
      <w:spacing w:line="360" w:lineRule="auto"/>
      <w:outlineLvl w:val="1"/>
    </w:pPr>
    <w:rPr>
      <w:rFonts w:ascii="Times New Roman" w:hAnsi="Times New Roman" w:eastAsia="宋体" w:cs="Times New Roman"/>
      <w:b/>
      <w:bCs/>
      <w:sz w:val="30"/>
      <w:szCs w:val="32"/>
    </w:rPr>
  </w:style>
  <w:style w:type="paragraph" w:styleId="6">
    <w:name w:val="heading 3"/>
    <w:basedOn w:val="1"/>
    <w:next w:val="1"/>
    <w:autoRedefine/>
    <w:qFormat/>
    <w:uiPriority w:val="1"/>
    <w:pPr>
      <w:ind w:left="1661"/>
      <w:outlineLvl w:val="3"/>
    </w:pPr>
    <w:rPr>
      <w:rFonts w:ascii="宋体" w:hAnsi="宋体" w:eastAsia="宋体" w:cs="宋体"/>
      <w:b/>
      <w:bCs/>
      <w:sz w:val="24"/>
      <w:szCs w:val="24"/>
      <w:lang w:val="zh-CN" w:eastAsia="zh-CN" w:bidi="zh-CN"/>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customStyle="1" w:styleId="2">
    <w:name w:val="章标题"/>
    <w:next w:val="3"/>
    <w:qFormat/>
    <w:uiPriority w:val="0"/>
    <w:pPr>
      <w:spacing w:beforeLines="50" w:afterLines="50"/>
      <w:jc w:val="both"/>
      <w:outlineLvl w:val="1"/>
    </w:pPr>
    <w:rPr>
      <w:rFonts w:ascii="黑体" w:hAnsi="Times New Roman" w:eastAsia="黑体" w:cs="Times New Roman"/>
      <w:sz w:val="21"/>
      <w:lang w:val="en-US" w:eastAsia="zh-CN" w:bidi="ar-SA"/>
    </w:rPr>
  </w:style>
  <w:style w:type="paragraph" w:customStyle="1" w:styleId="3">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7">
    <w:name w:val="Normal Indent"/>
    <w:basedOn w:val="1"/>
    <w:next w:val="8"/>
    <w:autoRedefine/>
    <w:qFormat/>
    <w:uiPriority w:val="0"/>
    <w:pPr>
      <w:ind w:firstLine="420"/>
    </w:pPr>
    <w:rPr>
      <w:szCs w:val="20"/>
    </w:rPr>
  </w:style>
  <w:style w:type="paragraph" w:customStyle="1" w:styleId="8">
    <w:name w:val="表头"/>
    <w:basedOn w:val="9"/>
    <w:next w:val="1"/>
    <w:autoRedefine/>
    <w:qFormat/>
    <w:uiPriority w:val="99"/>
    <w:pPr>
      <w:widowControl w:val="0"/>
      <w:jc w:val="center"/>
    </w:pPr>
    <w:rPr>
      <w:rFonts w:ascii="黑体" w:hAnsi="Calibri" w:eastAsia="黑体" w:cs="黑体"/>
      <w:b/>
      <w:bCs/>
      <w:kern w:val="2"/>
      <w:sz w:val="24"/>
      <w:szCs w:val="24"/>
      <w:lang w:val="en-US" w:eastAsia="zh-CN" w:bidi="ar-SA"/>
    </w:rPr>
  </w:style>
  <w:style w:type="paragraph" w:styleId="9">
    <w:name w:val="List"/>
    <w:basedOn w:val="1"/>
    <w:next w:val="1"/>
    <w:autoRedefine/>
    <w:qFormat/>
    <w:uiPriority w:val="0"/>
    <w:pPr>
      <w:ind w:left="200" w:hanging="200" w:hangingChars="200"/>
    </w:pPr>
  </w:style>
  <w:style w:type="paragraph" w:styleId="10">
    <w:name w:val="caption"/>
    <w:next w:val="1"/>
    <w:autoRedefine/>
    <w:qFormat/>
    <w:uiPriority w:val="99"/>
    <w:pPr>
      <w:widowControl w:val="0"/>
      <w:jc w:val="center"/>
    </w:pPr>
    <w:rPr>
      <w:rFonts w:ascii="Arial" w:hAnsi="Arial" w:eastAsia="宋体" w:cs="Arial"/>
      <w:b/>
      <w:bCs/>
      <w:kern w:val="2"/>
      <w:sz w:val="24"/>
      <w:szCs w:val="24"/>
      <w:lang w:val="en-US" w:eastAsia="zh-CN" w:bidi="ar-SA"/>
    </w:rPr>
  </w:style>
  <w:style w:type="paragraph" w:styleId="11">
    <w:name w:val="annotation text"/>
    <w:basedOn w:val="1"/>
    <w:autoRedefine/>
    <w:semiHidden/>
    <w:unhideWhenUsed/>
    <w:qFormat/>
    <w:uiPriority w:val="99"/>
    <w:pPr>
      <w:jc w:val="left"/>
    </w:pPr>
  </w:style>
  <w:style w:type="paragraph" w:styleId="12">
    <w:name w:val="Body Text"/>
    <w:basedOn w:val="1"/>
    <w:next w:val="13"/>
    <w:autoRedefine/>
    <w:qFormat/>
    <w:uiPriority w:val="1"/>
    <w:pPr>
      <w:ind w:left="1181"/>
    </w:pPr>
    <w:rPr>
      <w:rFonts w:ascii="宋体" w:hAnsi="宋体" w:eastAsia="宋体" w:cs="宋体"/>
      <w:sz w:val="24"/>
      <w:szCs w:val="24"/>
      <w:lang w:val="zh-CN" w:eastAsia="zh-CN" w:bidi="zh-CN"/>
    </w:rPr>
  </w:style>
  <w:style w:type="paragraph" w:styleId="13">
    <w:name w:val="Body Text Indent 3"/>
    <w:basedOn w:val="1"/>
    <w:next w:val="1"/>
    <w:autoRedefine/>
    <w:unhideWhenUsed/>
    <w:qFormat/>
    <w:uiPriority w:val="0"/>
    <w:pPr>
      <w:spacing w:after="120"/>
      <w:ind w:left="420" w:leftChars="200"/>
    </w:pPr>
    <w:rPr>
      <w:sz w:val="16"/>
      <w:szCs w:val="16"/>
    </w:rPr>
  </w:style>
  <w:style w:type="paragraph" w:styleId="14">
    <w:name w:val="Body Text Indent"/>
    <w:basedOn w:val="1"/>
    <w:next w:val="1"/>
    <w:autoRedefine/>
    <w:semiHidden/>
    <w:qFormat/>
    <w:uiPriority w:val="0"/>
    <w:pPr>
      <w:widowControl w:val="0"/>
      <w:spacing w:after="120"/>
      <w:ind w:left="420" w:leftChars="200"/>
      <w:jc w:val="both"/>
    </w:pPr>
    <w:rPr>
      <w:rFonts w:ascii="Times New Roman" w:hAnsi="Times New Roman" w:eastAsia="宋体" w:cs="Times New Roman"/>
      <w:kern w:val="2"/>
      <w:sz w:val="21"/>
      <w:szCs w:val="24"/>
      <w:lang w:val="en-US" w:eastAsia="zh-CN" w:bidi="ar-SA"/>
    </w:rPr>
  </w:style>
  <w:style w:type="paragraph" w:styleId="15">
    <w:name w:val="Block Text"/>
    <w:basedOn w:val="1"/>
    <w:autoRedefine/>
    <w:qFormat/>
    <w:uiPriority w:val="0"/>
    <w:pPr>
      <w:widowControl/>
      <w:spacing w:line="440" w:lineRule="exact"/>
      <w:ind w:left="113" w:right="113" w:firstLine="567"/>
    </w:pPr>
    <w:rPr>
      <w:rFonts w:ascii="仿宋_GB2312" w:eastAsia="仿宋_GB2312"/>
      <w:kern w:val="0"/>
      <w:sz w:val="28"/>
      <w:szCs w:val="20"/>
    </w:rPr>
  </w:style>
  <w:style w:type="paragraph" w:styleId="16">
    <w:name w:val="Plain Text"/>
    <w:basedOn w:val="1"/>
    <w:next w:val="1"/>
    <w:autoRedefine/>
    <w:qFormat/>
    <w:uiPriority w:val="0"/>
    <w:pPr>
      <w:widowControl w:val="0"/>
      <w:jc w:val="both"/>
    </w:pPr>
    <w:rPr>
      <w:rFonts w:ascii="宋体" w:hAnsi="Courier New" w:eastAsia="宋体" w:cs="宋体"/>
      <w:kern w:val="2"/>
      <w:sz w:val="20"/>
      <w:szCs w:val="20"/>
      <w:lang w:val="en-US" w:eastAsia="zh-CN" w:bidi="ar-SA"/>
    </w:rPr>
  </w:style>
  <w:style w:type="paragraph" w:styleId="17">
    <w:name w:val="footer"/>
    <w:basedOn w:val="1"/>
    <w:autoRedefine/>
    <w:qFormat/>
    <w:uiPriority w:val="0"/>
    <w:pPr>
      <w:widowControl w:val="0"/>
      <w:tabs>
        <w:tab w:val="center" w:pos="4153"/>
        <w:tab w:val="right" w:pos="8306"/>
      </w:tabs>
      <w:snapToGrid w:val="0"/>
      <w:jc w:val="left"/>
    </w:pPr>
    <w:rPr>
      <w:rFonts w:ascii="Times New Roman" w:hAnsi="Times New Roman" w:eastAsia="宋体" w:cs="Times New Roman"/>
      <w:kern w:val="2"/>
      <w:sz w:val="18"/>
      <w:szCs w:val="18"/>
      <w:lang w:val="en-US" w:eastAsia="zh-CN" w:bidi="ar-SA"/>
    </w:rPr>
  </w:style>
  <w:style w:type="paragraph" w:styleId="18">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autoRedefine/>
    <w:unhideWhenUsed/>
    <w:qFormat/>
    <w:uiPriority w:val="39"/>
  </w:style>
  <w:style w:type="paragraph" w:styleId="20">
    <w:name w:val="Body Text 2"/>
    <w:basedOn w:val="1"/>
    <w:autoRedefine/>
    <w:qFormat/>
    <w:uiPriority w:val="0"/>
    <w:pPr>
      <w:spacing w:line="480" w:lineRule="auto"/>
    </w:pPr>
    <w:rPr>
      <w:szCs w:val="24"/>
    </w:rPr>
  </w:style>
  <w:style w:type="paragraph" w:styleId="2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4"/>
      <w:lang w:val="en-US" w:eastAsia="zh-CN" w:bidi="ar-SA"/>
    </w:rPr>
  </w:style>
  <w:style w:type="paragraph" w:styleId="22">
    <w:name w:val="Body Text First Indent"/>
    <w:basedOn w:val="12"/>
    <w:autoRedefine/>
    <w:qFormat/>
    <w:uiPriority w:val="0"/>
    <w:pPr>
      <w:widowControl w:val="0"/>
      <w:snapToGrid/>
      <w:spacing w:before="0" w:after="120" w:line="240" w:lineRule="auto"/>
      <w:ind w:right="0" w:firstLine="420" w:firstLineChars="100"/>
    </w:pPr>
    <w:rPr>
      <w:kern w:val="2"/>
      <w:sz w:val="21"/>
      <w:szCs w:val="24"/>
    </w:rPr>
  </w:style>
  <w:style w:type="paragraph" w:styleId="23">
    <w:name w:val="Body Text First Indent 2"/>
    <w:basedOn w:val="14"/>
    <w:next w:val="1"/>
    <w:autoRedefine/>
    <w:unhideWhenUsed/>
    <w:qFormat/>
    <w:uiPriority w:val="0"/>
    <w:pPr>
      <w:ind w:firstLine="420"/>
    </w:pPr>
    <w:rPr>
      <w:rFonts w:eastAsia="仿宋_GB2312"/>
      <w:sz w:val="28"/>
    </w:rPr>
  </w:style>
  <w:style w:type="table" w:styleId="25">
    <w:name w:val="Table Grid"/>
    <w:basedOn w:val="24"/>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autoRedefine/>
    <w:qFormat/>
    <w:uiPriority w:val="0"/>
  </w:style>
  <w:style w:type="paragraph" w:customStyle="1" w:styleId="28">
    <w:name w:val="Default"/>
    <w:basedOn w:val="29"/>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9">
    <w:name w:val="纯文本1"/>
    <w:basedOn w:val="1"/>
    <w:autoRedefine/>
    <w:qFormat/>
    <w:uiPriority w:val="0"/>
    <w:pPr>
      <w:adjustRightInd w:val="0"/>
    </w:pPr>
    <w:rPr>
      <w:rFonts w:ascii="宋体" w:hAnsi="Courier New"/>
      <w:szCs w:val="20"/>
    </w:rPr>
  </w:style>
  <w:style w:type="paragraph" w:customStyle="1" w:styleId="30">
    <w:name w:val="样式 正文缩进正文缩进2正文缩进 Char Char正文缩进 Char Char Char Char正文缩进 Char ..."/>
    <w:basedOn w:val="7"/>
    <w:autoRedefine/>
    <w:qFormat/>
    <w:uiPriority w:val="0"/>
    <w:rPr>
      <w:rFonts w:cs="宋体"/>
    </w:rPr>
  </w:style>
  <w:style w:type="paragraph" w:customStyle="1" w:styleId="31">
    <w:name w:val="Date1"/>
    <w:basedOn w:val="1"/>
    <w:next w:val="1"/>
    <w:autoRedefine/>
    <w:qFormat/>
    <w:uiPriority w:val="0"/>
    <w:pPr>
      <w:adjustRightInd w:val="0"/>
      <w:jc w:val="left"/>
      <w:textAlignment w:val="baseline"/>
    </w:pPr>
    <w:rPr>
      <w:rFonts w:ascii="宋体" w:hAnsi="宋体"/>
      <w:sz w:val="28"/>
      <w:szCs w:val="20"/>
    </w:rPr>
  </w:style>
  <w:style w:type="paragraph" w:customStyle="1" w:styleId="32">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3">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4">
    <w:name w:val="Default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35">
    <w:name w:val="24磅正文 Char"/>
    <w:link w:val="36"/>
    <w:autoRedefine/>
    <w:qFormat/>
    <w:locked/>
    <w:uiPriority w:val="99"/>
    <w:rPr>
      <w:kern w:val="0"/>
      <w:sz w:val="20"/>
      <w:szCs w:val="20"/>
      <w:lang w:val="en-US" w:eastAsia="zh-CN" w:bidi="ar-SA"/>
    </w:rPr>
  </w:style>
  <w:style w:type="paragraph" w:customStyle="1" w:styleId="36">
    <w:name w:val="24磅正文"/>
    <w:link w:val="35"/>
    <w:autoRedefine/>
    <w:qFormat/>
    <w:uiPriority w:val="99"/>
    <w:pPr>
      <w:widowControl w:val="0"/>
      <w:spacing w:line="480" w:lineRule="exact"/>
      <w:ind w:firstLine="480" w:firstLineChars="200"/>
      <w:jc w:val="both"/>
    </w:pPr>
    <w:rPr>
      <w:rFonts w:ascii="Times New Roman" w:hAnsi="Times New Roman" w:eastAsia="宋体" w:cs="Times New Roman"/>
      <w:kern w:val="0"/>
      <w:sz w:val="20"/>
      <w:szCs w:val="20"/>
      <w:lang w:val="en-US" w:eastAsia="zh-CN" w:bidi="ar-SA"/>
    </w:rPr>
  </w:style>
  <w:style w:type="paragraph" w:customStyle="1" w:styleId="37">
    <w:name w:val="表内容"/>
    <w:autoRedefine/>
    <w:qFormat/>
    <w:uiPriority w:val="99"/>
    <w:pPr>
      <w:widowControl w:val="0"/>
      <w:spacing w:line="360" w:lineRule="exact"/>
      <w:ind w:firstLine="0" w:firstLineChars="0"/>
      <w:jc w:val="center"/>
    </w:pPr>
    <w:rPr>
      <w:rFonts w:ascii="Times New Roman" w:hAnsi="Times New Roman" w:eastAsia="宋体" w:cs="Times New Roman"/>
      <w:kern w:val="0"/>
      <w:sz w:val="20"/>
      <w:szCs w:val="20"/>
      <w:lang w:val="en-US" w:eastAsia="zh-CN" w:bidi="ar-SA"/>
    </w:rPr>
  </w:style>
  <w:style w:type="paragraph" w:customStyle="1" w:styleId="38">
    <w:name w:val="表格"/>
    <w:next w:val="1"/>
    <w:autoRedefine/>
    <w:qFormat/>
    <w:uiPriority w:val="99"/>
    <w:pPr>
      <w:widowControl w:val="0"/>
      <w:adjustRightInd w:val="0"/>
      <w:snapToGrid w:val="0"/>
      <w:spacing w:beforeLines="10" w:afterLines="10" w:line="259" w:lineRule="auto"/>
      <w:jc w:val="center"/>
    </w:pPr>
    <w:rPr>
      <w:rFonts w:ascii="宋体" w:hAnsi="Times New Roman" w:eastAsia="宋体" w:cs="Times New Roman"/>
      <w:kern w:val="0"/>
      <w:sz w:val="20"/>
      <w:szCs w:val="21"/>
      <w:lang w:val="en-US" w:eastAsia="zh-CN" w:bidi="ar-SA"/>
    </w:rPr>
  </w:style>
  <w:style w:type="paragraph" w:customStyle="1" w:styleId="39">
    <w:name w:val="样式 (中文) 仿宋_GB2312 小四 黑色 行距: 固定值 23 磅"/>
    <w:autoRedefine/>
    <w:qFormat/>
    <w:uiPriority w:val="99"/>
    <w:pPr>
      <w:keepNext/>
      <w:widowControl w:val="0"/>
      <w:spacing w:line="460" w:lineRule="exact"/>
      <w:ind w:firstLine="200" w:firstLineChars="200"/>
      <w:jc w:val="both"/>
    </w:pPr>
    <w:rPr>
      <w:rFonts w:ascii="仿宋_GB2312" w:hAnsi="Calibri" w:eastAsia="仿宋_GB2312" w:cs="仿宋_GB2312"/>
      <w:color w:val="000000"/>
      <w:kern w:val="2"/>
      <w:sz w:val="24"/>
      <w:szCs w:val="24"/>
      <w:lang w:val="en-US" w:eastAsia="zh-CN" w:bidi="ar-SA"/>
    </w:rPr>
  </w:style>
  <w:style w:type="paragraph" w:styleId="40">
    <w:name w:val="List Paragraph"/>
    <w:basedOn w:val="1"/>
    <w:autoRedefine/>
    <w:qFormat/>
    <w:uiPriority w:val="99"/>
    <w:pPr>
      <w:widowControl w:val="0"/>
      <w:ind w:firstLine="420" w:firstLineChars="200"/>
      <w:jc w:val="both"/>
    </w:pPr>
    <w:rPr>
      <w:rFonts w:ascii="Calibri" w:hAnsi="Calibri" w:eastAsia="宋体" w:cs="Calibri"/>
      <w:kern w:val="2"/>
      <w:sz w:val="24"/>
      <w:szCs w:val="24"/>
      <w:lang w:val="en-US" w:eastAsia="zh-CN" w:bidi="ar-SA"/>
    </w:rPr>
  </w:style>
  <w:style w:type="paragraph" w:customStyle="1" w:styleId="41">
    <w:name w:val="表表表"/>
    <w:basedOn w:val="1"/>
    <w:autoRedefine/>
    <w:qFormat/>
    <w:uiPriority w:val="0"/>
    <w:pPr>
      <w:tabs>
        <w:tab w:val="left" w:pos="3000"/>
      </w:tabs>
      <w:jc w:val="center"/>
    </w:pPr>
    <w:rPr>
      <w:szCs w:val="21"/>
    </w:rPr>
  </w:style>
  <w:style w:type="character" w:customStyle="1" w:styleId="42">
    <w:name w:val="标题 1 Char"/>
    <w:link w:val="4"/>
    <w:autoRedefine/>
    <w:qFormat/>
    <w:uiPriority w:val="0"/>
    <w:rPr>
      <w:b/>
      <w:kern w:val="44"/>
      <w:sz w:val="44"/>
    </w:rPr>
  </w:style>
  <w:style w:type="paragraph" w:customStyle="1" w:styleId="43">
    <w:name w:val="表格内"/>
    <w:basedOn w:val="1"/>
    <w:autoRedefine/>
    <w:qFormat/>
    <w:uiPriority w:val="0"/>
    <w:pPr>
      <w:adjustRightInd w:val="0"/>
      <w:snapToGrid w:val="0"/>
      <w:spacing w:line="360" w:lineRule="exact"/>
      <w:jc w:val="center"/>
    </w:pPr>
    <w:rPr>
      <w:rFonts w:eastAsia="Times New Roman"/>
      <w:snapToGrid w:val="0"/>
      <w:kern w:val="0"/>
      <w:sz w:val="20"/>
      <w:szCs w:val="21"/>
    </w:rPr>
  </w:style>
  <w:style w:type="paragraph" w:customStyle="1" w:styleId="44">
    <w:name w:val="Table Paragraph"/>
    <w:basedOn w:val="1"/>
    <w:autoRedefine/>
    <w:qFormat/>
    <w:uiPriority w:val="0"/>
    <w:pPr>
      <w:jc w:val="center"/>
    </w:pPr>
    <w:rPr>
      <w:rFonts w:eastAsia="Times New Roman"/>
      <w:szCs w:val="24"/>
    </w:rPr>
  </w:style>
  <w:style w:type="paragraph" w:customStyle="1" w:styleId="45">
    <w:name w:val="报告书正文"/>
    <w:basedOn w:val="1"/>
    <w:autoRedefine/>
    <w:qFormat/>
    <w:uiPriority w:val="0"/>
    <w:pPr>
      <w:spacing w:line="360" w:lineRule="auto"/>
    </w:pPr>
    <w:rPr>
      <w:sz w:val="24"/>
    </w:rPr>
  </w:style>
  <w:style w:type="paragraph" w:styleId="46">
    <w:name w:val="No Spacing"/>
    <w:autoRedefine/>
    <w:qFormat/>
    <w:uiPriority w:val="0"/>
    <w:pPr>
      <w:widowControl w:val="0"/>
      <w:adjustRightInd w:val="0"/>
      <w:spacing w:line="360" w:lineRule="atLeast"/>
      <w:jc w:val="both"/>
      <w:textAlignment w:val="baseline"/>
    </w:pPr>
    <w:rPr>
      <w:rFonts w:ascii="Times New Roman" w:hAnsi="Times New Roman" w:eastAsia="宋体" w:cs="Times New Roman"/>
      <w:kern w:val="2"/>
      <w:sz w:val="24"/>
      <w:szCs w:val="24"/>
      <w:lang w:val="en-US" w:eastAsia="zh-CN" w:bidi="ar-SA"/>
    </w:rPr>
  </w:style>
  <w:style w:type="paragraph" w:customStyle="1" w:styleId="47">
    <w:name w:val="Other|1"/>
    <w:basedOn w:val="1"/>
    <w:autoRedefine/>
    <w:qFormat/>
    <w:uiPriority w:val="0"/>
    <w:pPr>
      <w:widowControl w:val="0"/>
      <w:shd w:val="clear" w:color="auto" w:fill="auto"/>
      <w:spacing w:line="274" w:lineRule="exact"/>
    </w:pPr>
    <w:rPr>
      <w:rFonts w:ascii="宋体" w:hAnsi="宋体" w:eastAsia="宋体" w:cs="宋体"/>
      <w:sz w:val="20"/>
      <w:szCs w:val="20"/>
      <w:u w:val="none"/>
      <w:shd w:val="clear" w:color="auto" w:fill="auto"/>
      <w:lang w:val="zh-TW" w:eastAsia="zh-TW" w:bidi="zh-TW"/>
    </w:rPr>
  </w:style>
  <w:style w:type="paragraph" w:customStyle="1" w:styleId="48">
    <w:name w:val="报告正文"/>
    <w:basedOn w:val="1"/>
    <w:autoRedefine/>
    <w:qFormat/>
    <w:uiPriority w:val="0"/>
    <w:pPr>
      <w:spacing w:line="360" w:lineRule="auto"/>
      <w:ind w:firstLine="480" w:firstLineChars="200"/>
    </w:pPr>
    <w:rPr>
      <w:rFonts w:ascii="Arial" w:hAnsi="Arial" w:eastAsia="等线" w:cs="Arial"/>
      <w:kern w:val="0"/>
      <w:sz w:val="24"/>
      <w:szCs w:val="20"/>
    </w:rPr>
  </w:style>
  <w:style w:type="character" w:customStyle="1" w:styleId="49">
    <w:name w:val="正文（首行缩进两字） Char"/>
    <w:autoRedefine/>
    <w:qFormat/>
    <w:uiPriority w:val="0"/>
    <w:rPr>
      <w:b/>
      <w:bCs/>
      <w:sz w:val="21"/>
    </w:rPr>
  </w:style>
  <w:style w:type="paragraph" w:customStyle="1" w:styleId="50">
    <w:name w:val="表格-lh"/>
    <w:basedOn w:val="1"/>
    <w:autoRedefine/>
    <w:qFormat/>
    <w:uiPriority w:val="0"/>
    <w:pPr>
      <w:widowControl/>
      <w:jc w:val="center"/>
    </w:pPr>
    <w:rPr>
      <w:szCs w:val="21"/>
    </w:rPr>
  </w:style>
  <w:style w:type="paragraph" w:customStyle="1" w:styleId="51">
    <w:name w:val="0正文"/>
    <w:basedOn w:val="1"/>
    <w:autoRedefine/>
    <w:qFormat/>
    <w:uiPriority w:val="0"/>
    <w:pPr>
      <w:spacing w:line="360" w:lineRule="auto"/>
      <w:ind w:firstLine="480" w:firstLineChars="200"/>
    </w:pPr>
    <w:rPr>
      <w:rFonts w:ascii="Calibri" w:hAnsi="Calibri"/>
      <w:sz w:val="24"/>
      <w:szCs w:val="22"/>
    </w:rPr>
  </w:style>
  <w:style w:type="paragraph" w:customStyle="1" w:styleId="52">
    <w:name w:val="Body text|1"/>
    <w:basedOn w:val="1"/>
    <w:autoRedefine/>
    <w:qFormat/>
    <w:uiPriority w:val="0"/>
    <w:pPr>
      <w:widowControl w:val="0"/>
      <w:shd w:val="clear" w:color="auto" w:fill="auto"/>
      <w:spacing w:line="403" w:lineRule="auto"/>
      <w:ind w:firstLine="400"/>
    </w:pPr>
    <w:rPr>
      <w:rFonts w:ascii="宋体" w:hAnsi="宋体" w:eastAsia="宋体" w:cs="宋体"/>
      <w:u w:val="none"/>
      <w:shd w:val="clear" w:color="auto" w:fill="auto"/>
      <w:lang w:val="zh-TW" w:eastAsia="zh-TW" w:bidi="zh-TW"/>
    </w:rPr>
  </w:style>
  <w:style w:type="paragraph" w:customStyle="1" w:styleId="53">
    <w:name w:val="xl34"/>
    <w:basedOn w:val="1"/>
    <w:autoRedefine/>
    <w:qFormat/>
    <w:uiPriority w:val="0"/>
    <w:pPr>
      <w:widowControl/>
      <w:pBdr>
        <w:left w:val="single" w:color="auto" w:sz="4" w:space="0"/>
        <w:right w:val="single" w:color="auto" w:sz="4" w:space="0"/>
      </w:pBdr>
      <w:spacing w:before="100" w:beforeLines="0" w:beforeAutospacing="1" w:after="100" w:afterLines="0" w:afterAutospacing="1"/>
      <w:jc w:val="center"/>
      <w:textAlignment w:val="center"/>
    </w:pPr>
    <w:rPr>
      <w:rFonts w:ascii="Arial Unicode MS" w:hAnsi="Arial Unicode MS" w:eastAsia="Arial Unicode MS"/>
      <w:kern w:val="0"/>
      <w:sz w:val="21"/>
      <w:szCs w:val="21"/>
    </w:rPr>
  </w:style>
  <w:style w:type="paragraph" w:customStyle="1" w:styleId="54">
    <w:name w:val="正文文本1"/>
    <w:basedOn w:val="1"/>
    <w:autoRedefine/>
    <w:qFormat/>
    <w:uiPriority w:val="0"/>
    <w:rPr>
      <w:b/>
      <w:sz w:val="24"/>
    </w:rPr>
  </w:style>
  <w:style w:type="paragraph" w:customStyle="1" w:styleId="55">
    <w:name w:val="样式 正文缩进s4标题4表正文正文非缩进图标题段1Body Text(ch)缩进ALT+Z特点四号正文不..."/>
    <w:basedOn w:val="7"/>
    <w:autoRedefine/>
    <w:qFormat/>
    <w:uiPriority w:val="0"/>
    <w:pPr>
      <w:adjustRightInd w:val="0"/>
      <w:snapToGrid w:val="0"/>
      <w:spacing w:line="360" w:lineRule="auto"/>
      <w:ind w:firstLine="480"/>
      <w:jc w:val="both"/>
    </w:pPr>
    <w:rPr>
      <w:snapToGrid w:val="0"/>
      <w:color w:val="0000FF"/>
      <w:kern w:val="16"/>
      <w:sz w:val="24"/>
      <w:szCs w:val="20"/>
    </w:rPr>
  </w:style>
  <w:style w:type="paragraph" w:customStyle="1" w:styleId="56">
    <w:name w:val="绘图"/>
    <w:basedOn w:val="1"/>
    <w:autoRedefine/>
    <w:qFormat/>
    <w:uiPriority w:val="0"/>
    <w:pPr>
      <w:jc w:val="center"/>
    </w:pPr>
    <w:rPr>
      <w:rFonts w:ascii="Calibri" w:hAnsi="Calibri" w:eastAsia="黑体"/>
      <w:kern w:val="0"/>
      <w:sz w:val="24"/>
      <w:szCs w:val="20"/>
    </w:rPr>
  </w:style>
  <w:style w:type="paragraph" w:customStyle="1" w:styleId="57">
    <w:name w:val="Table Text"/>
    <w:basedOn w:val="1"/>
    <w:autoRedefine/>
    <w:semiHidden/>
    <w:qFormat/>
    <w:uiPriority w:val="0"/>
    <w:rPr>
      <w:rFonts w:ascii="Times New Roman" w:hAnsi="Times New Roman" w:eastAsia="Times New Roman" w:cs="Times New Roman"/>
      <w:sz w:val="20"/>
      <w:szCs w:val="20"/>
      <w:lang w:val="en-US" w:eastAsia="en-US" w:bidi="ar-SA"/>
    </w:rPr>
  </w:style>
  <w:style w:type="table" w:customStyle="1" w:styleId="58">
    <w:name w:val="Table Normal"/>
    <w:autoRedefine/>
    <w:semiHidden/>
    <w:unhideWhenUsed/>
    <w:qFormat/>
    <w:uiPriority w:val="0"/>
    <w:tblPr>
      <w:tblCellMar>
        <w:top w:w="0" w:type="dxa"/>
        <w:left w:w="0" w:type="dxa"/>
        <w:bottom w:w="0" w:type="dxa"/>
        <w:right w:w="0" w:type="dxa"/>
      </w:tblCellMar>
    </w:tblPr>
  </w:style>
  <w:style w:type="paragraph" w:customStyle="1" w:styleId="59">
    <w:name w:val="正文文本 (2)2"/>
    <w:basedOn w:val="1"/>
    <w:autoRedefine/>
    <w:qFormat/>
    <w:uiPriority w:val="0"/>
    <w:pPr>
      <w:shd w:val="clear" w:color="auto" w:fill="FFFFFF"/>
      <w:spacing w:before="1140" w:line="619" w:lineRule="exact"/>
      <w:ind w:hanging="680"/>
    </w:pPr>
    <w:rPr>
      <w:rFonts w:ascii="MingLiU" w:hAnsi="MingLiU" w:eastAsia="MingLiU" w:cs="MingLiU"/>
      <w:sz w:val="22"/>
      <w:szCs w:val="22"/>
    </w:rPr>
  </w:style>
  <w:style w:type="character" w:customStyle="1" w:styleId="60">
    <w:name w:val="表格文字 Char"/>
    <w:link w:val="61"/>
    <w:autoRedefine/>
    <w:qFormat/>
    <w:uiPriority w:val="0"/>
    <w:rPr>
      <w:rFonts w:hAnsi="黑体"/>
      <w:kern w:val="44"/>
      <w:szCs w:val="20"/>
    </w:rPr>
  </w:style>
  <w:style w:type="paragraph" w:customStyle="1" w:styleId="61">
    <w:name w:val="表格文字"/>
    <w:basedOn w:val="38"/>
    <w:next w:val="1"/>
    <w:link w:val="60"/>
    <w:autoRedefine/>
    <w:qFormat/>
    <w:uiPriority w:val="0"/>
    <w:pPr>
      <w:tabs>
        <w:tab w:val="left" w:pos="893"/>
      </w:tabs>
      <w:adjustRightInd/>
      <w:spacing w:line="240" w:lineRule="auto"/>
      <w:jc w:val="center"/>
    </w:pPr>
    <w:rPr>
      <w:rFonts w:hAnsi="黑体"/>
      <w:kern w:val="44"/>
      <w:szCs w:val="20"/>
    </w:rPr>
  </w:style>
  <w:style w:type="character" w:customStyle="1" w:styleId="62">
    <w:name w:val="font11"/>
    <w:basedOn w:val="26"/>
    <w:autoRedefine/>
    <w:qFormat/>
    <w:uiPriority w:val="0"/>
    <w:rPr>
      <w:rFonts w:hint="eastAsia" w:ascii="宋体" w:hAnsi="宋体" w:eastAsia="宋体" w:cs="宋体"/>
      <w:color w:val="FF0000"/>
      <w:sz w:val="21"/>
      <w:szCs w:val="21"/>
      <w:u w:val="none"/>
    </w:rPr>
  </w:style>
  <w:style w:type="character" w:customStyle="1" w:styleId="63">
    <w:name w:val="font21"/>
    <w:basedOn w:val="26"/>
    <w:autoRedefine/>
    <w:qFormat/>
    <w:uiPriority w:val="0"/>
    <w:rPr>
      <w:rFonts w:hint="default" w:ascii="Times New Roman" w:hAnsi="Times New Roman" w:cs="Times New Roman"/>
      <w:color w:val="FF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66</Pages>
  <Words>40255</Words>
  <Characters>45155</Characters>
  <Lines>1</Lines>
  <Paragraphs>1</Paragraphs>
  <TotalTime>13</TotalTime>
  <ScaleCrop>false</ScaleCrop>
  <LinksUpToDate>false</LinksUpToDate>
  <CharactersWithSpaces>49935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2021-03-26T01:41:00Z</dcterms:created>
  <dc:creator>PC</dc:creator>
  <cp:lastModifiedBy>微^O^</cp:lastModifiedBy>
  <cp:lastPrinted>2024-05-17T02:51:00Z</cp:lastPrinted>
  <dcterms:modified xsi:type="dcterms:W3CDTF">2024-08-21T03:48:05Z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98ED5B7258C14F5DA0505C2AACD73ADF_13</vt:lpwstr>
  </property>
</Properties>
</file>