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wmf" ContentType="image/x-wm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C302501">
      <w:pPr>
        <w:rPr>
          <w:rFonts w:ascii="仿宋_GB2312" w:hAnsi="仿宋_GB2312" w:eastAsia="仿宋_GB2312" w:cs="仿宋_GB2312"/>
          <w:color w:val="auto"/>
          <w:sz w:val="36"/>
          <w:szCs w:val="36"/>
          <w:highlight w:val="none"/>
        </w:rPr>
      </w:pPr>
      <w:r>
        <w:rPr>
          <w:rFonts w:hint="eastAsia" w:ascii="仿宋_GB2312" w:hAnsi="仿宋_GB2312" w:eastAsia="仿宋_GB2312" w:cs="仿宋_GB2312"/>
          <w:sz w:val="36"/>
          <w:szCs w:val="36"/>
        </w:rPr>
        <w:t xml:space="preserve">       </w:t>
      </w:r>
      <w:r>
        <w:rPr>
          <w:rFonts w:hint="eastAsia" w:ascii="仿宋_GB2312" w:hAnsi="仿宋_GB2312" w:eastAsia="仿宋_GB2312" w:cs="仿宋_GB2312"/>
          <w:color w:val="auto"/>
          <w:sz w:val="36"/>
          <w:szCs w:val="36"/>
          <w:highlight w:val="none"/>
        </w:rPr>
        <w:t xml:space="preserve">  </w:t>
      </w:r>
    </w:p>
    <w:p w14:paraId="6E086BCE">
      <w:pPr>
        <w:rPr>
          <w:rFonts w:ascii="仿宋_GB2312" w:hAnsi="仿宋_GB2312" w:eastAsia="仿宋_GB2312" w:cs="仿宋_GB2312"/>
          <w:color w:val="auto"/>
          <w:sz w:val="36"/>
          <w:szCs w:val="36"/>
          <w:highlight w:val="none"/>
        </w:rPr>
      </w:pPr>
    </w:p>
    <w:p w14:paraId="541CB2DF">
      <w:pPr>
        <w:rPr>
          <w:rFonts w:ascii="仿宋_GB2312" w:hAnsi="仿宋_GB2312" w:eastAsia="仿宋_GB2312" w:cs="仿宋_GB2312"/>
          <w:color w:val="auto"/>
          <w:sz w:val="36"/>
          <w:szCs w:val="36"/>
          <w:highlight w:val="none"/>
        </w:rPr>
      </w:pPr>
    </w:p>
    <w:p w14:paraId="6C070AB9">
      <w:pPr>
        <w:rPr>
          <w:rFonts w:ascii="仿宋_GB2312" w:hAnsi="仿宋_GB2312" w:eastAsia="仿宋_GB2312" w:cs="仿宋_GB2312"/>
          <w:color w:val="auto"/>
          <w:sz w:val="36"/>
          <w:szCs w:val="36"/>
          <w:highlight w:val="none"/>
        </w:rPr>
      </w:pPr>
    </w:p>
    <w:p w14:paraId="653342C2">
      <w:pPr>
        <w:rPr>
          <w:rFonts w:ascii="仿宋_GB2312" w:hAnsi="仿宋_GB2312" w:eastAsia="仿宋_GB2312" w:cs="仿宋_GB2312"/>
          <w:color w:val="auto"/>
          <w:sz w:val="36"/>
          <w:szCs w:val="36"/>
          <w:highlight w:val="none"/>
        </w:rPr>
      </w:pPr>
    </w:p>
    <w:p w14:paraId="7A94E783">
      <w:pPr>
        <w:adjustRightInd w:val="0"/>
        <w:snapToGrid w:val="0"/>
        <w:jc w:val="center"/>
        <w:rPr>
          <w:rFonts w:ascii="方正小标宋_GBK" w:eastAsia="方正小标宋_GBK"/>
          <w:bCs/>
          <w:color w:val="auto"/>
          <w:sz w:val="72"/>
          <w:szCs w:val="72"/>
          <w:highlight w:val="none"/>
        </w:rPr>
      </w:pPr>
      <w:r>
        <w:rPr>
          <w:rFonts w:hint="eastAsia" w:ascii="方正小标宋_GBK" w:eastAsia="方正小标宋_GBK"/>
          <w:bCs/>
          <w:color w:val="auto"/>
          <w:sz w:val="72"/>
          <w:szCs w:val="72"/>
          <w:highlight w:val="none"/>
        </w:rPr>
        <w:t>建设项目环境影响报告表</w:t>
      </w:r>
    </w:p>
    <w:p w14:paraId="3D828107">
      <w:pPr>
        <w:adjustRightInd w:val="0"/>
        <w:snapToGrid w:val="0"/>
        <w:spacing w:before="192" w:beforeLines="80"/>
        <w:jc w:val="center"/>
        <w:rPr>
          <w:rFonts w:ascii="楷体_GB2312" w:eastAsia="楷体_GB2312"/>
          <w:bCs/>
          <w:color w:val="auto"/>
          <w:sz w:val="48"/>
          <w:szCs w:val="48"/>
          <w:highlight w:val="none"/>
        </w:rPr>
      </w:pPr>
      <w:r>
        <w:rPr>
          <w:rFonts w:hint="eastAsia" w:ascii="楷体_GB2312" w:eastAsia="楷体_GB2312"/>
          <w:bCs/>
          <w:color w:val="auto"/>
          <w:sz w:val="48"/>
          <w:szCs w:val="48"/>
          <w:highlight w:val="none"/>
        </w:rPr>
        <w:t>（污染影响类）</w:t>
      </w:r>
    </w:p>
    <w:p w14:paraId="529CCDDF">
      <w:pPr>
        <w:adjustRightInd w:val="0"/>
        <w:snapToGrid w:val="0"/>
        <w:spacing w:line="288" w:lineRule="auto"/>
        <w:jc w:val="center"/>
        <w:rPr>
          <w:rFonts w:ascii="华文仿宋" w:hAnsi="华文仿宋" w:eastAsia="华文仿宋" w:cs="华文仿宋"/>
          <w:color w:val="auto"/>
          <w:kern w:val="44"/>
          <w:sz w:val="44"/>
          <w:szCs w:val="44"/>
          <w:highlight w:val="none"/>
        </w:rPr>
      </w:pPr>
    </w:p>
    <w:p w14:paraId="6492C62A">
      <w:pPr>
        <w:jc w:val="center"/>
        <w:rPr>
          <w:rFonts w:eastAsia="仿宋"/>
          <w:color w:val="auto"/>
          <w:sz w:val="52"/>
          <w:szCs w:val="52"/>
          <w:highlight w:val="none"/>
        </w:rPr>
      </w:pPr>
    </w:p>
    <w:p w14:paraId="6DC93782">
      <w:pPr>
        <w:ind w:firstLine="1040"/>
        <w:rPr>
          <w:rFonts w:eastAsia="仿宋"/>
          <w:color w:val="auto"/>
          <w:sz w:val="44"/>
          <w:szCs w:val="44"/>
          <w:highlight w:val="none"/>
        </w:rPr>
      </w:pPr>
    </w:p>
    <w:p w14:paraId="5B6378E6">
      <w:pPr>
        <w:ind w:firstLine="1040"/>
        <w:rPr>
          <w:rFonts w:eastAsia="仿宋"/>
          <w:color w:val="auto"/>
          <w:sz w:val="44"/>
          <w:szCs w:val="44"/>
          <w:highlight w:val="none"/>
        </w:rPr>
      </w:pPr>
    </w:p>
    <w:p w14:paraId="1222075E">
      <w:pPr>
        <w:ind w:firstLine="1040"/>
        <w:rPr>
          <w:rFonts w:eastAsia="仿宋"/>
          <w:color w:val="auto"/>
          <w:sz w:val="44"/>
          <w:szCs w:val="44"/>
          <w:highlight w:val="none"/>
        </w:rPr>
      </w:pPr>
    </w:p>
    <w:p w14:paraId="3E8165A2">
      <w:pPr>
        <w:ind w:firstLine="1040"/>
        <w:rPr>
          <w:rFonts w:eastAsia="仿宋"/>
          <w:color w:val="auto"/>
          <w:sz w:val="44"/>
          <w:szCs w:val="44"/>
          <w:highlight w:val="none"/>
        </w:rPr>
      </w:pPr>
    </w:p>
    <w:p w14:paraId="0524D272">
      <w:pPr>
        <w:tabs>
          <w:tab w:val="left" w:pos="9460"/>
        </w:tabs>
        <w:adjustRightInd w:val="0"/>
        <w:snapToGrid w:val="0"/>
        <w:spacing w:line="360" w:lineRule="auto"/>
        <w:ind w:left="2151" w:leftChars="171" w:right="218" w:rightChars="104" w:hanging="1792" w:hangingChars="498"/>
        <w:jc w:val="left"/>
        <w:rPr>
          <w:rFonts w:ascii="仿宋_GB2312" w:eastAsia="仿宋_GB2312"/>
          <w:color w:val="auto"/>
          <w:sz w:val="36"/>
          <w:szCs w:val="36"/>
          <w:highlight w:val="none"/>
          <w:u w:val="single"/>
        </w:rPr>
      </w:pPr>
      <w:r>
        <w:rPr>
          <w:rFonts w:hint="eastAsia" w:ascii="仿宋_GB2312" w:eastAsia="仿宋_GB2312"/>
          <w:color w:val="auto"/>
          <w:sz w:val="36"/>
          <w:szCs w:val="36"/>
          <w:highlight w:val="none"/>
        </w:rPr>
        <w:t>项目名称：</w:t>
      </w:r>
      <w:r>
        <w:rPr>
          <w:rFonts w:hint="eastAsia" w:ascii="仿宋_GB2312" w:eastAsia="仿宋_GB2312"/>
          <w:color w:val="auto"/>
          <w:sz w:val="36"/>
          <w:szCs w:val="36"/>
          <w:highlight w:val="none"/>
          <w:u w:val="single"/>
        </w:rPr>
        <w:t xml:space="preserve">         净菜、预制菜产业链项目        </w:t>
      </w:r>
    </w:p>
    <w:p w14:paraId="70AA03AD">
      <w:pPr>
        <w:adjustRightInd w:val="0"/>
        <w:snapToGrid w:val="0"/>
        <w:spacing w:line="360" w:lineRule="auto"/>
        <w:ind w:left="2" w:leftChars="1" w:right="218" w:rightChars="104" w:firstLine="360" w:firstLineChars="100"/>
        <w:jc w:val="left"/>
        <w:rPr>
          <w:rFonts w:ascii="仿宋_GB2312" w:eastAsia="仿宋_GB2312"/>
          <w:color w:val="auto"/>
          <w:sz w:val="36"/>
          <w:szCs w:val="36"/>
          <w:highlight w:val="none"/>
          <w:u w:val="single"/>
        </w:rPr>
      </w:pPr>
      <w:r>
        <w:rPr>
          <w:rFonts w:hint="eastAsia" w:ascii="仿宋_GB2312" w:eastAsia="仿宋_GB2312"/>
          <w:color w:val="auto"/>
          <w:sz w:val="36"/>
          <w:szCs w:val="36"/>
          <w:highlight w:val="none"/>
        </w:rPr>
        <w:t>建设单位（盖章）：</w:t>
      </w:r>
      <w:r>
        <w:rPr>
          <w:rFonts w:hint="eastAsia" w:ascii="仿宋_GB2312" w:eastAsia="仿宋_GB2312"/>
          <w:color w:val="auto"/>
          <w:sz w:val="36"/>
          <w:szCs w:val="36"/>
          <w:highlight w:val="none"/>
          <w:u w:val="single"/>
        </w:rPr>
        <w:t xml:space="preserve">   陕西大秦鹮农业科技有限公司  </w:t>
      </w:r>
    </w:p>
    <w:p w14:paraId="455C00C1">
      <w:pPr>
        <w:adjustRightInd w:val="0"/>
        <w:snapToGrid w:val="0"/>
        <w:spacing w:line="360" w:lineRule="auto"/>
        <w:ind w:right="218" w:rightChars="104" w:firstLine="360" w:firstLineChars="100"/>
        <w:jc w:val="left"/>
        <w:rPr>
          <w:rFonts w:ascii="仿宋_GB2312" w:eastAsia="仿宋_GB2312"/>
          <w:color w:val="auto"/>
          <w:sz w:val="36"/>
          <w:szCs w:val="36"/>
          <w:highlight w:val="none"/>
          <w:u w:val="single"/>
        </w:rPr>
      </w:pPr>
      <w:r>
        <w:rPr>
          <w:rFonts w:hint="eastAsia" w:ascii="仿宋_GB2312" w:eastAsia="仿宋_GB2312"/>
          <w:color w:val="auto"/>
          <w:sz w:val="36"/>
          <w:szCs w:val="36"/>
          <w:highlight w:val="none"/>
        </w:rPr>
        <w:t>编制日期：</w:t>
      </w:r>
      <w:r>
        <w:rPr>
          <w:rFonts w:hint="eastAsia" w:ascii="仿宋_GB2312" w:eastAsia="仿宋_GB2312"/>
          <w:color w:val="auto"/>
          <w:sz w:val="36"/>
          <w:szCs w:val="36"/>
          <w:highlight w:val="none"/>
          <w:u w:val="single"/>
        </w:rPr>
        <w:t xml:space="preserve">             二〇二五年</w:t>
      </w:r>
      <w:r>
        <w:rPr>
          <w:rFonts w:hint="eastAsia" w:ascii="仿宋_GB2312" w:eastAsia="仿宋_GB2312"/>
          <w:color w:val="auto"/>
          <w:sz w:val="36"/>
          <w:szCs w:val="36"/>
          <w:highlight w:val="none"/>
          <w:u w:val="single"/>
          <w:lang w:eastAsia="zh-CN"/>
        </w:rPr>
        <w:t>七</w:t>
      </w:r>
      <w:bookmarkStart w:id="10" w:name="_GoBack"/>
      <w:bookmarkEnd w:id="10"/>
      <w:r>
        <w:rPr>
          <w:rFonts w:hint="eastAsia" w:ascii="仿宋_GB2312" w:eastAsia="仿宋_GB2312"/>
          <w:color w:val="auto"/>
          <w:sz w:val="36"/>
          <w:szCs w:val="36"/>
          <w:highlight w:val="none"/>
          <w:u w:val="single"/>
        </w:rPr>
        <w:t xml:space="preserve">月            </w:t>
      </w:r>
    </w:p>
    <w:p w14:paraId="7595BE28">
      <w:pPr>
        <w:adjustRightInd w:val="0"/>
        <w:snapToGrid w:val="0"/>
        <w:spacing w:line="288" w:lineRule="auto"/>
        <w:ind w:firstLine="1040"/>
        <w:rPr>
          <w:rFonts w:ascii="仿宋_GB2312" w:eastAsia="仿宋_GB2312"/>
          <w:color w:val="auto"/>
          <w:sz w:val="36"/>
          <w:szCs w:val="36"/>
          <w:highlight w:val="none"/>
          <w:u w:val="single"/>
        </w:rPr>
      </w:pPr>
      <w:bookmarkStart w:id="0" w:name="_Hlk57884087"/>
    </w:p>
    <w:p w14:paraId="0CAD00C4">
      <w:pPr>
        <w:adjustRightInd w:val="0"/>
        <w:snapToGrid w:val="0"/>
        <w:spacing w:line="360" w:lineRule="auto"/>
        <w:ind w:firstLine="1040"/>
        <w:rPr>
          <w:rFonts w:ascii="仿宋_GB2312" w:eastAsia="仿宋_GB2312"/>
          <w:color w:val="auto"/>
          <w:sz w:val="36"/>
          <w:szCs w:val="36"/>
          <w:highlight w:val="none"/>
        </w:rPr>
      </w:pPr>
    </w:p>
    <w:p w14:paraId="640318F9">
      <w:pPr>
        <w:adjustRightInd w:val="0"/>
        <w:snapToGrid w:val="0"/>
        <w:spacing w:line="360" w:lineRule="auto"/>
        <w:rPr>
          <w:rFonts w:ascii="仿宋_GB2312" w:eastAsia="仿宋_GB2312"/>
          <w:color w:val="auto"/>
          <w:sz w:val="36"/>
          <w:szCs w:val="36"/>
          <w:highlight w:val="none"/>
        </w:rPr>
      </w:pPr>
    </w:p>
    <w:bookmarkEnd w:id="0"/>
    <w:p w14:paraId="65E1E404">
      <w:pPr>
        <w:adjustRightInd w:val="0"/>
        <w:snapToGrid w:val="0"/>
        <w:spacing w:line="288" w:lineRule="auto"/>
        <w:jc w:val="center"/>
        <w:rPr>
          <w:rFonts w:ascii="楷体_GB2312" w:eastAsia="楷体_GB2312"/>
          <w:color w:val="auto"/>
          <w:sz w:val="36"/>
          <w:szCs w:val="36"/>
          <w:highlight w:val="none"/>
        </w:rPr>
      </w:pPr>
      <w:r>
        <w:rPr>
          <w:rFonts w:hint="eastAsia" w:ascii="楷体_GB2312" w:eastAsia="楷体_GB2312"/>
          <w:color w:val="auto"/>
          <w:sz w:val="36"/>
          <w:szCs w:val="36"/>
          <w:highlight w:val="none"/>
        </w:rPr>
        <w:t>中华人民共和国生态环境部制</w:t>
      </w:r>
    </w:p>
    <w:p w14:paraId="25F56C4F">
      <w:pPr>
        <w:adjustRightInd w:val="0"/>
        <w:snapToGrid w:val="0"/>
        <w:spacing w:line="288" w:lineRule="auto"/>
        <w:ind w:firstLine="1040"/>
        <w:rPr>
          <w:rFonts w:ascii="仿宋_GB2312" w:eastAsia="仿宋_GB2312"/>
          <w:color w:val="auto"/>
          <w:sz w:val="36"/>
          <w:szCs w:val="36"/>
          <w:highlight w:val="none"/>
        </w:rPr>
        <w:sectPr>
          <w:footerReference r:id="rId3" w:type="default"/>
          <w:footerReference r:id="rId4" w:type="even"/>
          <w:pgSz w:w="11906" w:h="16838"/>
          <w:pgMar w:top="1701" w:right="915" w:bottom="1701" w:left="1531" w:header="851" w:footer="1077" w:gutter="0"/>
          <w:pgNumType w:start="3"/>
          <w:cols w:space="720" w:num="1"/>
          <w:docGrid w:linePitch="312" w:charSpace="0"/>
        </w:sectPr>
      </w:pPr>
    </w:p>
    <w:p w14:paraId="5348DA08">
      <w:pPr>
        <w:pStyle w:val="29"/>
        <w:spacing w:before="0" w:beforeAutospacing="0" w:after="0" w:afterAutospacing="0" w:line="360" w:lineRule="auto"/>
        <w:jc w:val="center"/>
        <w:outlineLvl w:val="0"/>
        <w:rPr>
          <w:rFonts w:ascii="黑体" w:hAnsi="黑体" w:eastAsia="黑体"/>
          <w:snapToGrid w:val="0"/>
          <w:color w:val="auto"/>
          <w:sz w:val="30"/>
          <w:szCs w:val="30"/>
          <w:highlight w:val="none"/>
        </w:rPr>
      </w:pPr>
      <w:r>
        <w:rPr>
          <w:rFonts w:hint="eastAsia" w:ascii="黑体" w:hAnsi="黑体" w:eastAsia="黑体"/>
          <w:snapToGrid w:val="0"/>
          <w:color w:val="auto"/>
          <w:sz w:val="30"/>
          <w:szCs w:val="30"/>
          <w:highlight w:val="none"/>
        </w:rPr>
        <w:t>一、建设项目基本情况</w:t>
      </w:r>
    </w:p>
    <w:tbl>
      <w:tblPr>
        <w:tblStyle w:val="35"/>
        <w:tblW w:w="887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617"/>
        <w:gridCol w:w="797"/>
        <w:gridCol w:w="2552"/>
        <w:gridCol w:w="1367"/>
        <w:gridCol w:w="3537"/>
      </w:tblGrid>
      <w:tr w14:paraId="5719253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80" w:hRule="atLeast"/>
          <w:jc w:val="center"/>
        </w:trPr>
        <w:tc>
          <w:tcPr>
            <w:tcW w:w="1414" w:type="dxa"/>
            <w:gridSpan w:val="2"/>
            <w:tcMar>
              <w:top w:w="16" w:type="dxa"/>
              <w:left w:w="16" w:type="dxa"/>
              <w:right w:w="16" w:type="dxa"/>
            </w:tcMar>
            <w:vAlign w:val="center"/>
          </w:tcPr>
          <w:p w14:paraId="2CE13BC0">
            <w:pPr>
              <w:adjustRightInd w:val="0"/>
              <w:snapToGrid w:val="0"/>
              <w:jc w:val="center"/>
              <w:rPr>
                <w:color w:val="auto"/>
                <w:sz w:val="24"/>
                <w:highlight w:val="none"/>
              </w:rPr>
            </w:pPr>
            <w:r>
              <w:rPr>
                <w:color w:val="auto"/>
                <w:sz w:val="24"/>
                <w:highlight w:val="none"/>
              </w:rPr>
              <w:t>建设项目</w:t>
            </w:r>
          </w:p>
          <w:p w14:paraId="57BDFC3B">
            <w:pPr>
              <w:adjustRightInd w:val="0"/>
              <w:snapToGrid w:val="0"/>
              <w:jc w:val="center"/>
              <w:rPr>
                <w:color w:val="auto"/>
                <w:sz w:val="24"/>
                <w:highlight w:val="none"/>
              </w:rPr>
            </w:pPr>
            <w:r>
              <w:rPr>
                <w:color w:val="auto"/>
                <w:sz w:val="24"/>
                <w:highlight w:val="none"/>
              </w:rPr>
              <w:t>名称</w:t>
            </w:r>
          </w:p>
        </w:tc>
        <w:tc>
          <w:tcPr>
            <w:tcW w:w="7456" w:type="dxa"/>
            <w:gridSpan w:val="3"/>
            <w:vAlign w:val="center"/>
          </w:tcPr>
          <w:p w14:paraId="2E824837">
            <w:pPr>
              <w:adjustRightInd w:val="0"/>
              <w:snapToGrid w:val="0"/>
              <w:jc w:val="center"/>
              <w:rPr>
                <w:color w:val="auto"/>
                <w:sz w:val="24"/>
                <w:highlight w:val="none"/>
              </w:rPr>
            </w:pPr>
            <w:r>
              <w:rPr>
                <w:rFonts w:hint="eastAsia"/>
                <w:color w:val="auto"/>
                <w:sz w:val="24"/>
                <w:highlight w:val="none"/>
              </w:rPr>
              <w:t>净菜、预制菜产业链项目</w:t>
            </w:r>
          </w:p>
        </w:tc>
      </w:tr>
      <w:tr w14:paraId="22CA52D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80" w:hRule="atLeast"/>
          <w:jc w:val="center"/>
        </w:trPr>
        <w:tc>
          <w:tcPr>
            <w:tcW w:w="1414" w:type="dxa"/>
            <w:gridSpan w:val="2"/>
            <w:tcMar>
              <w:top w:w="16" w:type="dxa"/>
              <w:left w:w="16" w:type="dxa"/>
              <w:right w:w="16" w:type="dxa"/>
            </w:tcMar>
            <w:vAlign w:val="center"/>
          </w:tcPr>
          <w:p w14:paraId="7AB5BADE">
            <w:pPr>
              <w:adjustRightInd w:val="0"/>
              <w:snapToGrid w:val="0"/>
              <w:jc w:val="center"/>
              <w:rPr>
                <w:color w:val="auto"/>
                <w:sz w:val="24"/>
                <w:highlight w:val="none"/>
              </w:rPr>
            </w:pPr>
            <w:r>
              <w:rPr>
                <w:color w:val="auto"/>
                <w:sz w:val="24"/>
                <w:highlight w:val="none"/>
              </w:rPr>
              <w:t>项目代码</w:t>
            </w:r>
          </w:p>
        </w:tc>
        <w:tc>
          <w:tcPr>
            <w:tcW w:w="7456" w:type="dxa"/>
            <w:gridSpan w:val="3"/>
            <w:vAlign w:val="center"/>
          </w:tcPr>
          <w:p w14:paraId="28CEDB93">
            <w:pPr>
              <w:adjustRightInd w:val="0"/>
              <w:snapToGrid w:val="0"/>
              <w:jc w:val="center"/>
              <w:rPr>
                <w:color w:val="auto"/>
                <w:sz w:val="24"/>
                <w:highlight w:val="none"/>
              </w:rPr>
            </w:pPr>
            <w:r>
              <w:rPr>
                <w:rFonts w:hint="eastAsia"/>
                <w:color w:val="auto"/>
                <w:sz w:val="24"/>
                <w:highlight w:val="none"/>
              </w:rPr>
              <w:t>2412-610723-04-01-882327</w:t>
            </w:r>
          </w:p>
        </w:tc>
      </w:tr>
      <w:tr w14:paraId="4D3A21C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80" w:hRule="atLeast"/>
          <w:jc w:val="center"/>
        </w:trPr>
        <w:tc>
          <w:tcPr>
            <w:tcW w:w="1414" w:type="dxa"/>
            <w:gridSpan w:val="2"/>
            <w:tcMar>
              <w:top w:w="16" w:type="dxa"/>
              <w:left w:w="16" w:type="dxa"/>
              <w:right w:w="16" w:type="dxa"/>
            </w:tcMar>
            <w:vAlign w:val="center"/>
          </w:tcPr>
          <w:p w14:paraId="46D9FEE4">
            <w:pPr>
              <w:adjustRightInd w:val="0"/>
              <w:snapToGrid w:val="0"/>
              <w:jc w:val="center"/>
              <w:rPr>
                <w:color w:val="auto"/>
                <w:sz w:val="24"/>
                <w:highlight w:val="none"/>
              </w:rPr>
            </w:pPr>
            <w:r>
              <w:rPr>
                <w:color w:val="auto"/>
                <w:sz w:val="24"/>
                <w:highlight w:val="none"/>
              </w:rPr>
              <w:t>建设单位</w:t>
            </w:r>
          </w:p>
          <w:p w14:paraId="34144E6A">
            <w:pPr>
              <w:adjustRightInd w:val="0"/>
              <w:snapToGrid w:val="0"/>
              <w:jc w:val="center"/>
              <w:rPr>
                <w:color w:val="auto"/>
                <w:sz w:val="24"/>
                <w:highlight w:val="none"/>
              </w:rPr>
            </w:pPr>
            <w:r>
              <w:rPr>
                <w:color w:val="auto"/>
                <w:sz w:val="24"/>
                <w:highlight w:val="none"/>
              </w:rPr>
              <w:t>联系人</w:t>
            </w:r>
          </w:p>
        </w:tc>
        <w:tc>
          <w:tcPr>
            <w:tcW w:w="2552" w:type="dxa"/>
            <w:vAlign w:val="center"/>
          </w:tcPr>
          <w:p w14:paraId="0A110D55">
            <w:pPr>
              <w:adjustRightInd w:val="0"/>
              <w:snapToGrid w:val="0"/>
              <w:jc w:val="center"/>
              <w:rPr>
                <w:rFonts w:hint="eastAsia" w:eastAsia="宋体"/>
                <w:color w:val="auto"/>
                <w:sz w:val="24"/>
                <w:highlight w:val="none"/>
                <w:lang w:val="en-US" w:eastAsia="zh-CN"/>
              </w:rPr>
            </w:pPr>
            <w:r>
              <w:rPr>
                <w:rFonts w:hint="eastAsia"/>
                <w:color w:val="auto"/>
                <w:sz w:val="24"/>
                <w:highlight w:val="none"/>
              </w:rPr>
              <w:t>杨小</w:t>
            </w:r>
            <w:r>
              <w:rPr>
                <w:rFonts w:hint="eastAsia"/>
                <w:color w:val="auto"/>
                <w:sz w:val="24"/>
                <w:highlight w:val="none"/>
                <w:lang w:eastAsia="zh-CN"/>
              </w:rPr>
              <w:t>安</w:t>
            </w:r>
          </w:p>
        </w:tc>
        <w:tc>
          <w:tcPr>
            <w:tcW w:w="1367" w:type="dxa"/>
            <w:vAlign w:val="center"/>
          </w:tcPr>
          <w:p w14:paraId="4B391AAB">
            <w:pPr>
              <w:adjustRightInd w:val="0"/>
              <w:snapToGrid w:val="0"/>
              <w:jc w:val="center"/>
              <w:rPr>
                <w:color w:val="auto"/>
                <w:sz w:val="24"/>
                <w:highlight w:val="none"/>
              </w:rPr>
            </w:pPr>
            <w:r>
              <w:rPr>
                <w:color w:val="auto"/>
                <w:sz w:val="24"/>
                <w:highlight w:val="none"/>
              </w:rPr>
              <w:t>联系方式</w:t>
            </w:r>
          </w:p>
        </w:tc>
        <w:tc>
          <w:tcPr>
            <w:tcW w:w="3537" w:type="dxa"/>
            <w:vAlign w:val="center"/>
          </w:tcPr>
          <w:p w14:paraId="68C0F313">
            <w:pPr>
              <w:adjustRightInd w:val="0"/>
              <w:snapToGrid w:val="0"/>
              <w:jc w:val="center"/>
              <w:rPr>
                <w:color w:val="auto"/>
                <w:sz w:val="24"/>
                <w:highlight w:val="none"/>
              </w:rPr>
            </w:pPr>
            <w:r>
              <w:rPr>
                <w:rFonts w:hint="eastAsia"/>
                <w:color w:val="auto"/>
                <w:sz w:val="24"/>
                <w:highlight w:val="none"/>
              </w:rPr>
              <w:t>17802964588</w:t>
            </w:r>
          </w:p>
        </w:tc>
      </w:tr>
      <w:tr w14:paraId="4434D89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80" w:hRule="atLeast"/>
          <w:jc w:val="center"/>
        </w:trPr>
        <w:tc>
          <w:tcPr>
            <w:tcW w:w="1414" w:type="dxa"/>
            <w:gridSpan w:val="2"/>
            <w:tcMar>
              <w:top w:w="16" w:type="dxa"/>
              <w:left w:w="16" w:type="dxa"/>
              <w:right w:w="16" w:type="dxa"/>
            </w:tcMar>
            <w:vAlign w:val="center"/>
          </w:tcPr>
          <w:p w14:paraId="4A2DBAA3">
            <w:pPr>
              <w:adjustRightInd w:val="0"/>
              <w:snapToGrid w:val="0"/>
              <w:jc w:val="center"/>
              <w:rPr>
                <w:color w:val="auto"/>
                <w:sz w:val="24"/>
                <w:highlight w:val="none"/>
              </w:rPr>
            </w:pPr>
            <w:r>
              <w:rPr>
                <w:color w:val="auto"/>
                <w:sz w:val="24"/>
                <w:highlight w:val="none"/>
              </w:rPr>
              <w:t>建设地点</w:t>
            </w:r>
          </w:p>
        </w:tc>
        <w:tc>
          <w:tcPr>
            <w:tcW w:w="7456" w:type="dxa"/>
            <w:gridSpan w:val="3"/>
            <w:vAlign w:val="center"/>
          </w:tcPr>
          <w:p w14:paraId="575DCAAB">
            <w:pPr>
              <w:adjustRightInd w:val="0"/>
              <w:snapToGrid w:val="0"/>
              <w:jc w:val="center"/>
              <w:rPr>
                <w:color w:val="auto"/>
                <w:sz w:val="24"/>
                <w:highlight w:val="none"/>
              </w:rPr>
            </w:pPr>
            <w:r>
              <w:rPr>
                <w:rFonts w:hint="eastAsia"/>
                <w:color w:val="auto"/>
                <w:sz w:val="24"/>
                <w:highlight w:val="none"/>
              </w:rPr>
              <w:t>陕西</w:t>
            </w:r>
            <w:r>
              <w:rPr>
                <w:color w:val="auto"/>
                <w:sz w:val="24"/>
                <w:highlight w:val="none"/>
              </w:rPr>
              <w:t>省</w:t>
            </w:r>
            <w:r>
              <w:rPr>
                <w:rFonts w:hint="eastAsia"/>
                <w:color w:val="auto"/>
                <w:sz w:val="24"/>
                <w:highlight w:val="none"/>
              </w:rPr>
              <w:t>汉中市洋县龙亭镇杨湾村</w:t>
            </w:r>
          </w:p>
        </w:tc>
      </w:tr>
      <w:tr w14:paraId="36659E4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80" w:hRule="atLeast"/>
          <w:jc w:val="center"/>
        </w:trPr>
        <w:tc>
          <w:tcPr>
            <w:tcW w:w="1414" w:type="dxa"/>
            <w:gridSpan w:val="2"/>
            <w:tcMar>
              <w:top w:w="16" w:type="dxa"/>
              <w:left w:w="16" w:type="dxa"/>
              <w:right w:w="16" w:type="dxa"/>
            </w:tcMar>
            <w:vAlign w:val="center"/>
          </w:tcPr>
          <w:p w14:paraId="3A65E3DC">
            <w:pPr>
              <w:adjustRightInd w:val="0"/>
              <w:snapToGrid w:val="0"/>
              <w:jc w:val="center"/>
              <w:rPr>
                <w:color w:val="auto"/>
                <w:sz w:val="24"/>
                <w:highlight w:val="none"/>
              </w:rPr>
            </w:pPr>
            <w:r>
              <w:rPr>
                <w:color w:val="auto"/>
                <w:sz w:val="24"/>
                <w:highlight w:val="none"/>
              </w:rPr>
              <w:t>地理坐标</w:t>
            </w:r>
          </w:p>
        </w:tc>
        <w:tc>
          <w:tcPr>
            <w:tcW w:w="7456" w:type="dxa"/>
            <w:gridSpan w:val="3"/>
            <w:vAlign w:val="center"/>
          </w:tcPr>
          <w:p w14:paraId="71E341F1">
            <w:pPr>
              <w:jc w:val="center"/>
              <w:rPr>
                <w:color w:val="auto"/>
                <w:sz w:val="24"/>
                <w:highlight w:val="none"/>
              </w:rPr>
            </w:pPr>
            <w:r>
              <w:rPr>
                <w:rFonts w:hint="eastAsia"/>
                <w:color w:val="auto"/>
                <w:sz w:val="24"/>
                <w:highlight w:val="none"/>
              </w:rPr>
              <w:t>（ 107 度 37 分 25.763秒， 33 度 12 分 36.832秒）</w:t>
            </w:r>
          </w:p>
        </w:tc>
      </w:tr>
      <w:tr w14:paraId="269DF65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80" w:hRule="atLeast"/>
          <w:jc w:val="center"/>
        </w:trPr>
        <w:tc>
          <w:tcPr>
            <w:tcW w:w="1414" w:type="dxa"/>
            <w:gridSpan w:val="2"/>
            <w:tcMar>
              <w:top w:w="16" w:type="dxa"/>
              <w:left w:w="16" w:type="dxa"/>
              <w:right w:w="16" w:type="dxa"/>
            </w:tcMar>
            <w:vAlign w:val="center"/>
          </w:tcPr>
          <w:p w14:paraId="65D40F23">
            <w:pPr>
              <w:adjustRightInd w:val="0"/>
              <w:snapToGrid w:val="0"/>
              <w:jc w:val="center"/>
              <w:rPr>
                <w:color w:val="auto"/>
                <w:sz w:val="24"/>
                <w:highlight w:val="none"/>
              </w:rPr>
            </w:pPr>
            <w:r>
              <w:rPr>
                <w:color w:val="auto"/>
                <w:sz w:val="24"/>
                <w:highlight w:val="none"/>
              </w:rPr>
              <w:t>国民经济</w:t>
            </w:r>
          </w:p>
          <w:p w14:paraId="72571A3F">
            <w:pPr>
              <w:adjustRightInd w:val="0"/>
              <w:snapToGrid w:val="0"/>
              <w:jc w:val="center"/>
              <w:rPr>
                <w:color w:val="auto"/>
                <w:sz w:val="24"/>
                <w:highlight w:val="none"/>
              </w:rPr>
            </w:pPr>
            <w:r>
              <w:rPr>
                <w:color w:val="auto"/>
                <w:sz w:val="24"/>
                <w:highlight w:val="none"/>
              </w:rPr>
              <w:t>行业类别</w:t>
            </w:r>
          </w:p>
        </w:tc>
        <w:tc>
          <w:tcPr>
            <w:tcW w:w="2552" w:type="dxa"/>
            <w:vAlign w:val="center"/>
          </w:tcPr>
          <w:p w14:paraId="799BE953">
            <w:pPr>
              <w:adjustRightInd w:val="0"/>
              <w:snapToGrid w:val="0"/>
              <w:jc w:val="both"/>
              <w:rPr>
                <w:color w:val="auto"/>
                <w:highlight w:val="none"/>
              </w:rPr>
            </w:pPr>
            <w:r>
              <w:rPr>
                <w:color w:val="auto"/>
                <w:sz w:val="24"/>
                <w:highlight w:val="none"/>
              </w:rPr>
              <w:t>C</w:t>
            </w:r>
            <w:r>
              <w:rPr>
                <w:rFonts w:hint="eastAsia"/>
                <w:color w:val="auto"/>
                <w:sz w:val="24"/>
                <w:highlight w:val="none"/>
                <w:lang w:val="en-US" w:eastAsia="zh-CN"/>
              </w:rPr>
              <w:t>1439</w:t>
            </w:r>
            <w:r>
              <w:rPr>
                <w:rFonts w:hint="eastAsia"/>
                <w:color w:val="auto"/>
                <w:sz w:val="24"/>
                <w:highlight w:val="none"/>
                <w:lang w:eastAsia="zh-CN"/>
              </w:rPr>
              <w:t>其他方便食品制造</w:t>
            </w:r>
          </w:p>
        </w:tc>
        <w:tc>
          <w:tcPr>
            <w:tcW w:w="1367" w:type="dxa"/>
            <w:vAlign w:val="center"/>
          </w:tcPr>
          <w:p w14:paraId="19865A93">
            <w:pPr>
              <w:adjustRightInd w:val="0"/>
              <w:snapToGrid w:val="0"/>
              <w:jc w:val="center"/>
              <w:rPr>
                <w:color w:val="auto"/>
                <w:sz w:val="24"/>
                <w:highlight w:val="none"/>
              </w:rPr>
            </w:pPr>
            <w:r>
              <w:rPr>
                <w:color w:val="auto"/>
                <w:sz w:val="24"/>
                <w:highlight w:val="none"/>
              </w:rPr>
              <w:t>建设项目</w:t>
            </w:r>
          </w:p>
          <w:p w14:paraId="59EB6962">
            <w:pPr>
              <w:adjustRightInd w:val="0"/>
              <w:snapToGrid w:val="0"/>
              <w:jc w:val="center"/>
              <w:rPr>
                <w:color w:val="auto"/>
                <w:sz w:val="24"/>
                <w:highlight w:val="none"/>
              </w:rPr>
            </w:pPr>
            <w:r>
              <w:rPr>
                <w:color w:val="auto"/>
                <w:sz w:val="24"/>
                <w:highlight w:val="none"/>
              </w:rPr>
              <w:t>行业类别</w:t>
            </w:r>
          </w:p>
        </w:tc>
        <w:tc>
          <w:tcPr>
            <w:tcW w:w="3537" w:type="dxa"/>
            <w:vAlign w:val="center"/>
          </w:tcPr>
          <w:p w14:paraId="26391707">
            <w:pPr>
              <w:adjustRightInd w:val="0"/>
              <w:snapToGrid w:val="0"/>
              <w:jc w:val="both"/>
              <w:rPr>
                <w:rFonts w:hint="default" w:eastAsia="宋体"/>
                <w:color w:val="auto"/>
                <w:kern w:val="21"/>
                <w:sz w:val="24"/>
                <w:highlight w:val="none"/>
                <w:lang w:val="en-US" w:eastAsia="zh-CN"/>
              </w:rPr>
            </w:pPr>
            <w:r>
              <w:rPr>
                <w:rFonts w:hint="eastAsia"/>
                <w:color w:val="auto"/>
                <w:kern w:val="21"/>
                <w:sz w:val="24"/>
                <w:highlight w:val="none"/>
                <w:lang w:eastAsia="zh-CN"/>
              </w:rPr>
              <w:t>十一</w:t>
            </w:r>
            <w:r>
              <w:rPr>
                <w:rFonts w:hint="eastAsia"/>
                <w:color w:val="auto"/>
                <w:kern w:val="21"/>
                <w:sz w:val="24"/>
                <w:highlight w:val="none"/>
              </w:rPr>
              <w:t>、</w:t>
            </w:r>
            <w:r>
              <w:rPr>
                <w:rFonts w:hint="eastAsia"/>
                <w:color w:val="auto"/>
                <w:kern w:val="21"/>
                <w:sz w:val="24"/>
                <w:highlight w:val="none"/>
                <w:lang w:eastAsia="zh-CN"/>
              </w:rPr>
              <w:t>食品制造</w:t>
            </w:r>
            <w:r>
              <w:rPr>
                <w:rFonts w:hint="eastAsia"/>
                <w:color w:val="auto"/>
                <w:kern w:val="21"/>
                <w:sz w:val="24"/>
                <w:highlight w:val="none"/>
              </w:rPr>
              <w:t>业</w:t>
            </w:r>
            <w:r>
              <w:rPr>
                <w:rFonts w:hint="eastAsia"/>
                <w:color w:val="auto"/>
                <w:kern w:val="21"/>
                <w:sz w:val="24"/>
                <w:highlight w:val="none"/>
                <w:lang w:val="en-US" w:eastAsia="zh-CN"/>
              </w:rPr>
              <w:t>14</w:t>
            </w:r>
          </w:p>
          <w:p w14:paraId="6D73A88C">
            <w:pPr>
              <w:adjustRightInd w:val="0"/>
              <w:snapToGrid w:val="0"/>
              <w:jc w:val="both"/>
              <w:rPr>
                <w:color w:val="auto"/>
                <w:kern w:val="21"/>
                <w:sz w:val="24"/>
                <w:highlight w:val="none"/>
              </w:rPr>
            </w:pPr>
            <w:r>
              <w:rPr>
                <w:rFonts w:hint="eastAsia"/>
                <w:color w:val="auto"/>
                <w:kern w:val="21"/>
                <w:sz w:val="24"/>
                <w:highlight w:val="none"/>
                <w:lang w:val="en-US" w:eastAsia="zh-CN"/>
              </w:rPr>
              <w:t>21.</w:t>
            </w:r>
            <w:r>
              <w:rPr>
                <w:rFonts w:hint="eastAsia"/>
                <w:color w:val="auto"/>
                <w:kern w:val="21"/>
                <w:sz w:val="24"/>
                <w:highlight w:val="none"/>
                <w:lang w:eastAsia="zh-CN"/>
              </w:rPr>
              <w:t>方便食品制造</w:t>
            </w:r>
            <w:r>
              <w:rPr>
                <w:rFonts w:hint="eastAsia"/>
                <w:color w:val="auto"/>
                <w:kern w:val="21"/>
                <w:sz w:val="24"/>
                <w:highlight w:val="none"/>
                <w:lang w:val="en-US" w:eastAsia="zh-CN"/>
              </w:rPr>
              <w:t>143*—除单独分装的外</w:t>
            </w:r>
          </w:p>
        </w:tc>
      </w:tr>
      <w:tr w14:paraId="46868B1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80" w:hRule="atLeast"/>
          <w:jc w:val="center"/>
        </w:trPr>
        <w:tc>
          <w:tcPr>
            <w:tcW w:w="1414" w:type="dxa"/>
            <w:gridSpan w:val="2"/>
            <w:tcMar>
              <w:top w:w="16" w:type="dxa"/>
              <w:left w:w="16" w:type="dxa"/>
              <w:right w:w="16" w:type="dxa"/>
            </w:tcMar>
            <w:vAlign w:val="center"/>
          </w:tcPr>
          <w:p w14:paraId="1500C732">
            <w:pPr>
              <w:adjustRightInd w:val="0"/>
              <w:snapToGrid w:val="0"/>
              <w:jc w:val="center"/>
              <w:rPr>
                <w:color w:val="auto"/>
                <w:sz w:val="24"/>
                <w:highlight w:val="none"/>
              </w:rPr>
            </w:pPr>
            <w:r>
              <w:rPr>
                <w:color w:val="auto"/>
                <w:sz w:val="24"/>
                <w:highlight w:val="none"/>
              </w:rPr>
              <w:t>建设性质</w:t>
            </w:r>
          </w:p>
        </w:tc>
        <w:tc>
          <w:tcPr>
            <w:tcW w:w="2552" w:type="dxa"/>
            <w:vAlign w:val="center"/>
          </w:tcPr>
          <w:p w14:paraId="59E67D3D">
            <w:pPr>
              <w:jc w:val="left"/>
              <w:rPr>
                <w:color w:val="auto"/>
                <w:sz w:val="24"/>
                <w:highlight w:val="none"/>
              </w:rPr>
            </w:pPr>
            <w:r>
              <w:rPr>
                <w:rFonts w:eastAsia="Wingdings 2"/>
                <w:color w:val="auto"/>
                <w:szCs w:val="21"/>
                <w:highlight w:val="none"/>
              </w:rPr>
              <w:sym w:font="Wingdings 2" w:char="0052"/>
            </w:r>
            <w:r>
              <w:rPr>
                <w:color w:val="auto"/>
                <w:sz w:val="24"/>
                <w:highlight w:val="none"/>
              </w:rPr>
              <w:t>新建（迁建）</w:t>
            </w:r>
          </w:p>
          <w:p w14:paraId="7A5F7036">
            <w:pPr>
              <w:jc w:val="left"/>
              <w:rPr>
                <w:color w:val="auto"/>
                <w:sz w:val="24"/>
                <w:highlight w:val="none"/>
              </w:rPr>
            </w:pPr>
            <w:r>
              <w:rPr>
                <w:color w:val="auto"/>
                <w:sz w:val="24"/>
                <w:highlight w:val="none"/>
              </w:rPr>
              <w:sym w:font="Wingdings 2" w:char="00A3"/>
            </w:r>
            <w:r>
              <w:rPr>
                <w:color w:val="auto"/>
                <w:sz w:val="24"/>
                <w:highlight w:val="none"/>
              </w:rPr>
              <w:t>改建</w:t>
            </w:r>
          </w:p>
          <w:p w14:paraId="3A60CCC4">
            <w:pPr>
              <w:jc w:val="left"/>
              <w:rPr>
                <w:color w:val="auto"/>
                <w:sz w:val="24"/>
                <w:highlight w:val="none"/>
              </w:rPr>
            </w:pPr>
            <w:r>
              <w:rPr>
                <w:color w:val="auto"/>
                <w:sz w:val="24"/>
                <w:highlight w:val="none"/>
              </w:rPr>
              <w:sym w:font="Wingdings 2" w:char="00A3"/>
            </w:r>
            <w:r>
              <w:rPr>
                <w:color w:val="auto"/>
                <w:sz w:val="24"/>
                <w:highlight w:val="none"/>
              </w:rPr>
              <w:t>扩建</w:t>
            </w:r>
          </w:p>
          <w:p w14:paraId="2E9C4C80">
            <w:pPr>
              <w:jc w:val="left"/>
              <w:rPr>
                <w:color w:val="auto"/>
                <w:sz w:val="24"/>
                <w:highlight w:val="none"/>
              </w:rPr>
            </w:pPr>
            <w:r>
              <w:rPr>
                <w:color w:val="auto"/>
                <w:sz w:val="24"/>
                <w:highlight w:val="none"/>
              </w:rPr>
              <w:sym w:font="Wingdings 2" w:char="00A3"/>
            </w:r>
            <w:r>
              <w:rPr>
                <w:color w:val="auto"/>
                <w:sz w:val="24"/>
                <w:highlight w:val="none"/>
              </w:rPr>
              <w:t>技术改造</w:t>
            </w:r>
          </w:p>
        </w:tc>
        <w:tc>
          <w:tcPr>
            <w:tcW w:w="1367" w:type="dxa"/>
            <w:vAlign w:val="center"/>
          </w:tcPr>
          <w:p w14:paraId="3D2FA769">
            <w:pPr>
              <w:adjustRightInd w:val="0"/>
              <w:snapToGrid w:val="0"/>
              <w:jc w:val="center"/>
              <w:rPr>
                <w:color w:val="auto"/>
                <w:sz w:val="24"/>
                <w:highlight w:val="none"/>
              </w:rPr>
            </w:pPr>
            <w:r>
              <w:rPr>
                <w:color w:val="auto"/>
                <w:sz w:val="24"/>
                <w:highlight w:val="none"/>
              </w:rPr>
              <w:t>建设项目</w:t>
            </w:r>
          </w:p>
          <w:p w14:paraId="683649F9">
            <w:pPr>
              <w:adjustRightInd w:val="0"/>
              <w:snapToGrid w:val="0"/>
              <w:jc w:val="center"/>
              <w:rPr>
                <w:color w:val="auto"/>
                <w:sz w:val="24"/>
                <w:highlight w:val="none"/>
              </w:rPr>
            </w:pPr>
            <w:r>
              <w:rPr>
                <w:color w:val="auto"/>
                <w:sz w:val="24"/>
                <w:highlight w:val="none"/>
              </w:rPr>
              <w:t>申报情形</w:t>
            </w:r>
          </w:p>
        </w:tc>
        <w:tc>
          <w:tcPr>
            <w:tcW w:w="3537" w:type="dxa"/>
            <w:vAlign w:val="center"/>
          </w:tcPr>
          <w:p w14:paraId="05C0C5B4">
            <w:pPr>
              <w:jc w:val="left"/>
              <w:rPr>
                <w:color w:val="auto"/>
                <w:sz w:val="24"/>
                <w:highlight w:val="none"/>
              </w:rPr>
            </w:pPr>
            <w:r>
              <w:rPr>
                <w:rFonts w:eastAsia="Wingdings 2"/>
                <w:color w:val="auto"/>
                <w:szCs w:val="21"/>
                <w:highlight w:val="none"/>
              </w:rPr>
              <w:sym w:font="Wingdings 2" w:char="0052"/>
            </w:r>
            <w:r>
              <w:rPr>
                <w:color w:val="auto"/>
                <w:sz w:val="24"/>
                <w:highlight w:val="none"/>
              </w:rPr>
              <w:t>首次申报项目</w:t>
            </w:r>
          </w:p>
          <w:p w14:paraId="4F6D419D">
            <w:pPr>
              <w:jc w:val="left"/>
              <w:rPr>
                <w:color w:val="auto"/>
                <w:sz w:val="24"/>
                <w:highlight w:val="none"/>
              </w:rPr>
            </w:pPr>
            <w:r>
              <w:rPr>
                <w:color w:val="auto"/>
                <w:sz w:val="24"/>
                <w:highlight w:val="none"/>
              </w:rPr>
              <w:sym w:font="Wingdings 2" w:char="00A3"/>
            </w:r>
            <w:r>
              <w:rPr>
                <w:color w:val="auto"/>
                <w:sz w:val="24"/>
                <w:highlight w:val="none"/>
              </w:rPr>
              <w:t>不予批准后再次申报项目</w:t>
            </w:r>
          </w:p>
          <w:p w14:paraId="2D7AF8DB">
            <w:pPr>
              <w:jc w:val="left"/>
              <w:rPr>
                <w:color w:val="auto"/>
                <w:sz w:val="24"/>
                <w:highlight w:val="none"/>
              </w:rPr>
            </w:pPr>
            <w:r>
              <w:rPr>
                <w:color w:val="auto"/>
                <w:sz w:val="24"/>
                <w:highlight w:val="none"/>
              </w:rPr>
              <w:sym w:font="Wingdings 2" w:char="00A3"/>
            </w:r>
            <w:r>
              <w:rPr>
                <w:color w:val="auto"/>
                <w:sz w:val="24"/>
                <w:highlight w:val="none"/>
              </w:rPr>
              <w:t>超五年重新审核项目</w:t>
            </w:r>
          </w:p>
          <w:p w14:paraId="61A9B4B6">
            <w:pPr>
              <w:jc w:val="left"/>
              <w:rPr>
                <w:color w:val="auto"/>
                <w:sz w:val="24"/>
                <w:highlight w:val="none"/>
              </w:rPr>
            </w:pPr>
            <w:r>
              <w:rPr>
                <w:color w:val="auto"/>
                <w:sz w:val="24"/>
                <w:highlight w:val="none"/>
              </w:rPr>
              <w:sym w:font="Wingdings 2" w:char="00A3"/>
            </w:r>
            <w:r>
              <w:rPr>
                <w:color w:val="auto"/>
                <w:sz w:val="24"/>
                <w:highlight w:val="none"/>
              </w:rPr>
              <w:t>重大变动重新报批项目</w:t>
            </w:r>
          </w:p>
        </w:tc>
      </w:tr>
      <w:tr w14:paraId="512949D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80" w:hRule="atLeast"/>
          <w:jc w:val="center"/>
        </w:trPr>
        <w:tc>
          <w:tcPr>
            <w:tcW w:w="1414" w:type="dxa"/>
            <w:gridSpan w:val="2"/>
            <w:tcMar>
              <w:top w:w="16" w:type="dxa"/>
              <w:left w:w="16" w:type="dxa"/>
              <w:right w:w="16" w:type="dxa"/>
            </w:tcMar>
            <w:vAlign w:val="center"/>
          </w:tcPr>
          <w:p w14:paraId="32923364">
            <w:pPr>
              <w:adjustRightInd w:val="0"/>
              <w:snapToGrid w:val="0"/>
              <w:jc w:val="center"/>
              <w:rPr>
                <w:color w:val="auto"/>
                <w:sz w:val="24"/>
                <w:highlight w:val="none"/>
              </w:rPr>
            </w:pPr>
            <w:r>
              <w:rPr>
                <w:color w:val="auto"/>
                <w:sz w:val="24"/>
                <w:highlight w:val="none"/>
              </w:rPr>
              <w:t>项目审批（核准/备案）部门（选填）</w:t>
            </w:r>
          </w:p>
        </w:tc>
        <w:tc>
          <w:tcPr>
            <w:tcW w:w="2552" w:type="dxa"/>
            <w:vAlign w:val="center"/>
          </w:tcPr>
          <w:p w14:paraId="2DCA54DA">
            <w:pPr>
              <w:adjustRightInd w:val="0"/>
              <w:snapToGrid w:val="0"/>
              <w:jc w:val="center"/>
              <w:rPr>
                <w:color w:val="auto"/>
                <w:kern w:val="0"/>
                <w:sz w:val="24"/>
                <w:highlight w:val="none"/>
              </w:rPr>
            </w:pPr>
            <w:r>
              <w:rPr>
                <w:rFonts w:hint="eastAsia"/>
                <w:color w:val="auto"/>
                <w:kern w:val="0"/>
                <w:sz w:val="24"/>
                <w:highlight w:val="none"/>
              </w:rPr>
              <w:t>洋县行政审批</w:t>
            </w:r>
          </w:p>
          <w:p w14:paraId="4625FAA6">
            <w:pPr>
              <w:adjustRightInd w:val="0"/>
              <w:snapToGrid w:val="0"/>
              <w:jc w:val="center"/>
              <w:rPr>
                <w:color w:val="auto"/>
                <w:sz w:val="24"/>
                <w:highlight w:val="none"/>
              </w:rPr>
            </w:pPr>
            <w:r>
              <w:rPr>
                <w:rFonts w:hint="eastAsia"/>
                <w:color w:val="auto"/>
                <w:kern w:val="0"/>
                <w:sz w:val="24"/>
                <w:highlight w:val="none"/>
              </w:rPr>
              <w:t>服务局</w:t>
            </w:r>
          </w:p>
        </w:tc>
        <w:tc>
          <w:tcPr>
            <w:tcW w:w="1367" w:type="dxa"/>
            <w:vAlign w:val="center"/>
          </w:tcPr>
          <w:p w14:paraId="3A0D88C6">
            <w:pPr>
              <w:adjustRightInd w:val="0"/>
              <w:snapToGrid w:val="0"/>
              <w:jc w:val="center"/>
              <w:rPr>
                <w:color w:val="auto"/>
                <w:sz w:val="24"/>
                <w:highlight w:val="none"/>
              </w:rPr>
            </w:pPr>
            <w:r>
              <w:rPr>
                <w:color w:val="auto"/>
                <w:sz w:val="24"/>
                <w:highlight w:val="none"/>
              </w:rPr>
              <w:t>项目审批（核准/备案）文号（选填）</w:t>
            </w:r>
          </w:p>
        </w:tc>
        <w:tc>
          <w:tcPr>
            <w:tcW w:w="3537" w:type="dxa"/>
            <w:vAlign w:val="center"/>
          </w:tcPr>
          <w:p w14:paraId="3444DEEF">
            <w:pPr>
              <w:adjustRightInd w:val="0"/>
              <w:snapToGrid w:val="0"/>
              <w:jc w:val="center"/>
              <w:rPr>
                <w:color w:val="auto"/>
                <w:sz w:val="24"/>
                <w:highlight w:val="none"/>
              </w:rPr>
            </w:pPr>
            <w:r>
              <w:rPr>
                <w:rFonts w:hint="eastAsia"/>
                <w:color w:val="auto"/>
                <w:sz w:val="24"/>
                <w:highlight w:val="none"/>
              </w:rPr>
              <w:t>2412-610723-04-01-882327</w:t>
            </w:r>
          </w:p>
        </w:tc>
      </w:tr>
      <w:tr w14:paraId="22A5D4D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80" w:hRule="atLeast"/>
          <w:jc w:val="center"/>
        </w:trPr>
        <w:tc>
          <w:tcPr>
            <w:tcW w:w="1414" w:type="dxa"/>
            <w:gridSpan w:val="2"/>
            <w:tcMar>
              <w:top w:w="16" w:type="dxa"/>
              <w:left w:w="16" w:type="dxa"/>
              <w:right w:w="16" w:type="dxa"/>
            </w:tcMar>
            <w:vAlign w:val="center"/>
          </w:tcPr>
          <w:p w14:paraId="3802C733">
            <w:pPr>
              <w:adjustRightInd w:val="0"/>
              <w:snapToGrid w:val="0"/>
              <w:jc w:val="center"/>
              <w:rPr>
                <w:color w:val="auto"/>
                <w:sz w:val="24"/>
                <w:highlight w:val="none"/>
              </w:rPr>
            </w:pPr>
            <w:r>
              <w:rPr>
                <w:color w:val="auto"/>
                <w:sz w:val="24"/>
                <w:highlight w:val="none"/>
              </w:rPr>
              <w:t>总投资</w:t>
            </w:r>
          </w:p>
          <w:p w14:paraId="5DA0C04C">
            <w:pPr>
              <w:adjustRightInd w:val="0"/>
              <w:snapToGrid w:val="0"/>
              <w:jc w:val="center"/>
              <w:rPr>
                <w:color w:val="auto"/>
                <w:sz w:val="24"/>
                <w:highlight w:val="none"/>
              </w:rPr>
            </w:pPr>
            <w:r>
              <w:rPr>
                <w:color w:val="auto"/>
                <w:sz w:val="24"/>
                <w:highlight w:val="none"/>
              </w:rPr>
              <w:t>（万元）</w:t>
            </w:r>
          </w:p>
        </w:tc>
        <w:tc>
          <w:tcPr>
            <w:tcW w:w="2552" w:type="dxa"/>
            <w:vAlign w:val="center"/>
          </w:tcPr>
          <w:p w14:paraId="7AFE1C77">
            <w:pPr>
              <w:adjustRightInd w:val="0"/>
              <w:snapToGrid w:val="0"/>
              <w:jc w:val="center"/>
              <w:rPr>
                <w:color w:val="auto"/>
                <w:sz w:val="24"/>
                <w:highlight w:val="none"/>
              </w:rPr>
            </w:pPr>
            <w:r>
              <w:rPr>
                <w:rFonts w:hint="eastAsia"/>
                <w:color w:val="auto"/>
                <w:sz w:val="24"/>
                <w:highlight w:val="none"/>
              </w:rPr>
              <w:t>1800</w:t>
            </w:r>
          </w:p>
        </w:tc>
        <w:tc>
          <w:tcPr>
            <w:tcW w:w="1367" w:type="dxa"/>
            <w:tcMar>
              <w:top w:w="16" w:type="dxa"/>
              <w:left w:w="16" w:type="dxa"/>
              <w:right w:w="16" w:type="dxa"/>
            </w:tcMar>
            <w:vAlign w:val="center"/>
          </w:tcPr>
          <w:p w14:paraId="019700EA">
            <w:pPr>
              <w:adjustRightInd w:val="0"/>
              <w:snapToGrid w:val="0"/>
              <w:jc w:val="center"/>
              <w:rPr>
                <w:color w:val="auto"/>
                <w:sz w:val="24"/>
                <w:highlight w:val="none"/>
              </w:rPr>
            </w:pPr>
            <w:r>
              <w:rPr>
                <w:color w:val="auto"/>
                <w:sz w:val="24"/>
                <w:highlight w:val="none"/>
              </w:rPr>
              <w:t>环保投资</w:t>
            </w:r>
          </w:p>
          <w:p w14:paraId="190AB1E7">
            <w:pPr>
              <w:adjustRightInd w:val="0"/>
              <w:snapToGrid w:val="0"/>
              <w:jc w:val="center"/>
              <w:rPr>
                <w:color w:val="auto"/>
                <w:sz w:val="24"/>
                <w:highlight w:val="none"/>
              </w:rPr>
            </w:pPr>
            <w:r>
              <w:rPr>
                <w:color w:val="auto"/>
                <w:sz w:val="24"/>
                <w:highlight w:val="none"/>
              </w:rPr>
              <w:t>（万元）</w:t>
            </w:r>
          </w:p>
        </w:tc>
        <w:tc>
          <w:tcPr>
            <w:tcW w:w="3537" w:type="dxa"/>
            <w:vAlign w:val="center"/>
          </w:tcPr>
          <w:p w14:paraId="4A57BACB">
            <w:pPr>
              <w:adjustRightInd w:val="0"/>
              <w:snapToGrid w:val="0"/>
              <w:jc w:val="center"/>
              <w:rPr>
                <w:color w:val="auto"/>
                <w:sz w:val="24"/>
                <w:highlight w:val="none"/>
              </w:rPr>
            </w:pPr>
            <w:r>
              <w:rPr>
                <w:rFonts w:hint="eastAsia"/>
                <w:color w:val="auto"/>
                <w:sz w:val="24"/>
                <w:highlight w:val="none"/>
              </w:rPr>
              <w:t>40</w:t>
            </w:r>
          </w:p>
        </w:tc>
      </w:tr>
      <w:tr w14:paraId="09E6947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80" w:hRule="atLeast"/>
          <w:jc w:val="center"/>
        </w:trPr>
        <w:tc>
          <w:tcPr>
            <w:tcW w:w="1414" w:type="dxa"/>
            <w:gridSpan w:val="2"/>
            <w:tcMar>
              <w:top w:w="16" w:type="dxa"/>
              <w:left w:w="16" w:type="dxa"/>
              <w:right w:w="16" w:type="dxa"/>
            </w:tcMar>
            <w:vAlign w:val="center"/>
          </w:tcPr>
          <w:p w14:paraId="4EE37BEC">
            <w:pPr>
              <w:adjustRightInd w:val="0"/>
              <w:snapToGrid w:val="0"/>
              <w:jc w:val="center"/>
              <w:rPr>
                <w:color w:val="auto"/>
                <w:sz w:val="24"/>
                <w:highlight w:val="none"/>
              </w:rPr>
            </w:pPr>
            <w:r>
              <w:rPr>
                <w:color w:val="auto"/>
                <w:sz w:val="24"/>
                <w:highlight w:val="none"/>
              </w:rPr>
              <w:t>环保投资占比（%）</w:t>
            </w:r>
          </w:p>
        </w:tc>
        <w:tc>
          <w:tcPr>
            <w:tcW w:w="2552" w:type="dxa"/>
            <w:vAlign w:val="center"/>
          </w:tcPr>
          <w:p w14:paraId="0815E694">
            <w:pPr>
              <w:adjustRightInd w:val="0"/>
              <w:snapToGrid w:val="0"/>
              <w:jc w:val="center"/>
              <w:rPr>
                <w:color w:val="auto"/>
                <w:sz w:val="24"/>
                <w:highlight w:val="none"/>
              </w:rPr>
            </w:pPr>
            <w:r>
              <w:rPr>
                <w:rFonts w:hint="eastAsia"/>
                <w:color w:val="auto"/>
                <w:sz w:val="24"/>
                <w:highlight w:val="none"/>
              </w:rPr>
              <w:t>2.22</w:t>
            </w:r>
          </w:p>
        </w:tc>
        <w:tc>
          <w:tcPr>
            <w:tcW w:w="1367" w:type="dxa"/>
            <w:tcMar>
              <w:top w:w="16" w:type="dxa"/>
              <w:left w:w="16" w:type="dxa"/>
              <w:right w:w="16" w:type="dxa"/>
            </w:tcMar>
            <w:vAlign w:val="center"/>
          </w:tcPr>
          <w:p w14:paraId="4B3B6713">
            <w:pPr>
              <w:adjustRightInd w:val="0"/>
              <w:snapToGrid w:val="0"/>
              <w:jc w:val="center"/>
              <w:rPr>
                <w:color w:val="auto"/>
                <w:sz w:val="24"/>
                <w:highlight w:val="none"/>
              </w:rPr>
            </w:pPr>
            <w:r>
              <w:rPr>
                <w:color w:val="auto"/>
                <w:sz w:val="24"/>
                <w:highlight w:val="none"/>
              </w:rPr>
              <w:t>施工工期</w:t>
            </w:r>
          </w:p>
        </w:tc>
        <w:tc>
          <w:tcPr>
            <w:tcW w:w="3537" w:type="dxa"/>
            <w:vAlign w:val="center"/>
          </w:tcPr>
          <w:p w14:paraId="40EE1D4B">
            <w:pPr>
              <w:adjustRightInd w:val="0"/>
              <w:snapToGrid w:val="0"/>
              <w:jc w:val="center"/>
              <w:rPr>
                <w:color w:val="auto"/>
                <w:sz w:val="24"/>
                <w:highlight w:val="none"/>
              </w:rPr>
            </w:pPr>
            <w:r>
              <w:rPr>
                <w:rFonts w:hint="eastAsia"/>
                <w:color w:val="auto"/>
                <w:sz w:val="24"/>
                <w:highlight w:val="none"/>
              </w:rPr>
              <w:t>3个月</w:t>
            </w:r>
          </w:p>
        </w:tc>
      </w:tr>
      <w:tr w14:paraId="0452651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80" w:hRule="atLeast"/>
          <w:jc w:val="center"/>
        </w:trPr>
        <w:tc>
          <w:tcPr>
            <w:tcW w:w="1414" w:type="dxa"/>
            <w:gridSpan w:val="2"/>
            <w:tcMar>
              <w:top w:w="16" w:type="dxa"/>
              <w:left w:w="16" w:type="dxa"/>
              <w:right w:w="16" w:type="dxa"/>
            </w:tcMar>
            <w:vAlign w:val="center"/>
          </w:tcPr>
          <w:p w14:paraId="6DDAB1B5">
            <w:pPr>
              <w:adjustRightInd w:val="0"/>
              <w:snapToGrid w:val="0"/>
              <w:jc w:val="center"/>
              <w:rPr>
                <w:color w:val="auto"/>
                <w:sz w:val="24"/>
                <w:highlight w:val="none"/>
              </w:rPr>
            </w:pPr>
            <w:r>
              <w:rPr>
                <w:color w:val="auto"/>
                <w:sz w:val="24"/>
                <w:highlight w:val="none"/>
              </w:rPr>
              <w:t>是否开工</w:t>
            </w:r>
          </w:p>
          <w:p w14:paraId="79E05F17">
            <w:pPr>
              <w:adjustRightInd w:val="0"/>
              <w:snapToGrid w:val="0"/>
              <w:jc w:val="center"/>
              <w:rPr>
                <w:color w:val="auto"/>
                <w:sz w:val="24"/>
                <w:highlight w:val="none"/>
              </w:rPr>
            </w:pPr>
            <w:r>
              <w:rPr>
                <w:color w:val="auto"/>
                <w:sz w:val="24"/>
                <w:highlight w:val="none"/>
              </w:rPr>
              <w:t>建设</w:t>
            </w:r>
          </w:p>
        </w:tc>
        <w:tc>
          <w:tcPr>
            <w:tcW w:w="2552" w:type="dxa"/>
            <w:vAlign w:val="center"/>
          </w:tcPr>
          <w:p w14:paraId="2FACFCC1">
            <w:pPr>
              <w:adjustRightInd w:val="0"/>
              <w:snapToGrid w:val="0"/>
              <w:rPr>
                <w:color w:val="auto"/>
                <w:sz w:val="24"/>
                <w:highlight w:val="none"/>
              </w:rPr>
            </w:pPr>
            <w:r>
              <w:rPr>
                <w:rFonts w:eastAsia="Wingdings 2"/>
                <w:color w:val="auto"/>
                <w:szCs w:val="21"/>
                <w:highlight w:val="none"/>
              </w:rPr>
              <w:sym w:font="Wingdings 2" w:char="00A3"/>
            </w:r>
            <w:r>
              <w:rPr>
                <w:color w:val="auto"/>
                <w:sz w:val="24"/>
                <w:highlight w:val="none"/>
              </w:rPr>
              <w:t>否</w:t>
            </w:r>
          </w:p>
          <w:p w14:paraId="1A693449">
            <w:pPr>
              <w:adjustRightInd w:val="0"/>
              <w:snapToGrid w:val="0"/>
              <w:rPr>
                <w:color w:val="auto"/>
                <w:sz w:val="24"/>
                <w:highlight w:val="none"/>
              </w:rPr>
            </w:pPr>
            <w:r>
              <w:rPr>
                <w:color w:val="auto"/>
                <w:sz w:val="24"/>
                <w:highlight w:val="none"/>
              </w:rPr>
              <w:sym w:font="Wingdings 2" w:char="0052"/>
            </w:r>
            <w:r>
              <w:rPr>
                <w:color w:val="auto"/>
                <w:sz w:val="24"/>
                <w:highlight w:val="none"/>
              </w:rPr>
              <w:t>是：</w:t>
            </w:r>
            <w:r>
              <w:rPr>
                <w:rFonts w:hint="eastAsia"/>
                <w:color w:val="auto"/>
                <w:sz w:val="24"/>
                <w:highlight w:val="none"/>
                <w:u w:val="single"/>
              </w:rPr>
              <w:t>经现场调查，厂区地面已完成硬化，生活区、生产区和包装区等主体已搭建完成，目前未</w:t>
            </w:r>
            <w:r>
              <w:rPr>
                <w:rFonts w:hint="eastAsia"/>
                <w:color w:val="auto"/>
                <w:sz w:val="24"/>
                <w:szCs w:val="24"/>
                <w:highlight w:val="none"/>
                <w:u w:val="single"/>
                <w:lang w:eastAsia="zh-CN"/>
              </w:rPr>
              <w:t>受到</w:t>
            </w:r>
            <w:r>
              <w:rPr>
                <w:rFonts w:hint="eastAsia"/>
                <w:color w:val="auto"/>
                <w:sz w:val="24"/>
                <w:szCs w:val="24"/>
                <w:highlight w:val="none"/>
                <w:u w:val="single"/>
              </w:rPr>
              <w:t>主管部门处罚</w:t>
            </w:r>
            <w:r>
              <w:rPr>
                <w:rFonts w:hint="eastAsia"/>
                <w:color w:val="auto"/>
                <w:sz w:val="24"/>
                <w:highlight w:val="none"/>
                <w:u w:val="single"/>
              </w:rPr>
              <w:t>。</w:t>
            </w:r>
          </w:p>
        </w:tc>
        <w:tc>
          <w:tcPr>
            <w:tcW w:w="1367" w:type="dxa"/>
            <w:tcMar>
              <w:top w:w="16" w:type="dxa"/>
              <w:left w:w="16" w:type="dxa"/>
              <w:right w:w="16" w:type="dxa"/>
            </w:tcMar>
            <w:vAlign w:val="center"/>
          </w:tcPr>
          <w:p w14:paraId="51078286">
            <w:pPr>
              <w:adjustRightInd w:val="0"/>
              <w:snapToGrid w:val="0"/>
              <w:jc w:val="center"/>
              <w:rPr>
                <w:color w:val="auto"/>
                <w:sz w:val="24"/>
                <w:highlight w:val="none"/>
              </w:rPr>
            </w:pPr>
            <w:r>
              <w:rPr>
                <w:color w:val="auto"/>
                <w:spacing w:val="-6"/>
                <w:sz w:val="24"/>
                <w:highlight w:val="none"/>
              </w:rPr>
              <w:t>用地面积（m</w:t>
            </w:r>
            <w:r>
              <w:rPr>
                <w:color w:val="auto"/>
                <w:spacing w:val="-6"/>
                <w:sz w:val="24"/>
                <w:highlight w:val="none"/>
                <w:vertAlign w:val="superscript"/>
              </w:rPr>
              <w:t>2</w:t>
            </w:r>
            <w:r>
              <w:rPr>
                <w:color w:val="auto"/>
                <w:spacing w:val="-6"/>
                <w:sz w:val="24"/>
                <w:highlight w:val="none"/>
              </w:rPr>
              <w:t>）</w:t>
            </w:r>
          </w:p>
        </w:tc>
        <w:tc>
          <w:tcPr>
            <w:tcW w:w="3537" w:type="dxa"/>
            <w:vAlign w:val="center"/>
          </w:tcPr>
          <w:p w14:paraId="28273CC0">
            <w:pPr>
              <w:adjustRightInd w:val="0"/>
              <w:snapToGrid w:val="0"/>
              <w:jc w:val="center"/>
              <w:rPr>
                <w:color w:val="auto"/>
                <w:sz w:val="24"/>
                <w:highlight w:val="none"/>
              </w:rPr>
            </w:pPr>
            <w:r>
              <w:rPr>
                <w:rFonts w:hint="eastAsia"/>
                <w:color w:val="auto"/>
                <w:sz w:val="24"/>
                <w:highlight w:val="none"/>
              </w:rPr>
              <w:t>2978.05</w:t>
            </w:r>
          </w:p>
        </w:tc>
      </w:tr>
      <w:tr w14:paraId="725D0BE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414" w:type="dxa"/>
            <w:gridSpan w:val="2"/>
            <w:vAlign w:val="center"/>
          </w:tcPr>
          <w:p w14:paraId="67FC3CC7">
            <w:pPr>
              <w:autoSpaceDE w:val="0"/>
              <w:autoSpaceDN w:val="0"/>
              <w:adjustRightInd w:val="0"/>
              <w:snapToGrid w:val="0"/>
              <w:jc w:val="center"/>
              <w:rPr>
                <w:color w:val="auto"/>
                <w:kern w:val="0"/>
                <w:sz w:val="24"/>
                <w:highlight w:val="none"/>
              </w:rPr>
            </w:pPr>
            <w:r>
              <w:rPr>
                <w:color w:val="auto"/>
                <w:kern w:val="0"/>
                <w:sz w:val="24"/>
                <w:highlight w:val="none"/>
              </w:rPr>
              <w:t>专项评价设置情况</w:t>
            </w:r>
          </w:p>
        </w:tc>
        <w:tc>
          <w:tcPr>
            <w:tcW w:w="7456" w:type="dxa"/>
            <w:gridSpan w:val="3"/>
            <w:vAlign w:val="center"/>
          </w:tcPr>
          <w:p w14:paraId="52B484F2">
            <w:pPr>
              <w:autoSpaceDE w:val="0"/>
              <w:autoSpaceDN w:val="0"/>
              <w:adjustRightInd w:val="0"/>
              <w:snapToGrid w:val="0"/>
              <w:jc w:val="center"/>
              <w:rPr>
                <w:color w:val="auto"/>
                <w:kern w:val="0"/>
                <w:sz w:val="24"/>
                <w:highlight w:val="none"/>
              </w:rPr>
            </w:pPr>
            <w:r>
              <w:rPr>
                <w:rFonts w:hint="eastAsia"/>
                <w:color w:val="auto"/>
                <w:kern w:val="0"/>
                <w:sz w:val="24"/>
                <w:highlight w:val="none"/>
              </w:rPr>
              <w:t>无</w:t>
            </w:r>
          </w:p>
        </w:tc>
      </w:tr>
      <w:tr w14:paraId="74AFECA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414" w:type="dxa"/>
            <w:gridSpan w:val="2"/>
            <w:vAlign w:val="center"/>
          </w:tcPr>
          <w:p w14:paraId="769EB4DF">
            <w:pPr>
              <w:autoSpaceDE w:val="0"/>
              <w:autoSpaceDN w:val="0"/>
              <w:adjustRightInd w:val="0"/>
              <w:snapToGrid w:val="0"/>
              <w:jc w:val="center"/>
              <w:rPr>
                <w:color w:val="auto"/>
                <w:kern w:val="0"/>
                <w:sz w:val="24"/>
                <w:highlight w:val="none"/>
              </w:rPr>
            </w:pPr>
            <w:r>
              <w:rPr>
                <w:color w:val="auto"/>
                <w:sz w:val="24"/>
                <w:highlight w:val="none"/>
              </w:rPr>
              <w:t>规划情况</w:t>
            </w:r>
          </w:p>
        </w:tc>
        <w:tc>
          <w:tcPr>
            <w:tcW w:w="7456" w:type="dxa"/>
            <w:gridSpan w:val="3"/>
            <w:vAlign w:val="center"/>
          </w:tcPr>
          <w:p w14:paraId="418DB6F0">
            <w:pPr>
              <w:autoSpaceDE w:val="0"/>
              <w:autoSpaceDN w:val="0"/>
              <w:adjustRightInd w:val="0"/>
              <w:snapToGrid w:val="0"/>
              <w:jc w:val="center"/>
              <w:rPr>
                <w:color w:val="auto"/>
                <w:kern w:val="0"/>
                <w:sz w:val="24"/>
                <w:highlight w:val="none"/>
              </w:rPr>
            </w:pPr>
            <w:r>
              <w:rPr>
                <w:rFonts w:hint="eastAsia"/>
                <w:color w:val="auto"/>
                <w:kern w:val="0"/>
                <w:sz w:val="24"/>
                <w:highlight w:val="none"/>
              </w:rPr>
              <w:t>无</w:t>
            </w:r>
          </w:p>
        </w:tc>
      </w:tr>
      <w:tr w14:paraId="7D9B17F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414" w:type="dxa"/>
            <w:gridSpan w:val="2"/>
            <w:vAlign w:val="center"/>
          </w:tcPr>
          <w:p w14:paraId="1C15B55B">
            <w:pPr>
              <w:adjustRightInd w:val="0"/>
              <w:snapToGrid w:val="0"/>
              <w:jc w:val="center"/>
              <w:rPr>
                <w:color w:val="auto"/>
                <w:kern w:val="0"/>
                <w:sz w:val="24"/>
                <w:highlight w:val="none"/>
              </w:rPr>
            </w:pPr>
            <w:r>
              <w:rPr>
                <w:color w:val="auto"/>
                <w:sz w:val="24"/>
                <w:highlight w:val="none"/>
              </w:rPr>
              <w:t>规划环境影响评价情况</w:t>
            </w:r>
          </w:p>
        </w:tc>
        <w:tc>
          <w:tcPr>
            <w:tcW w:w="7456" w:type="dxa"/>
            <w:gridSpan w:val="3"/>
            <w:vAlign w:val="center"/>
          </w:tcPr>
          <w:p w14:paraId="07DB2806">
            <w:pPr>
              <w:autoSpaceDE w:val="0"/>
              <w:autoSpaceDN w:val="0"/>
              <w:adjustRightInd w:val="0"/>
              <w:snapToGrid w:val="0"/>
              <w:jc w:val="center"/>
              <w:rPr>
                <w:color w:val="auto"/>
                <w:kern w:val="0"/>
                <w:sz w:val="24"/>
                <w:highlight w:val="none"/>
              </w:rPr>
            </w:pPr>
            <w:r>
              <w:rPr>
                <w:rFonts w:hint="eastAsia"/>
                <w:color w:val="auto"/>
                <w:kern w:val="0"/>
                <w:sz w:val="24"/>
                <w:highlight w:val="none"/>
              </w:rPr>
              <w:t>无</w:t>
            </w:r>
          </w:p>
        </w:tc>
      </w:tr>
      <w:tr w14:paraId="7086999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414" w:type="dxa"/>
            <w:gridSpan w:val="2"/>
            <w:vAlign w:val="center"/>
          </w:tcPr>
          <w:p w14:paraId="41F42C63">
            <w:pPr>
              <w:autoSpaceDE w:val="0"/>
              <w:autoSpaceDN w:val="0"/>
              <w:adjustRightInd w:val="0"/>
              <w:snapToGrid w:val="0"/>
              <w:jc w:val="center"/>
              <w:rPr>
                <w:color w:val="auto"/>
                <w:kern w:val="0"/>
                <w:sz w:val="24"/>
                <w:highlight w:val="none"/>
              </w:rPr>
            </w:pPr>
            <w:r>
              <w:rPr>
                <w:color w:val="auto"/>
                <w:kern w:val="0"/>
                <w:sz w:val="24"/>
                <w:highlight w:val="none"/>
              </w:rPr>
              <w:t>规划及规划环境影响评价符合性分析</w:t>
            </w:r>
          </w:p>
        </w:tc>
        <w:tc>
          <w:tcPr>
            <w:tcW w:w="7456" w:type="dxa"/>
            <w:gridSpan w:val="3"/>
            <w:vAlign w:val="center"/>
          </w:tcPr>
          <w:p w14:paraId="4F57A5F5">
            <w:pPr>
              <w:autoSpaceDE w:val="0"/>
              <w:autoSpaceDN w:val="0"/>
              <w:adjustRightInd w:val="0"/>
              <w:snapToGrid w:val="0"/>
              <w:jc w:val="center"/>
              <w:rPr>
                <w:color w:val="auto"/>
                <w:sz w:val="24"/>
                <w:highlight w:val="none"/>
              </w:rPr>
            </w:pPr>
            <w:r>
              <w:rPr>
                <w:rFonts w:hint="eastAsia"/>
                <w:color w:val="auto"/>
                <w:kern w:val="0"/>
                <w:sz w:val="24"/>
                <w:highlight w:val="none"/>
              </w:rPr>
              <w:t>无</w:t>
            </w:r>
          </w:p>
        </w:tc>
      </w:tr>
      <w:tr w14:paraId="5D50D79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17" w:type="dxa"/>
            <w:vAlign w:val="center"/>
          </w:tcPr>
          <w:p w14:paraId="76BF4424">
            <w:pPr>
              <w:autoSpaceDE w:val="0"/>
              <w:autoSpaceDN w:val="0"/>
              <w:adjustRightInd w:val="0"/>
              <w:snapToGrid w:val="0"/>
              <w:jc w:val="center"/>
              <w:rPr>
                <w:color w:val="auto"/>
                <w:kern w:val="0"/>
                <w:sz w:val="24"/>
                <w:highlight w:val="none"/>
              </w:rPr>
            </w:pPr>
          </w:p>
          <w:p w14:paraId="22A616E3">
            <w:pPr>
              <w:autoSpaceDE w:val="0"/>
              <w:autoSpaceDN w:val="0"/>
              <w:adjustRightInd w:val="0"/>
              <w:snapToGrid w:val="0"/>
              <w:jc w:val="center"/>
              <w:rPr>
                <w:color w:val="auto"/>
                <w:kern w:val="0"/>
                <w:sz w:val="24"/>
                <w:highlight w:val="none"/>
              </w:rPr>
            </w:pPr>
          </w:p>
          <w:p w14:paraId="58C8B50A">
            <w:pPr>
              <w:autoSpaceDE w:val="0"/>
              <w:autoSpaceDN w:val="0"/>
              <w:adjustRightInd w:val="0"/>
              <w:snapToGrid w:val="0"/>
              <w:jc w:val="center"/>
              <w:rPr>
                <w:color w:val="auto"/>
                <w:kern w:val="0"/>
                <w:sz w:val="24"/>
                <w:highlight w:val="none"/>
              </w:rPr>
            </w:pPr>
          </w:p>
          <w:p w14:paraId="26D631C7">
            <w:pPr>
              <w:autoSpaceDE w:val="0"/>
              <w:autoSpaceDN w:val="0"/>
              <w:adjustRightInd w:val="0"/>
              <w:snapToGrid w:val="0"/>
              <w:jc w:val="center"/>
              <w:rPr>
                <w:color w:val="auto"/>
                <w:kern w:val="0"/>
                <w:sz w:val="24"/>
                <w:highlight w:val="none"/>
              </w:rPr>
            </w:pPr>
          </w:p>
          <w:p w14:paraId="02405D6A">
            <w:pPr>
              <w:autoSpaceDE w:val="0"/>
              <w:autoSpaceDN w:val="0"/>
              <w:adjustRightInd w:val="0"/>
              <w:snapToGrid w:val="0"/>
              <w:jc w:val="center"/>
              <w:rPr>
                <w:color w:val="auto"/>
                <w:kern w:val="0"/>
                <w:sz w:val="24"/>
                <w:highlight w:val="none"/>
              </w:rPr>
            </w:pPr>
          </w:p>
          <w:p w14:paraId="7A4C4EDF">
            <w:pPr>
              <w:autoSpaceDE w:val="0"/>
              <w:autoSpaceDN w:val="0"/>
              <w:adjustRightInd w:val="0"/>
              <w:snapToGrid w:val="0"/>
              <w:jc w:val="center"/>
              <w:rPr>
                <w:color w:val="auto"/>
                <w:kern w:val="0"/>
                <w:sz w:val="24"/>
                <w:highlight w:val="none"/>
              </w:rPr>
            </w:pPr>
          </w:p>
          <w:p w14:paraId="5C7AB706">
            <w:pPr>
              <w:autoSpaceDE w:val="0"/>
              <w:autoSpaceDN w:val="0"/>
              <w:adjustRightInd w:val="0"/>
              <w:snapToGrid w:val="0"/>
              <w:jc w:val="center"/>
              <w:rPr>
                <w:color w:val="auto"/>
                <w:kern w:val="0"/>
                <w:sz w:val="24"/>
                <w:highlight w:val="none"/>
              </w:rPr>
            </w:pPr>
          </w:p>
          <w:p w14:paraId="6ACC553E">
            <w:pPr>
              <w:autoSpaceDE w:val="0"/>
              <w:autoSpaceDN w:val="0"/>
              <w:adjustRightInd w:val="0"/>
              <w:snapToGrid w:val="0"/>
              <w:jc w:val="center"/>
              <w:rPr>
                <w:color w:val="auto"/>
                <w:kern w:val="0"/>
                <w:sz w:val="24"/>
                <w:highlight w:val="none"/>
              </w:rPr>
            </w:pPr>
          </w:p>
          <w:p w14:paraId="3BEF133A">
            <w:pPr>
              <w:pStyle w:val="43"/>
              <w:rPr>
                <w:color w:val="auto"/>
                <w:kern w:val="0"/>
                <w:highlight w:val="none"/>
              </w:rPr>
            </w:pPr>
          </w:p>
          <w:p w14:paraId="5DC15A88">
            <w:pPr>
              <w:autoSpaceDE w:val="0"/>
              <w:autoSpaceDN w:val="0"/>
              <w:adjustRightInd w:val="0"/>
              <w:snapToGrid w:val="0"/>
              <w:jc w:val="center"/>
              <w:rPr>
                <w:color w:val="auto"/>
                <w:kern w:val="0"/>
                <w:sz w:val="24"/>
                <w:highlight w:val="none"/>
              </w:rPr>
            </w:pPr>
          </w:p>
          <w:p w14:paraId="5DBAF1AA">
            <w:pPr>
              <w:autoSpaceDE w:val="0"/>
              <w:autoSpaceDN w:val="0"/>
              <w:adjustRightInd w:val="0"/>
              <w:snapToGrid w:val="0"/>
              <w:jc w:val="center"/>
              <w:rPr>
                <w:color w:val="auto"/>
                <w:kern w:val="0"/>
                <w:sz w:val="24"/>
                <w:highlight w:val="none"/>
              </w:rPr>
            </w:pPr>
          </w:p>
          <w:p w14:paraId="67D5F3ED">
            <w:pPr>
              <w:autoSpaceDE w:val="0"/>
              <w:autoSpaceDN w:val="0"/>
              <w:adjustRightInd w:val="0"/>
              <w:snapToGrid w:val="0"/>
              <w:jc w:val="center"/>
              <w:rPr>
                <w:color w:val="auto"/>
                <w:kern w:val="0"/>
                <w:sz w:val="24"/>
                <w:highlight w:val="none"/>
              </w:rPr>
            </w:pPr>
          </w:p>
          <w:p w14:paraId="15FBBDE4">
            <w:pPr>
              <w:autoSpaceDE w:val="0"/>
              <w:autoSpaceDN w:val="0"/>
              <w:adjustRightInd w:val="0"/>
              <w:snapToGrid w:val="0"/>
              <w:jc w:val="center"/>
              <w:rPr>
                <w:color w:val="auto"/>
                <w:kern w:val="0"/>
                <w:sz w:val="24"/>
                <w:highlight w:val="none"/>
              </w:rPr>
            </w:pPr>
          </w:p>
          <w:p w14:paraId="75B091CA">
            <w:pPr>
              <w:autoSpaceDE w:val="0"/>
              <w:autoSpaceDN w:val="0"/>
              <w:adjustRightInd w:val="0"/>
              <w:snapToGrid w:val="0"/>
              <w:jc w:val="center"/>
              <w:rPr>
                <w:color w:val="auto"/>
                <w:kern w:val="0"/>
                <w:sz w:val="24"/>
                <w:highlight w:val="none"/>
              </w:rPr>
            </w:pPr>
          </w:p>
          <w:p w14:paraId="11D5FAE8">
            <w:pPr>
              <w:autoSpaceDE w:val="0"/>
              <w:autoSpaceDN w:val="0"/>
              <w:adjustRightInd w:val="0"/>
              <w:snapToGrid w:val="0"/>
              <w:jc w:val="center"/>
              <w:rPr>
                <w:color w:val="auto"/>
                <w:kern w:val="0"/>
                <w:sz w:val="24"/>
                <w:highlight w:val="none"/>
              </w:rPr>
            </w:pPr>
          </w:p>
          <w:p w14:paraId="590747F5">
            <w:pPr>
              <w:autoSpaceDE w:val="0"/>
              <w:autoSpaceDN w:val="0"/>
              <w:adjustRightInd w:val="0"/>
              <w:snapToGrid w:val="0"/>
              <w:jc w:val="center"/>
              <w:rPr>
                <w:color w:val="auto"/>
                <w:kern w:val="0"/>
                <w:sz w:val="24"/>
                <w:highlight w:val="none"/>
              </w:rPr>
            </w:pPr>
          </w:p>
          <w:p w14:paraId="07606C42">
            <w:pPr>
              <w:autoSpaceDE w:val="0"/>
              <w:autoSpaceDN w:val="0"/>
              <w:adjustRightInd w:val="0"/>
              <w:snapToGrid w:val="0"/>
              <w:jc w:val="center"/>
              <w:rPr>
                <w:color w:val="auto"/>
                <w:kern w:val="0"/>
                <w:sz w:val="24"/>
                <w:highlight w:val="none"/>
              </w:rPr>
            </w:pPr>
          </w:p>
          <w:p w14:paraId="1925C2D2">
            <w:pPr>
              <w:autoSpaceDE w:val="0"/>
              <w:autoSpaceDN w:val="0"/>
              <w:adjustRightInd w:val="0"/>
              <w:snapToGrid w:val="0"/>
              <w:jc w:val="center"/>
              <w:rPr>
                <w:color w:val="auto"/>
                <w:kern w:val="0"/>
                <w:sz w:val="24"/>
                <w:highlight w:val="none"/>
              </w:rPr>
            </w:pPr>
          </w:p>
          <w:p w14:paraId="50895B16">
            <w:pPr>
              <w:pStyle w:val="34"/>
              <w:ind w:left="0" w:leftChars="0" w:firstLine="0" w:firstLineChars="0"/>
              <w:rPr>
                <w:color w:val="auto"/>
                <w:sz w:val="24"/>
                <w:highlight w:val="none"/>
              </w:rPr>
            </w:pPr>
          </w:p>
          <w:p w14:paraId="40784B9C">
            <w:pPr>
              <w:autoSpaceDE w:val="0"/>
              <w:autoSpaceDN w:val="0"/>
              <w:adjustRightInd w:val="0"/>
              <w:snapToGrid w:val="0"/>
              <w:jc w:val="center"/>
              <w:rPr>
                <w:color w:val="auto"/>
                <w:kern w:val="0"/>
                <w:sz w:val="24"/>
                <w:highlight w:val="none"/>
              </w:rPr>
            </w:pPr>
            <w:r>
              <w:rPr>
                <w:color w:val="auto"/>
                <w:kern w:val="0"/>
                <w:sz w:val="24"/>
                <w:highlight w:val="none"/>
              </w:rPr>
              <w:t>其</w:t>
            </w:r>
          </w:p>
          <w:p w14:paraId="61F979BC">
            <w:pPr>
              <w:autoSpaceDE w:val="0"/>
              <w:autoSpaceDN w:val="0"/>
              <w:adjustRightInd w:val="0"/>
              <w:snapToGrid w:val="0"/>
              <w:jc w:val="center"/>
              <w:rPr>
                <w:color w:val="auto"/>
                <w:kern w:val="0"/>
                <w:sz w:val="24"/>
                <w:highlight w:val="none"/>
              </w:rPr>
            </w:pPr>
            <w:r>
              <w:rPr>
                <w:color w:val="auto"/>
                <w:kern w:val="0"/>
                <w:sz w:val="24"/>
                <w:highlight w:val="none"/>
              </w:rPr>
              <w:t>他</w:t>
            </w:r>
          </w:p>
          <w:p w14:paraId="3AC007E0">
            <w:pPr>
              <w:autoSpaceDE w:val="0"/>
              <w:autoSpaceDN w:val="0"/>
              <w:adjustRightInd w:val="0"/>
              <w:snapToGrid w:val="0"/>
              <w:jc w:val="center"/>
              <w:rPr>
                <w:color w:val="auto"/>
                <w:kern w:val="0"/>
                <w:sz w:val="24"/>
                <w:highlight w:val="none"/>
              </w:rPr>
            </w:pPr>
            <w:r>
              <w:rPr>
                <w:color w:val="auto"/>
                <w:kern w:val="0"/>
                <w:sz w:val="24"/>
                <w:highlight w:val="none"/>
              </w:rPr>
              <w:t>符</w:t>
            </w:r>
          </w:p>
          <w:p w14:paraId="73FAE966">
            <w:pPr>
              <w:autoSpaceDE w:val="0"/>
              <w:autoSpaceDN w:val="0"/>
              <w:adjustRightInd w:val="0"/>
              <w:snapToGrid w:val="0"/>
              <w:jc w:val="center"/>
              <w:rPr>
                <w:color w:val="auto"/>
                <w:kern w:val="0"/>
                <w:sz w:val="24"/>
                <w:highlight w:val="none"/>
              </w:rPr>
            </w:pPr>
            <w:r>
              <w:rPr>
                <w:color w:val="auto"/>
                <w:kern w:val="0"/>
                <w:sz w:val="24"/>
                <w:highlight w:val="none"/>
              </w:rPr>
              <w:t>合</w:t>
            </w:r>
          </w:p>
          <w:p w14:paraId="7BD8E3C4">
            <w:pPr>
              <w:autoSpaceDE w:val="0"/>
              <w:autoSpaceDN w:val="0"/>
              <w:adjustRightInd w:val="0"/>
              <w:snapToGrid w:val="0"/>
              <w:jc w:val="center"/>
              <w:rPr>
                <w:color w:val="auto"/>
                <w:kern w:val="0"/>
                <w:sz w:val="24"/>
                <w:highlight w:val="none"/>
              </w:rPr>
            </w:pPr>
            <w:r>
              <w:rPr>
                <w:color w:val="auto"/>
                <w:kern w:val="0"/>
                <w:sz w:val="24"/>
                <w:highlight w:val="none"/>
              </w:rPr>
              <w:t>性</w:t>
            </w:r>
          </w:p>
          <w:p w14:paraId="4AA6BDD4">
            <w:pPr>
              <w:autoSpaceDE w:val="0"/>
              <w:autoSpaceDN w:val="0"/>
              <w:adjustRightInd w:val="0"/>
              <w:snapToGrid w:val="0"/>
              <w:jc w:val="center"/>
              <w:rPr>
                <w:color w:val="auto"/>
                <w:kern w:val="0"/>
                <w:sz w:val="24"/>
                <w:highlight w:val="none"/>
              </w:rPr>
            </w:pPr>
            <w:r>
              <w:rPr>
                <w:color w:val="auto"/>
                <w:kern w:val="0"/>
                <w:sz w:val="24"/>
                <w:highlight w:val="none"/>
              </w:rPr>
              <w:t>分</w:t>
            </w:r>
          </w:p>
          <w:p w14:paraId="79CD4FF2">
            <w:pPr>
              <w:autoSpaceDE w:val="0"/>
              <w:autoSpaceDN w:val="0"/>
              <w:adjustRightInd w:val="0"/>
              <w:snapToGrid w:val="0"/>
              <w:jc w:val="center"/>
              <w:rPr>
                <w:color w:val="auto"/>
                <w:kern w:val="0"/>
                <w:sz w:val="24"/>
                <w:highlight w:val="none"/>
              </w:rPr>
            </w:pPr>
            <w:r>
              <w:rPr>
                <w:color w:val="auto"/>
                <w:kern w:val="0"/>
                <w:sz w:val="24"/>
                <w:highlight w:val="none"/>
              </w:rPr>
              <w:t>析</w:t>
            </w:r>
          </w:p>
          <w:p w14:paraId="5480E043">
            <w:pPr>
              <w:autoSpaceDE w:val="0"/>
              <w:autoSpaceDN w:val="0"/>
              <w:adjustRightInd w:val="0"/>
              <w:snapToGrid w:val="0"/>
              <w:jc w:val="center"/>
              <w:rPr>
                <w:color w:val="auto"/>
                <w:kern w:val="0"/>
                <w:sz w:val="24"/>
                <w:highlight w:val="none"/>
              </w:rPr>
            </w:pPr>
          </w:p>
          <w:p w14:paraId="6F285329">
            <w:pPr>
              <w:autoSpaceDE w:val="0"/>
              <w:autoSpaceDN w:val="0"/>
              <w:adjustRightInd w:val="0"/>
              <w:snapToGrid w:val="0"/>
              <w:jc w:val="center"/>
              <w:rPr>
                <w:color w:val="auto"/>
                <w:kern w:val="0"/>
                <w:sz w:val="24"/>
                <w:highlight w:val="none"/>
              </w:rPr>
            </w:pPr>
          </w:p>
          <w:p w14:paraId="790B5084">
            <w:pPr>
              <w:autoSpaceDE w:val="0"/>
              <w:autoSpaceDN w:val="0"/>
              <w:adjustRightInd w:val="0"/>
              <w:snapToGrid w:val="0"/>
              <w:jc w:val="center"/>
              <w:rPr>
                <w:color w:val="auto"/>
                <w:kern w:val="0"/>
                <w:sz w:val="24"/>
                <w:highlight w:val="none"/>
              </w:rPr>
            </w:pPr>
          </w:p>
          <w:p w14:paraId="421CC546">
            <w:pPr>
              <w:autoSpaceDE w:val="0"/>
              <w:autoSpaceDN w:val="0"/>
              <w:adjustRightInd w:val="0"/>
              <w:snapToGrid w:val="0"/>
              <w:jc w:val="center"/>
              <w:rPr>
                <w:color w:val="auto"/>
                <w:kern w:val="0"/>
                <w:sz w:val="24"/>
                <w:highlight w:val="none"/>
              </w:rPr>
            </w:pPr>
          </w:p>
          <w:p w14:paraId="64C8E8DE">
            <w:pPr>
              <w:autoSpaceDE w:val="0"/>
              <w:autoSpaceDN w:val="0"/>
              <w:adjustRightInd w:val="0"/>
              <w:snapToGrid w:val="0"/>
              <w:jc w:val="center"/>
              <w:rPr>
                <w:color w:val="auto"/>
                <w:kern w:val="0"/>
                <w:sz w:val="24"/>
                <w:highlight w:val="none"/>
              </w:rPr>
            </w:pPr>
          </w:p>
          <w:p w14:paraId="0A9A6FB5">
            <w:pPr>
              <w:autoSpaceDE w:val="0"/>
              <w:autoSpaceDN w:val="0"/>
              <w:adjustRightInd w:val="0"/>
              <w:snapToGrid w:val="0"/>
              <w:jc w:val="center"/>
              <w:rPr>
                <w:color w:val="auto"/>
                <w:kern w:val="0"/>
                <w:sz w:val="24"/>
                <w:highlight w:val="none"/>
              </w:rPr>
            </w:pPr>
          </w:p>
          <w:p w14:paraId="61BC2B2C">
            <w:pPr>
              <w:autoSpaceDE w:val="0"/>
              <w:autoSpaceDN w:val="0"/>
              <w:adjustRightInd w:val="0"/>
              <w:snapToGrid w:val="0"/>
              <w:jc w:val="center"/>
              <w:rPr>
                <w:color w:val="auto"/>
                <w:kern w:val="0"/>
                <w:sz w:val="24"/>
                <w:highlight w:val="none"/>
              </w:rPr>
            </w:pPr>
          </w:p>
          <w:p w14:paraId="0AD12E93">
            <w:pPr>
              <w:autoSpaceDE w:val="0"/>
              <w:autoSpaceDN w:val="0"/>
              <w:adjustRightInd w:val="0"/>
              <w:snapToGrid w:val="0"/>
              <w:jc w:val="center"/>
              <w:rPr>
                <w:color w:val="auto"/>
                <w:kern w:val="0"/>
                <w:sz w:val="24"/>
                <w:highlight w:val="none"/>
              </w:rPr>
            </w:pPr>
          </w:p>
          <w:p w14:paraId="15F46CFC">
            <w:pPr>
              <w:autoSpaceDE w:val="0"/>
              <w:autoSpaceDN w:val="0"/>
              <w:adjustRightInd w:val="0"/>
              <w:snapToGrid w:val="0"/>
              <w:jc w:val="center"/>
              <w:rPr>
                <w:color w:val="auto"/>
                <w:kern w:val="0"/>
                <w:sz w:val="24"/>
                <w:highlight w:val="none"/>
              </w:rPr>
            </w:pPr>
          </w:p>
          <w:p w14:paraId="5D05C022">
            <w:pPr>
              <w:autoSpaceDE w:val="0"/>
              <w:autoSpaceDN w:val="0"/>
              <w:adjustRightInd w:val="0"/>
              <w:snapToGrid w:val="0"/>
              <w:jc w:val="center"/>
              <w:rPr>
                <w:color w:val="auto"/>
                <w:kern w:val="0"/>
                <w:sz w:val="24"/>
                <w:highlight w:val="none"/>
              </w:rPr>
            </w:pPr>
          </w:p>
          <w:p w14:paraId="40A8C838">
            <w:pPr>
              <w:autoSpaceDE w:val="0"/>
              <w:autoSpaceDN w:val="0"/>
              <w:adjustRightInd w:val="0"/>
              <w:snapToGrid w:val="0"/>
              <w:jc w:val="center"/>
              <w:rPr>
                <w:color w:val="auto"/>
                <w:kern w:val="0"/>
                <w:sz w:val="24"/>
                <w:highlight w:val="none"/>
              </w:rPr>
            </w:pPr>
          </w:p>
          <w:p w14:paraId="2615ED74">
            <w:pPr>
              <w:autoSpaceDE w:val="0"/>
              <w:autoSpaceDN w:val="0"/>
              <w:adjustRightInd w:val="0"/>
              <w:snapToGrid w:val="0"/>
              <w:jc w:val="center"/>
              <w:rPr>
                <w:color w:val="auto"/>
                <w:kern w:val="0"/>
                <w:sz w:val="24"/>
                <w:highlight w:val="none"/>
              </w:rPr>
            </w:pPr>
          </w:p>
          <w:p w14:paraId="32433E34">
            <w:pPr>
              <w:autoSpaceDE w:val="0"/>
              <w:autoSpaceDN w:val="0"/>
              <w:adjustRightInd w:val="0"/>
              <w:snapToGrid w:val="0"/>
              <w:jc w:val="center"/>
              <w:rPr>
                <w:color w:val="auto"/>
                <w:kern w:val="0"/>
                <w:sz w:val="24"/>
                <w:highlight w:val="none"/>
              </w:rPr>
            </w:pPr>
          </w:p>
          <w:p w14:paraId="58B61A2B">
            <w:pPr>
              <w:autoSpaceDE w:val="0"/>
              <w:autoSpaceDN w:val="0"/>
              <w:adjustRightInd w:val="0"/>
              <w:snapToGrid w:val="0"/>
              <w:jc w:val="center"/>
              <w:rPr>
                <w:color w:val="auto"/>
                <w:kern w:val="0"/>
                <w:sz w:val="24"/>
                <w:highlight w:val="none"/>
              </w:rPr>
            </w:pPr>
          </w:p>
          <w:p w14:paraId="5D16D62F">
            <w:pPr>
              <w:autoSpaceDE w:val="0"/>
              <w:autoSpaceDN w:val="0"/>
              <w:adjustRightInd w:val="0"/>
              <w:snapToGrid w:val="0"/>
              <w:jc w:val="center"/>
              <w:rPr>
                <w:color w:val="auto"/>
                <w:kern w:val="0"/>
                <w:sz w:val="24"/>
                <w:highlight w:val="none"/>
              </w:rPr>
            </w:pPr>
          </w:p>
          <w:p w14:paraId="5023BEDC">
            <w:pPr>
              <w:autoSpaceDE w:val="0"/>
              <w:autoSpaceDN w:val="0"/>
              <w:adjustRightInd w:val="0"/>
              <w:snapToGrid w:val="0"/>
              <w:rPr>
                <w:color w:val="auto"/>
                <w:kern w:val="0"/>
                <w:sz w:val="24"/>
                <w:highlight w:val="none"/>
              </w:rPr>
            </w:pPr>
          </w:p>
        </w:tc>
        <w:tc>
          <w:tcPr>
            <w:tcW w:w="8253" w:type="dxa"/>
            <w:gridSpan w:val="4"/>
          </w:tcPr>
          <w:p w14:paraId="065DEC72">
            <w:pPr>
              <w:adjustRightInd w:val="0"/>
              <w:snapToGrid w:val="0"/>
              <w:spacing w:line="360" w:lineRule="auto"/>
              <w:ind w:firstLine="480" w:firstLineChars="200"/>
              <w:rPr>
                <w:color w:val="auto"/>
                <w:sz w:val="24"/>
                <w:highlight w:val="none"/>
              </w:rPr>
            </w:pPr>
            <w:r>
              <w:rPr>
                <w:color w:val="auto"/>
                <w:sz w:val="24"/>
                <w:highlight w:val="none"/>
              </w:rPr>
              <w:t>1、产业政策符合性</w:t>
            </w:r>
          </w:p>
          <w:p w14:paraId="5C4481D1">
            <w:pPr>
              <w:snapToGrid w:val="0"/>
              <w:spacing w:line="360" w:lineRule="auto"/>
              <w:ind w:firstLine="480" w:firstLineChars="200"/>
              <w:rPr>
                <w:color w:val="auto"/>
                <w:sz w:val="24"/>
                <w:highlight w:val="none"/>
              </w:rPr>
            </w:pPr>
            <w:r>
              <w:rPr>
                <w:rFonts w:hint="eastAsia"/>
                <w:color w:val="auto"/>
                <w:sz w:val="24"/>
                <w:highlight w:val="none"/>
              </w:rPr>
              <w:t>本项目主要进行果蔬脆片、果蔬干、净菜加工生产。对照《产业结构调整指导目录（2024本）》，</w:t>
            </w:r>
            <w:r>
              <w:rPr>
                <w:rFonts w:hint="eastAsia" w:cs="宋体"/>
                <w:color w:val="auto"/>
                <w:sz w:val="24"/>
                <w:highlight w:val="none"/>
              </w:rPr>
              <w:t>本项目不属于目录中的限制及淘汰类，为允许类项目</w:t>
            </w:r>
            <w:r>
              <w:rPr>
                <w:rFonts w:hint="eastAsia"/>
                <w:color w:val="auto"/>
                <w:sz w:val="24"/>
                <w:highlight w:val="none"/>
              </w:rPr>
              <w:t>，故本项目建设符合国家产业政策。此外，</w:t>
            </w:r>
            <w:r>
              <w:rPr>
                <w:color w:val="auto"/>
                <w:sz w:val="24"/>
                <w:highlight w:val="none"/>
              </w:rPr>
              <w:t>本项目已取得陕西省企业投资项目备案确认书（</w:t>
            </w:r>
            <w:r>
              <w:rPr>
                <w:rFonts w:hint="eastAsia"/>
                <w:color w:val="auto"/>
                <w:sz w:val="24"/>
                <w:highlight w:val="none"/>
              </w:rPr>
              <w:t>2412-610723-04-01-882327</w:t>
            </w:r>
            <w:r>
              <w:rPr>
                <w:color w:val="auto"/>
                <w:sz w:val="24"/>
                <w:highlight w:val="none"/>
              </w:rPr>
              <w:t>），项目符合地方产业政策。</w:t>
            </w:r>
          </w:p>
          <w:p w14:paraId="4B3515CD">
            <w:pPr>
              <w:pStyle w:val="46"/>
              <w:spacing w:line="360" w:lineRule="auto"/>
              <w:ind w:firstLine="480" w:firstLineChars="200"/>
              <w:rPr>
                <w:color w:val="auto"/>
                <w:highlight w:val="none"/>
              </w:rPr>
            </w:pPr>
            <w:r>
              <w:rPr>
                <w:color w:val="auto"/>
                <w:highlight w:val="none"/>
              </w:rPr>
              <w:t>综上，本项目符合国家与地方</w:t>
            </w:r>
            <w:r>
              <w:rPr>
                <w:rFonts w:hint="eastAsia"/>
                <w:color w:val="auto"/>
                <w:highlight w:val="none"/>
              </w:rPr>
              <w:t>现行</w:t>
            </w:r>
            <w:r>
              <w:rPr>
                <w:color w:val="auto"/>
                <w:highlight w:val="none"/>
              </w:rPr>
              <w:t>产业政策。</w:t>
            </w:r>
          </w:p>
          <w:p w14:paraId="4E92425F">
            <w:pPr>
              <w:numPr>
                <w:ilvl w:val="0"/>
                <w:numId w:val="1"/>
              </w:numPr>
              <w:autoSpaceDE w:val="0"/>
              <w:autoSpaceDN w:val="0"/>
              <w:adjustRightInd w:val="0"/>
              <w:snapToGrid w:val="0"/>
              <w:spacing w:line="360" w:lineRule="auto"/>
              <w:ind w:firstLine="480" w:firstLineChars="200"/>
              <w:rPr>
                <w:color w:val="auto"/>
                <w:sz w:val="24"/>
                <w:highlight w:val="none"/>
              </w:rPr>
            </w:pPr>
            <w:r>
              <w:rPr>
                <w:color w:val="auto"/>
                <w:sz w:val="24"/>
                <w:highlight w:val="none"/>
              </w:rPr>
              <w:t>“三线一单”符合性分析</w:t>
            </w:r>
          </w:p>
          <w:p w14:paraId="5C091BBD">
            <w:pPr>
              <w:autoSpaceDE w:val="0"/>
              <w:autoSpaceDN w:val="0"/>
              <w:adjustRightInd w:val="0"/>
              <w:snapToGrid w:val="0"/>
              <w:spacing w:line="360" w:lineRule="auto"/>
              <w:ind w:firstLine="480" w:firstLineChars="200"/>
              <w:rPr>
                <w:b/>
                <w:bCs/>
                <w:color w:val="auto"/>
                <w:sz w:val="24"/>
                <w:highlight w:val="none"/>
              </w:rPr>
            </w:pPr>
            <w:r>
              <w:rPr>
                <w:rFonts w:hint="eastAsia"/>
                <w:color w:val="auto"/>
                <w:sz w:val="24"/>
                <w:highlight w:val="none"/>
              </w:rPr>
              <w:t>（1）根据《关于以改善环境质量为核心加强环境影响评价管理的通知》（环环评〔2016〕150号）规定，建设项目“三线一单”相符性分析如下：</w:t>
            </w:r>
          </w:p>
          <w:p w14:paraId="647A0AB5">
            <w:pPr>
              <w:autoSpaceDE w:val="0"/>
              <w:autoSpaceDN w:val="0"/>
              <w:adjustRightInd w:val="0"/>
              <w:snapToGrid w:val="0"/>
              <w:jc w:val="center"/>
              <w:rPr>
                <w:color w:val="auto"/>
                <w:highlight w:val="none"/>
              </w:rPr>
            </w:pPr>
            <w:r>
              <w:rPr>
                <w:b/>
                <w:bCs/>
                <w:color w:val="auto"/>
                <w:szCs w:val="21"/>
                <w:highlight w:val="none"/>
              </w:rPr>
              <w:t>表</w:t>
            </w:r>
            <w:r>
              <w:rPr>
                <w:rFonts w:hint="eastAsia"/>
                <w:b/>
                <w:bCs/>
                <w:color w:val="auto"/>
                <w:szCs w:val="21"/>
                <w:highlight w:val="none"/>
              </w:rPr>
              <w:t xml:space="preserve">1-1  </w:t>
            </w:r>
            <w:r>
              <w:rPr>
                <w:b/>
                <w:bCs/>
                <w:color w:val="auto"/>
                <w:szCs w:val="21"/>
                <w:highlight w:val="none"/>
              </w:rPr>
              <w:t>与</w:t>
            </w:r>
            <w:r>
              <w:rPr>
                <w:rFonts w:hint="eastAsia"/>
                <w:b/>
                <w:bCs/>
                <w:color w:val="auto"/>
                <w:szCs w:val="21"/>
                <w:highlight w:val="none"/>
              </w:rPr>
              <w:t>“三线一单”的符合性分析</w:t>
            </w:r>
          </w:p>
          <w:tbl>
            <w:tblPr>
              <w:tblStyle w:val="35"/>
              <w:tblW w:w="8197"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88"/>
              <w:gridCol w:w="4625"/>
              <w:gridCol w:w="2157"/>
              <w:gridCol w:w="727"/>
            </w:tblGrid>
            <w:tr w14:paraId="5112D88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688" w:type="dxa"/>
                  <w:vMerge w:val="restart"/>
                  <w:vAlign w:val="center"/>
                </w:tcPr>
                <w:p w14:paraId="38F9B4EB">
                  <w:pPr>
                    <w:adjustRightInd w:val="0"/>
                    <w:snapToGrid w:val="0"/>
                    <w:jc w:val="center"/>
                    <w:rPr>
                      <w:color w:val="auto"/>
                      <w:szCs w:val="21"/>
                      <w:highlight w:val="none"/>
                    </w:rPr>
                  </w:pPr>
                  <w:r>
                    <w:rPr>
                      <w:color w:val="auto"/>
                      <w:highlight w:val="none"/>
                    </w:rPr>
                    <w:t>强化“三线一单”约束作用</w:t>
                  </w:r>
                </w:p>
              </w:tc>
              <w:tc>
                <w:tcPr>
                  <w:tcW w:w="4625" w:type="dxa"/>
                  <w:vAlign w:val="center"/>
                </w:tcPr>
                <w:p w14:paraId="5E9E7C2D">
                  <w:pPr>
                    <w:autoSpaceDE w:val="0"/>
                    <w:autoSpaceDN w:val="0"/>
                    <w:adjustRightInd w:val="0"/>
                    <w:snapToGrid w:val="0"/>
                    <w:jc w:val="center"/>
                    <w:rPr>
                      <w:color w:val="auto"/>
                      <w:szCs w:val="21"/>
                      <w:highlight w:val="none"/>
                    </w:rPr>
                  </w:pPr>
                  <w:r>
                    <w:rPr>
                      <w:rFonts w:hint="eastAsia"/>
                      <w:color w:val="auto"/>
                      <w:highlight w:val="none"/>
                    </w:rPr>
                    <w:t>“三线一单”约束作用</w:t>
                  </w:r>
                </w:p>
              </w:tc>
              <w:tc>
                <w:tcPr>
                  <w:tcW w:w="2157" w:type="dxa"/>
                  <w:vAlign w:val="center"/>
                </w:tcPr>
                <w:p w14:paraId="010EBE44">
                  <w:pPr>
                    <w:autoSpaceDE w:val="0"/>
                    <w:autoSpaceDN w:val="0"/>
                    <w:adjustRightInd w:val="0"/>
                    <w:snapToGrid w:val="0"/>
                    <w:jc w:val="center"/>
                    <w:rPr>
                      <w:color w:val="auto"/>
                      <w:szCs w:val="21"/>
                      <w:highlight w:val="none"/>
                    </w:rPr>
                  </w:pPr>
                  <w:r>
                    <w:rPr>
                      <w:color w:val="auto"/>
                      <w:highlight w:val="none"/>
                    </w:rPr>
                    <w:t>本项目情况</w:t>
                  </w:r>
                </w:p>
              </w:tc>
              <w:tc>
                <w:tcPr>
                  <w:tcW w:w="727" w:type="dxa"/>
                  <w:vAlign w:val="center"/>
                </w:tcPr>
                <w:p w14:paraId="2DA5EA1B">
                  <w:pPr>
                    <w:autoSpaceDE w:val="0"/>
                    <w:autoSpaceDN w:val="0"/>
                    <w:adjustRightInd w:val="0"/>
                    <w:snapToGrid w:val="0"/>
                    <w:jc w:val="center"/>
                    <w:rPr>
                      <w:color w:val="auto"/>
                      <w:szCs w:val="21"/>
                      <w:highlight w:val="none"/>
                    </w:rPr>
                  </w:pPr>
                  <w:r>
                    <w:rPr>
                      <w:color w:val="auto"/>
                      <w:highlight w:val="none"/>
                    </w:rPr>
                    <w:t>结论</w:t>
                  </w:r>
                </w:p>
              </w:tc>
            </w:tr>
            <w:tr w14:paraId="7DE8819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688" w:type="dxa"/>
                  <w:vMerge w:val="continue"/>
                  <w:vAlign w:val="center"/>
                </w:tcPr>
                <w:p w14:paraId="5B09029A">
                  <w:pPr>
                    <w:adjustRightInd w:val="0"/>
                    <w:snapToGrid w:val="0"/>
                    <w:jc w:val="center"/>
                    <w:rPr>
                      <w:color w:val="auto"/>
                      <w:szCs w:val="21"/>
                      <w:highlight w:val="none"/>
                    </w:rPr>
                  </w:pPr>
                </w:p>
              </w:tc>
              <w:tc>
                <w:tcPr>
                  <w:tcW w:w="4625" w:type="dxa"/>
                  <w:vAlign w:val="center"/>
                </w:tcPr>
                <w:p w14:paraId="03B5AA69">
                  <w:pPr>
                    <w:autoSpaceDE w:val="0"/>
                    <w:autoSpaceDN w:val="0"/>
                    <w:adjustRightInd w:val="0"/>
                    <w:snapToGrid w:val="0"/>
                    <w:spacing w:line="280" w:lineRule="exact"/>
                    <w:rPr>
                      <w:color w:val="auto"/>
                      <w:szCs w:val="21"/>
                      <w:highlight w:val="none"/>
                    </w:rPr>
                  </w:pPr>
                  <w:r>
                    <w:rPr>
                      <w:color w:val="auto"/>
                      <w:highlight w:val="none"/>
                    </w:rPr>
                    <w:t>生态保护红线是生态空间范围内具有特殊重要生态功能必须实行强制性严格保护的区域。相关规划环评应将生态空间管控作为重要内容，规划区域涉及生态保护红线的，在规划环评结论和审查意见中应落实生态保护红线的管理要求，提出相应对策措施。除受自然条件限制、确实无法避让的铁路、公路、航道、防洪、管道、干渠、通讯、输变电等重要基础设施项目外，在生态保护红线范围内，严控各类开发建设活动，依法不予审批新建工业项目和矿产开发项目的环评文件</w:t>
                  </w:r>
                </w:p>
              </w:tc>
              <w:tc>
                <w:tcPr>
                  <w:tcW w:w="2157" w:type="dxa"/>
                  <w:vAlign w:val="center"/>
                </w:tcPr>
                <w:p w14:paraId="6B57372A">
                  <w:pPr>
                    <w:widowControl/>
                    <w:adjustRightInd w:val="0"/>
                    <w:snapToGrid w:val="0"/>
                    <w:rPr>
                      <w:color w:val="auto"/>
                      <w:szCs w:val="21"/>
                      <w:highlight w:val="none"/>
                    </w:rPr>
                  </w:pPr>
                  <w:r>
                    <w:rPr>
                      <w:color w:val="auto"/>
                      <w:highlight w:val="none"/>
                    </w:rPr>
                    <w:t>本项目</w:t>
                  </w:r>
                  <w:r>
                    <w:rPr>
                      <w:rFonts w:hint="eastAsia"/>
                      <w:color w:val="auto"/>
                      <w:highlight w:val="none"/>
                    </w:rPr>
                    <w:t>位于洋县龙亭镇杨湾村（附图1），经对比可知，厂区</w:t>
                  </w:r>
                  <w:r>
                    <w:rPr>
                      <w:rFonts w:hint="eastAsia" w:ascii="宋体" w:hAnsi="宋体" w:cs="宋体"/>
                      <w:color w:val="auto"/>
                      <w:kern w:val="0"/>
                      <w:szCs w:val="21"/>
                      <w:highlight w:val="none"/>
                    </w:rPr>
                    <w:t>不在生态保护红线范围内。</w:t>
                  </w:r>
                </w:p>
              </w:tc>
              <w:tc>
                <w:tcPr>
                  <w:tcW w:w="727" w:type="dxa"/>
                  <w:vAlign w:val="center"/>
                </w:tcPr>
                <w:p w14:paraId="0BEC28DE">
                  <w:pPr>
                    <w:adjustRightInd w:val="0"/>
                    <w:snapToGrid w:val="0"/>
                    <w:jc w:val="center"/>
                    <w:rPr>
                      <w:color w:val="auto"/>
                      <w:szCs w:val="21"/>
                      <w:highlight w:val="none"/>
                    </w:rPr>
                  </w:pPr>
                  <w:r>
                    <w:rPr>
                      <w:color w:val="auto"/>
                      <w:szCs w:val="21"/>
                      <w:highlight w:val="none"/>
                    </w:rPr>
                    <w:t>符合</w:t>
                  </w:r>
                </w:p>
              </w:tc>
            </w:tr>
            <w:tr w14:paraId="1007ED2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688" w:type="dxa"/>
                  <w:vMerge w:val="continue"/>
                  <w:vAlign w:val="center"/>
                </w:tcPr>
                <w:p w14:paraId="5BC19AB5">
                  <w:pPr>
                    <w:adjustRightInd w:val="0"/>
                    <w:snapToGrid w:val="0"/>
                    <w:jc w:val="center"/>
                    <w:rPr>
                      <w:color w:val="auto"/>
                      <w:szCs w:val="21"/>
                      <w:highlight w:val="none"/>
                    </w:rPr>
                  </w:pPr>
                </w:p>
              </w:tc>
              <w:tc>
                <w:tcPr>
                  <w:tcW w:w="4625" w:type="dxa"/>
                  <w:vAlign w:val="center"/>
                </w:tcPr>
                <w:p w14:paraId="2D590BF7">
                  <w:pPr>
                    <w:widowControl/>
                    <w:adjustRightInd w:val="0"/>
                    <w:snapToGrid w:val="0"/>
                    <w:spacing w:line="280" w:lineRule="exact"/>
                    <w:rPr>
                      <w:color w:val="auto"/>
                      <w:szCs w:val="21"/>
                      <w:highlight w:val="none"/>
                    </w:rPr>
                  </w:pPr>
                  <w:r>
                    <w:rPr>
                      <w:color w:val="auto"/>
                      <w:highlight w:val="none"/>
                    </w:rPr>
                    <w:t>环境质量底线是国家和地方设置的大气、水和土壤环境质量目标，也是改善环境质量的基准线。有关规划环评应落实区域环境质量目标管理要求，提出区域或者行业污染物排放总量管控建议以及优化区域或行业发展布局、结构和规模的对策措施。项目环评应对照区域环境质量目标，深入分析预测项目建设对环境质量的影响，强化污染防治措施和污染物排放控制要求</w:t>
                  </w:r>
                </w:p>
              </w:tc>
              <w:tc>
                <w:tcPr>
                  <w:tcW w:w="2157" w:type="dxa"/>
                  <w:vAlign w:val="center"/>
                </w:tcPr>
                <w:p w14:paraId="4C2CC005">
                  <w:pPr>
                    <w:pStyle w:val="46"/>
                    <w:widowControl/>
                    <w:snapToGrid w:val="0"/>
                    <w:jc w:val="both"/>
                    <w:rPr>
                      <w:color w:val="auto"/>
                      <w:szCs w:val="21"/>
                      <w:highlight w:val="none"/>
                    </w:rPr>
                  </w:pPr>
                  <w:r>
                    <w:rPr>
                      <w:rFonts w:ascii="Times New Roman" w:cs="Times New Roman"/>
                      <w:color w:val="auto"/>
                      <w:sz w:val="21"/>
                      <w:szCs w:val="21"/>
                      <w:highlight w:val="none"/>
                    </w:rPr>
                    <w:t>项目在采取报告中提出的各项污染防治措施后，不会对周围环境造成明显影响，</w:t>
                  </w:r>
                  <w:r>
                    <w:rPr>
                      <w:rFonts w:hint="eastAsia" w:ascii="Times New Roman" w:cs="Times New Roman"/>
                      <w:color w:val="auto"/>
                      <w:sz w:val="21"/>
                      <w:szCs w:val="21"/>
                      <w:highlight w:val="none"/>
                    </w:rPr>
                    <w:t>项目不会突破环境质量底线。</w:t>
                  </w:r>
                </w:p>
              </w:tc>
              <w:tc>
                <w:tcPr>
                  <w:tcW w:w="727" w:type="dxa"/>
                  <w:vAlign w:val="center"/>
                </w:tcPr>
                <w:p w14:paraId="6BCF6FFB">
                  <w:pPr>
                    <w:adjustRightInd w:val="0"/>
                    <w:snapToGrid w:val="0"/>
                    <w:jc w:val="center"/>
                    <w:rPr>
                      <w:color w:val="auto"/>
                      <w:szCs w:val="21"/>
                      <w:highlight w:val="none"/>
                    </w:rPr>
                  </w:pPr>
                  <w:r>
                    <w:rPr>
                      <w:color w:val="auto"/>
                      <w:szCs w:val="21"/>
                      <w:highlight w:val="none"/>
                    </w:rPr>
                    <w:t>符合</w:t>
                  </w:r>
                </w:p>
              </w:tc>
            </w:tr>
            <w:tr w14:paraId="665AF7A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688" w:type="dxa"/>
                  <w:vMerge w:val="continue"/>
                  <w:vAlign w:val="center"/>
                </w:tcPr>
                <w:p w14:paraId="1B223D33">
                  <w:pPr>
                    <w:adjustRightInd w:val="0"/>
                    <w:snapToGrid w:val="0"/>
                    <w:jc w:val="center"/>
                    <w:rPr>
                      <w:color w:val="auto"/>
                      <w:szCs w:val="21"/>
                      <w:highlight w:val="none"/>
                    </w:rPr>
                  </w:pPr>
                </w:p>
              </w:tc>
              <w:tc>
                <w:tcPr>
                  <w:tcW w:w="4625" w:type="dxa"/>
                  <w:vAlign w:val="center"/>
                </w:tcPr>
                <w:p w14:paraId="0B92984F">
                  <w:pPr>
                    <w:widowControl/>
                    <w:adjustRightInd w:val="0"/>
                    <w:snapToGrid w:val="0"/>
                    <w:spacing w:line="280" w:lineRule="exact"/>
                    <w:rPr>
                      <w:color w:val="auto"/>
                      <w:szCs w:val="21"/>
                      <w:highlight w:val="none"/>
                    </w:rPr>
                  </w:pPr>
                  <w:r>
                    <w:rPr>
                      <w:color w:val="auto"/>
                      <w:highlight w:val="none"/>
                    </w:rPr>
                    <w:t>资源是环境的载体，资源利用上线是各地区能源、水、土地等资源消耗不得突破的“天花板”。相关规划环评应依据有关资源利用上线，对规划实施以及规划内项目的资源开发利用，区分不同行业，从能源资源开发等量或减量替代、开采方式和规模控制、利用效率和保护措施等方面提出建议，为规划编制和审批决策提供重要依据</w:t>
                  </w:r>
                </w:p>
              </w:tc>
              <w:tc>
                <w:tcPr>
                  <w:tcW w:w="2157" w:type="dxa"/>
                  <w:vAlign w:val="center"/>
                </w:tcPr>
                <w:p w14:paraId="11E9CCD1">
                  <w:pPr>
                    <w:widowControl/>
                    <w:adjustRightInd w:val="0"/>
                    <w:snapToGrid w:val="0"/>
                    <w:rPr>
                      <w:color w:val="auto"/>
                      <w:szCs w:val="21"/>
                      <w:highlight w:val="none"/>
                    </w:rPr>
                  </w:pPr>
                  <w:r>
                    <w:rPr>
                      <w:rFonts w:hint="eastAsia"/>
                      <w:color w:val="auto"/>
                      <w:highlight w:val="none"/>
                    </w:rPr>
                    <w:t>本项目用地为《陕西大秦鹮农业科技有限公司设施农用地备案通知书（洋龙备字[2024]16号）》中的物流仓储用地</w:t>
                  </w:r>
                  <w:r>
                    <w:rPr>
                      <w:rFonts w:hint="eastAsia"/>
                      <w:color w:val="auto"/>
                      <w:highlight w:val="none"/>
                      <w:lang w:eastAsia="zh-CN"/>
                    </w:rPr>
                    <w:t>（总面积2978.05</w:t>
                  </w:r>
                  <w:r>
                    <w:rPr>
                      <w:rFonts w:hint="eastAsia"/>
                      <w:color w:val="auto"/>
                      <w:highlight w:val="none"/>
                      <w:lang w:val="en-US" w:eastAsia="zh-CN"/>
                    </w:rPr>
                    <w:t>m</w:t>
                  </w:r>
                  <w:r>
                    <w:rPr>
                      <w:rFonts w:hint="eastAsia"/>
                      <w:color w:val="auto"/>
                      <w:highlight w:val="none"/>
                      <w:vertAlign w:val="superscript"/>
                      <w:lang w:val="en-US" w:eastAsia="zh-CN"/>
                    </w:rPr>
                    <w:t>2</w:t>
                  </w:r>
                  <w:r>
                    <w:rPr>
                      <w:rFonts w:hint="eastAsia"/>
                      <w:color w:val="auto"/>
                      <w:highlight w:val="none"/>
                      <w:lang w:eastAsia="zh-CN"/>
                    </w:rPr>
                    <w:t>）</w:t>
                  </w:r>
                  <w:r>
                    <w:rPr>
                      <w:rFonts w:hint="eastAsia"/>
                      <w:color w:val="auto"/>
                      <w:highlight w:val="none"/>
                    </w:rPr>
                    <w:t>，主要进行果蔬干</w:t>
                  </w:r>
                  <w:r>
                    <w:rPr>
                      <w:rFonts w:hint="eastAsia"/>
                      <w:color w:val="auto"/>
                      <w:highlight w:val="none"/>
                      <w:lang w:eastAsia="zh-CN"/>
                    </w:rPr>
                    <w:t>的生产</w:t>
                  </w:r>
                  <w:r>
                    <w:rPr>
                      <w:rFonts w:hint="eastAsia"/>
                      <w:color w:val="auto"/>
                      <w:highlight w:val="none"/>
                    </w:rPr>
                    <w:t>加工</w:t>
                  </w:r>
                  <w:r>
                    <w:rPr>
                      <w:rFonts w:hint="eastAsia"/>
                      <w:color w:val="auto"/>
                      <w:highlight w:val="none"/>
                      <w:lang w:eastAsia="zh-CN"/>
                    </w:rPr>
                    <w:t>、烘干晾晒、分拣包装、产品检验和保鲜存储等</w:t>
                  </w:r>
                  <w:r>
                    <w:rPr>
                      <w:rFonts w:hint="eastAsia"/>
                      <w:color w:val="auto"/>
                      <w:highlight w:val="none"/>
                    </w:rPr>
                    <w:t>，与该地块用途相符。运营期内电能、水、土地等不会突破资源利用上线。</w:t>
                  </w:r>
                </w:p>
              </w:tc>
              <w:tc>
                <w:tcPr>
                  <w:tcW w:w="727" w:type="dxa"/>
                  <w:vAlign w:val="center"/>
                </w:tcPr>
                <w:p w14:paraId="516337A8">
                  <w:pPr>
                    <w:adjustRightInd w:val="0"/>
                    <w:snapToGrid w:val="0"/>
                    <w:jc w:val="center"/>
                    <w:rPr>
                      <w:color w:val="auto"/>
                      <w:szCs w:val="21"/>
                      <w:highlight w:val="none"/>
                    </w:rPr>
                  </w:pPr>
                  <w:r>
                    <w:rPr>
                      <w:color w:val="auto"/>
                      <w:szCs w:val="21"/>
                      <w:highlight w:val="none"/>
                    </w:rPr>
                    <w:t>符合</w:t>
                  </w:r>
                </w:p>
              </w:tc>
            </w:tr>
            <w:tr w14:paraId="633AE92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688" w:type="dxa"/>
                  <w:vMerge w:val="continue"/>
                  <w:vAlign w:val="center"/>
                </w:tcPr>
                <w:p w14:paraId="4ADCAB46">
                  <w:pPr>
                    <w:adjustRightInd w:val="0"/>
                    <w:snapToGrid w:val="0"/>
                    <w:jc w:val="center"/>
                    <w:rPr>
                      <w:color w:val="auto"/>
                      <w:szCs w:val="21"/>
                      <w:highlight w:val="none"/>
                    </w:rPr>
                  </w:pPr>
                </w:p>
              </w:tc>
              <w:tc>
                <w:tcPr>
                  <w:tcW w:w="4625" w:type="dxa"/>
                  <w:vAlign w:val="center"/>
                </w:tcPr>
                <w:p w14:paraId="0EA366D6">
                  <w:pPr>
                    <w:widowControl/>
                    <w:adjustRightInd w:val="0"/>
                    <w:snapToGrid w:val="0"/>
                    <w:spacing w:line="280" w:lineRule="exact"/>
                    <w:rPr>
                      <w:color w:val="auto"/>
                      <w:szCs w:val="21"/>
                      <w:highlight w:val="none"/>
                    </w:rPr>
                  </w:pPr>
                  <w:r>
                    <w:rPr>
                      <w:color w:val="auto"/>
                      <w:highlight w:val="none"/>
                    </w:rPr>
                    <w:t>环境准入负面清单是基于生态保护红线、环境质量底线和资源利用上线，以清单方式列出的禁止、限制等差别化环境准入条件和要求。要在规划环评清单式管理试点的基础上，从布局选址、资源利用效率、资源配置方式等方面入手，制定环境准入负面清单，充分发挥负面清单对产业发展和项目准入的指导和约束作用</w:t>
                  </w:r>
                </w:p>
              </w:tc>
              <w:tc>
                <w:tcPr>
                  <w:tcW w:w="2157" w:type="dxa"/>
                  <w:vAlign w:val="center"/>
                </w:tcPr>
                <w:p w14:paraId="2DACE161">
                  <w:pPr>
                    <w:widowControl/>
                    <w:adjustRightInd w:val="0"/>
                    <w:snapToGrid w:val="0"/>
                    <w:rPr>
                      <w:color w:val="auto"/>
                      <w:szCs w:val="21"/>
                      <w:highlight w:val="none"/>
                    </w:rPr>
                  </w:pPr>
                  <w:r>
                    <w:rPr>
                      <w:rFonts w:hAnsi="宋体"/>
                      <w:color w:val="auto"/>
                      <w:szCs w:val="21"/>
                      <w:highlight w:val="none"/>
                    </w:rPr>
                    <w:t>项目不</w:t>
                  </w:r>
                  <w:r>
                    <w:rPr>
                      <w:rFonts w:hint="eastAsia" w:hAnsi="宋体"/>
                      <w:color w:val="auto"/>
                      <w:szCs w:val="21"/>
                      <w:highlight w:val="none"/>
                    </w:rPr>
                    <w:t>属于《汉中市生态环境准入清单（试行）》中禁止与限制开发建设活动，且不属于</w:t>
                  </w:r>
                  <w:r>
                    <w:rPr>
                      <w:rFonts w:hAnsi="宋体"/>
                      <w:color w:val="auto"/>
                      <w:szCs w:val="21"/>
                      <w:highlight w:val="none"/>
                    </w:rPr>
                    <w:t>《陕西省</w:t>
                  </w:r>
                  <w:r>
                    <w:rPr>
                      <w:rFonts w:hint="eastAsia" w:hAnsi="宋体"/>
                      <w:color w:val="auto"/>
                      <w:szCs w:val="21"/>
                      <w:highlight w:val="none"/>
                    </w:rPr>
                    <w:t>洋县</w:t>
                  </w:r>
                  <w:r>
                    <w:rPr>
                      <w:rFonts w:hAnsi="宋体"/>
                      <w:color w:val="auto"/>
                      <w:szCs w:val="21"/>
                      <w:highlight w:val="none"/>
                    </w:rPr>
                    <w:t>重点生态功能区产业准入负面清单》</w:t>
                  </w:r>
                  <w:r>
                    <w:rPr>
                      <w:rFonts w:hint="eastAsia" w:hAnsi="宋体"/>
                      <w:color w:val="auto"/>
                      <w:szCs w:val="21"/>
                      <w:highlight w:val="none"/>
                    </w:rPr>
                    <w:t>规定的禁止与限制管控产业。</w:t>
                  </w:r>
                </w:p>
              </w:tc>
              <w:tc>
                <w:tcPr>
                  <w:tcW w:w="727" w:type="dxa"/>
                  <w:vAlign w:val="center"/>
                </w:tcPr>
                <w:p w14:paraId="5C4F2492">
                  <w:pPr>
                    <w:adjustRightInd w:val="0"/>
                    <w:snapToGrid w:val="0"/>
                    <w:jc w:val="center"/>
                    <w:rPr>
                      <w:color w:val="auto"/>
                      <w:szCs w:val="21"/>
                      <w:highlight w:val="none"/>
                    </w:rPr>
                  </w:pPr>
                  <w:r>
                    <w:rPr>
                      <w:color w:val="auto"/>
                      <w:szCs w:val="21"/>
                      <w:highlight w:val="none"/>
                    </w:rPr>
                    <w:t>符合</w:t>
                  </w:r>
                </w:p>
              </w:tc>
            </w:tr>
          </w:tbl>
          <w:p w14:paraId="66105204">
            <w:pPr>
              <w:adjustRightInd w:val="0"/>
              <w:snapToGrid w:val="0"/>
              <w:spacing w:line="360" w:lineRule="auto"/>
              <w:ind w:firstLine="480" w:firstLineChars="200"/>
              <w:rPr>
                <w:color w:val="auto"/>
                <w:sz w:val="24"/>
                <w:highlight w:val="none"/>
              </w:rPr>
            </w:pPr>
            <w:r>
              <w:rPr>
                <w:rFonts w:hint="eastAsia"/>
                <w:color w:val="auto"/>
                <w:sz w:val="24"/>
                <w:highlight w:val="none"/>
              </w:rPr>
              <w:t>（2）</w:t>
            </w:r>
            <w:r>
              <w:rPr>
                <w:color w:val="auto"/>
                <w:sz w:val="24"/>
                <w:highlight w:val="none"/>
              </w:rPr>
              <w:t>与《汉中市“三线一单”生态环境分区管控方案》的符合性</w:t>
            </w:r>
            <w:r>
              <w:rPr>
                <w:rFonts w:hint="eastAsia"/>
                <w:color w:val="auto"/>
                <w:sz w:val="24"/>
                <w:highlight w:val="none"/>
              </w:rPr>
              <w:t>分析</w:t>
            </w:r>
          </w:p>
          <w:p w14:paraId="1B274829">
            <w:pPr>
              <w:spacing w:line="360" w:lineRule="auto"/>
              <w:ind w:firstLine="480" w:firstLineChars="200"/>
              <w:rPr>
                <w:color w:val="auto"/>
                <w:sz w:val="24"/>
                <w:highlight w:val="none"/>
              </w:rPr>
            </w:pPr>
            <w:r>
              <w:rPr>
                <w:rFonts w:hint="eastAsia"/>
                <w:color w:val="auto"/>
                <w:sz w:val="24"/>
                <w:szCs w:val="32"/>
                <w:highlight w:val="none"/>
              </w:rPr>
              <w:t>根据汉中市人民政府办公室《关于印发2023年汉中市生态环境分区管控调整方案的通知》（汉政办函〔2024〕23号），结合“陕西省‘三线一单’数据应用管理平台（V1.0）”分析可知：</w:t>
            </w:r>
            <w:r>
              <w:rPr>
                <w:color w:val="auto"/>
                <w:sz w:val="24"/>
                <w:szCs w:val="32"/>
                <w:highlight w:val="none"/>
              </w:rPr>
              <w:t>本</w:t>
            </w:r>
            <w:r>
              <w:rPr>
                <w:rFonts w:hint="eastAsia"/>
                <w:color w:val="auto"/>
                <w:sz w:val="24"/>
                <w:szCs w:val="32"/>
                <w:highlight w:val="none"/>
              </w:rPr>
              <w:t>项目所在区域属重点管控单元—洋县重点管控单元1，具体分析内容见下文“一图一表一说明”。</w:t>
            </w:r>
          </w:p>
          <w:p w14:paraId="4D08052A">
            <w:pPr>
              <w:spacing w:line="360" w:lineRule="auto"/>
              <w:ind w:firstLine="480" w:firstLineChars="200"/>
              <w:rPr>
                <w:color w:val="auto"/>
                <w:sz w:val="24"/>
                <w:szCs w:val="32"/>
                <w:highlight w:val="none"/>
              </w:rPr>
            </w:pPr>
            <w:r>
              <w:rPr>
                <w:rFonts w:hint="eastAsia" w:ascii="宋体" w:hAnsi="宋体" w:cs="宋体"/>
                <w:color w:val="auto"/>
                <w:sz w:val="24"/>
                <w:szCs w:val="32"/>
                <w:highlight w:val="none"/>
              </w:rPr>
              <w:t>①</w:t>
            </w:r>
            <w:r>
              <w:rPr>
                <w:rFonts w:hint="eastAsia"/>
                <w:color w:val="auto"/>
                <w:sz w:val="24"/>
                <w:szCs w:val="32"/>
                <w:highlight w:val="none"/>
              </w:rPr>
              <w:t>一图：</w:t>
            </w:r>
          </w:p>
          <w:p w14:paraId="47BB05E8">
            <w:pPr>
              <w:pStyle w:val="46"/>
              <w:jc w:val="both"/>
              <w:rPr>
                <w:rFonts w:ascii="Times New Roman" w:cs="Times New Roman"/>
                <w:b/>
                <w:color w:val="auto"/>
                <w:sz w:val="21"/>
                <w:szCs w:val="18"/>
                <w:highlight w:val="none"/>
              </w:rPr>
            </w:pPr>
            <w:r>
              <w:rPr>
                <w:color w:val="auto"/>
                <w:highlight w:val="none"/>
              </w:rPr>
              <w:drawing>
                <wp:inline distT="0" distB="0" distL="114300" distR="114300">
                  <wp:extent cx="5100320" cy="4182110"/>
                  <wp:effectExtent l="0" t="0" r="5080" b="8890"/>
                  <wp:docPr id="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9"/>
                          <pic:cNvPicPr>
                            <a:picLocks noChangeAspect="1"/>
                          </pic:cNvPicPr>
                        </pic:nvPicPr>
                        <pic:blipFill>
                          <a:blip r:embed="rId9"/>
                          <a:stretch>
                            <a:fillRect/>
                          </a:stretch>
                        </pic:blipFill>
                        <pic:spPr>
                          <a:xfrm>
                            <a:off x="0" y="0"/>
                            <a:ext cx="5100320" cy="4182110"/>
                          </a:xfrm>
                          <a:prstGeom prst="rect">
                            <a:avLst/>
                          </a:prstGeom>
                          <a:noFill/>
                          <a:ln>
                            <a:noFill/>
                          </a:ln>
                        </pic:spPr>
                      </pic:pic>
                    </a:graphicData>
                  </a:graphic>
                </wp:inline>
              </w:drawing>
            </w:r>
          </w:p>
          <w:p w14:paraId="6CDE7377">
            <w:pPr>
              <w:pStyle w:val="46"/>
              <w:spacing w:line="360" w:lineRule="auto"/>
              <w:jc w:val="center"/>
              <w:rPr>
                <w:rFonts w:ascii="Times New Roman" w:cs="Times New Roman"/>
                <w:b/>
                <w:color w:val="auto"/>
                <w:sz w:val="21"/>
                <w:szCs w:val="21"/>
                <w:highlight w:val="none"/>
              </w:rPr>
            </w:pPr>
            <w:r>
              <w:rPr>
                <w:rFonts w:ascii="Times New Roman" w:cs="Times New Roman"/>
                <w:b/>
                <w:color w:val="auto"/>
                <w:sz w:val="21"/>
                <w:szCs w:val="21"/>
                <w:highlight w:val="none"/>
              </w:rPr>
              <w:t>图1-1   项目与陕西省“三线一单”数据应用系统对比图</w:t>
            </w:r>
          </w:p>
          <w:p w14:paraId="2D00826F">
            <w:pPr>
              <w:pStyle w:val="46"/>
              <w:spacing w:line="360" w:lineRule="auto"/>
              <w:ind w:firstLine="480" w:firstLineChars="200"/>
              <w:jc w:val="both"/>
              <w:rPr>
                <w:rFonts w:ascii="Times New Roman" w:cs="Times New Roman"/>
                <w:bCs/>
                <w:color w:val="auto"/>
                <w:highlight w:val="none"/>
              </w:rPr>
            </w:pPr>
            <w:r>
              <w:rPr>
                <w:rFonts w:hint="eastAsia" w:hAnsi="宋体"/>
                <w:bCs/>
                <w:color w:val="auto"/>
                <w:highlight w:val="none"/>
              </w:rPr>
              <w:t>②</w:t>
            </w:r>
            <w:r>
              <w:rPr>
                <w:rFonts w:hint="eastAsia" w:ascii="Times New Roman" w:cs="Times New Roman"/>
                <w:bCs/>
                <w:color w:val="auto"/>
                <w:highlight w:val="none"/>
              </w:rPr>
              <w:t>一表：</w:t>
            </w:r>
          </w:p>
          <w:p w14:paraId="0798ACE0">
            <w:pPr>
              <w:pStyle w:val="46"/>
              <w:jc w:val="center"/>
              <w:rPr>
                <w:rFonts w:ascii="Times New Roman" w:cs="Times New Roman"/>
                <w:color w:val="auto"/>
                <w:sz w:val="21"/>
                <w:szCs w:val="21"/>
                <w:highlight w:val="none"/>
              </w:rPr>
            </w:pPr>
            <w:r>
              <w:rPr>
                <w:rFonts w:ascii="Times New Roman" w:cs="Times New Roman"/>
                <w:b/>
                <w:color w:val="auto"/>
                <w:sz w:val="21"/>
                <w:szCs w:val="18"/>
                <w:highlight w:val="none"/>
              </w:rPr>
              <w:t>表1-</w:t>
            </w:r>
            <w:r>
              <w:rPr>
                <w:rFonts w:hint="eastAsia" w:ascii="Times New Roman" w:cs="Times New Roman"/>
                <w:b/>
                <w:color w:val="auto"/>
                <w:sz w:val="21"/>
                <w:szCs w:val="18"/>
                <w:highlight w:val="none"/>
              </w:rPr>
              <w:t>2</w:t>
            </w:r>
            <w:r>
              <w:rPr>
                <w:rFonts w:ascii="Times New Roman" w:cs="Times New Roman"/>
                <w:b/>
                <w:color w:val="auto"/>
                <w:sz w:val="21"/>
                <w:szCs w:val="18"/>
                <w:highlight w:val="none"/>
              </w:rPr>
              <w:t xml:space="preserve">  项目与汉中市“三线一单”生态环境分区管控方案相符性分析</w:t>
            </w:r>
          </w:p>
          <w:tbl>
            <w:tblPr>
              <w:tblStyle w:val="35"/>
              <w:tblW w:w="8132" w:type="dxa"/>
              <w:tblInd w:w="-82"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717"/>
              <w:gridCol w:w="696"/>
              <w:gridCol w:w="2582"/>
              <w:gridCol w:w="889"/>
              <w:gridCol w:w="1187"/>
              <w:gridCol w:w="842"/>
              <w:gridCol w:w="1219"/>
            </w:tblGrid>
            <w:tr w14:paraId="2C6655D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72" w:hRule="atLeast"/>
              </w:trPr>
              <w:tc>
                <w:tcPr>
                  <w:tcW w:w="440" w:type="pct"/>
                  <w:tcBorders>
                    <w:tl2br w:val="nil"/>
                    <w:tr2bl w:val="nil"/>
                  </w:tcBorders>
                  <w:vAlign w:val="center"/>
                </w:tcPr>
                <w:p w14:paraId="072CCAF8">
                  <w:pPr>
                    <w:pStyle w:val="46"/>
                    <w:jc w:val="center"/>
                    <w:rPr>
                      <w:rFonts w:ascii="Times New Roman" w:cs="Times New Roman"/>
                      <w:color w:val="auto"/>
                      <w:sz w:val="21"/>
                      <w:szCs w:val="21"/>
                      <w:highlight w:val="none"/>
                    </w:rPr>
                  </w:pPr>
                  <w:r>
                    <w:rPr>
                      <w:rFonts w:ascii="Times New Roman" w:cs="Times New Roman"/>
                      <w:color w:val="auto"/>
                      <w:sz w:val="21"/>
                      <w:szCs w:val="21"/>
                      <w:highlight w:val="none"/>
                    </w:rPr>
                    <w:t>适用</w:t>
                  </w:r>
                </w:p>
                <w:p w14:paraId="5C734B68">
                  <w:pPr>
                    <w:pStyle w:val="46"/>
                    <w:jc w:val="center"/>
                    <w:rPr>
                      <w:rFonts w:ascii="Times New Roman" w:cs="Times New Roman"/>
                      <w:color w:val="auto"/>
                      <w:sz w:val="21"/>
                      <w:szCs w:val="21"/>
                      <w:highlight w:val="none"/>
                    </w:rPr>
                  </w:pPr>
                  <w:r>
                    <w:rPr>
                      <w:rFonts w:ascii="Times New Roman" w:cs="Times New Roman"/>
                      <w:color w:val="auto"/>
                      <w:sz w:val="21"/>
                      <w:szCs w:val="21"/>
                      <w:highlight w:val="none"/>
                    </w:rPr>
                    <w:t>范围</w:t>
                  </w:r>
                </w:p>
              </w:tc>
              <w:tc>
                <w:tcPr>
                  <w:tcW w:w="427" w:type="pct"/>
                  <w:tcBorders>
                    <w:tl2br w:val="nil"/>
                    <w:tr2bl w:val="nil"/>
                  </w:tcBorders>
                  <w:vAlign w:val="center"/>
                </w:tcPr>
                <w:p w14:paraId="4E20C147">
                  <w:pPr>
                    <w:pStyle w:val="46"/>
                    <w:jc w:val="center"/>
                    <w:rPr>
                      <w:rFonts w:ascii="Times New Roman" w:cs="Times New Roman"/>
                      <w:color w:val="auto"/>
                      <w:sz w:val="21"/>
                      <w:szCs w:val="21"/>
                      <w:highlight w:val="none"/>
                    </w:rPr>
                  </w:pPr>
                  <w:r>
                    <w:rPr>
                      <w:rFonts w:ascii="Times New Roman" w:cs="Times New Roman"/>
                      <w:color w:val="auto"/>
                      <w:sz w:val="21"/>
                      <w:szCs w:val="21"/>
                      <w:highlight w:val="none"/>
                    </w:rPr>
                    <w:t>管控</w:t>
                  </w:r>
                </w:p>
                <w:p w14:paraId="59A39B3B">
                  <w:pPr>
                    <w:pStyle w:val="46"/>
                    <w:jc w:val="center"/>
                    <w:rPr>
                      <w:rFonts w:ascii="Times New Roman" w:cs="Times New Roman"/>
                      <w:color w:val="auto"/>
                      <w:sz w:val="21"/>
                      <w:szCs w:val="21"/>
                      <w:highlight w:val="none"/>
                    </w:rPr>
                  </w:pPr>
                  <w:r>
                    <w:rPr>
                      <w:rFonts w:ascii="Times New Roman" w:cs="Times New Roman"/>
                      <w:color w:val="auto"/>
                      <w:sz w:val="21"/>
                      <w:szCs w:val="21"/>
                      <w:highlight w:val="none"/>
                    </w:rPr>
                    <w:t>维度</w:t>
                  </w:r>
                </w:p>
              </w:tc>
              <w:tc>
                <w:tcPr>
                  <w:tcW w:w="2134" w:type="pct"/>
                  <w:gridSpan w:val="2"/>
                  <w:tcBorders>
                    <w:tl2br w:val="nil"/>
                    <w:tr2bl w:val="nil"/>
                  </w:tcBorders>
                  <w:vAlign w:val="center"/>
                </w:tcPr>
                <w:p w14:paraId="7487097C">
                  <w:pPr>
                    <w:pStyle w:val="46"/>
                    <w:jc w:val="center"/>
                    <w:rPr>
                      <w:rFonts w:ascii="Times New Roman" w:cs="Times New Roman"/>
                      <w:color w:val="auto"/>
                      <w:sz w:val="21"/>
                      <w:szCs w:val="21"/>
                      <w:highlight w:val="none"/>
                    </w:rPr>
                  </w:pPr>
                  <w:r>
                    <w:rPr>
                      <w:rFonts w:ascii="Times New Roman" w:cs="Times New Roman"/>
                      <w:color w:val="auto"/>
                      <w:sz w:val="21"/>
                      <w:szCs w:val="21"/>
                      <w:highlight w:val="none"/>
                    </w:rPr>
                    <w:t>管控要求</w:t>
                  </w:r>
                </w:p>
              </w:tc>
              <w:tc>
                <w:tcPr>
                  <w:tcW w:w="1247" w:type="pct"/>
                  <w:gridSpan w:val="2"/>
                  <w:tcBorders>
                    <w:tl2br w:val="nil"/>
                    <w:tr2bl w:val="nil"/>
                  </w:tcBorders>
                  <w:vAlign w:val="center"/>
                </w:tcPr>
                <w:p w14:paraId="7B83DF31">
                  <w:pPr>
                    <w:pStyle w:val="46"/>
                    <w:jc w:val="center"/>
                    <w:rPr>
                      <w:rFonts w:ascii="Times New Roman" w:cs="Times New Roman"/>
                      <w:color w:val="auto"/>
                      <w:sz w:val="21"/>
                      <w:szCs w:val="21"/>
                      <w:highlight w:val="none"/>
                    </w:rPr>
                  </w:pPr>
                  <w:r>
                    <w:rPr>
                      <w:rFonts w:ascii="Times New Roman" w:cs="Times New Roman"/>
                      <w:color w:val="auto"/>
                      <w:sz w:val="21"/>
                      <w:szCs w:val="21"/>
                      <w:highlight w:val="none"/>
                    </w:rPr>
                    <w:t>本项目情况</w:t>
                  </w:r>
                </w:p>
              </w:tc>
              <w:tc>
                <w:tcPr>
                  <w:tcW w:w="749" w:type="pct"/>
                  <w:tcBorders>
                    <w:tl2br w:val="nil"/>
                    <w:tr2bl w:val="nil"/>
                  </w:tcBorders>
                  <w:vAlign w:val="center"/>
                </w:tcPr>
                <w:p w14:paraId="0D165277">
                  <w:pPr>
                    <w:pStyle w:val="46"/>
                    <w:jc w:val="center"/>
                    <w:rPr>
                      <w:rFonts w:ascii="Times New Roman" w:cs="Times New Roman"/>
                      <w:color w:val="auto"/>
                      <w:sz w:val="21"/>
                      <w:szCs w:val="21"/>
                      <w:highlight w:val="none"/>
                    </w:rPr>
                  </w:pPr>
                  <w:r>
                    <w:rPr>
                      <w:rFonts w:ascii="Times New Roman" w:cs="Times New Roman"/>
                      <w:color w:val="auto"/>
                      <w:sz w:val="21"/>
                      <w:szCs w:val="21"/>
                      <w:highlight w:val="none"/>
                    </w:rPr>
                    <w:t>符合性</w:t>
                  </w:r>
                </w:p>
              </w:tc>
            </w:tr>
            <w:tr w14:paraId="190B62C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440" w:type="pct"/>
                  <w:vMerge w:val="restart"/>
                  <w:tcBorders>
                    <w:tl2br w:val="nil"/>
                    <w:tr2bl w:val="nil"/>
                  </w:tcBorders>
                  <w:vAlign w:val="center"/>
                </w:tcPr>
                <w:p w14:paraId="66114F47">
                  <w:pPr>
                    <w:pStyle w:val="46"/>
                    <w:jc w:val="center"/>
                    <w:rPr>
                      <w:rFonts w:ascii="Times New Roman" w:cs="Times New Roman"/>
                      <w:color w:val="auto"/>
                      <w:sz w:val="21"/>
                      <w:szCs w:val="21"/>
                      <w:highlight w:val="none"/>
                    </w:rPr>
                  </w:pPr>
                </w:p>
                <w:p w14:paraId="709444C7">
                  <w:pPr>
                    <w:pStyle w:val="46"/>
                    <w:jc w:val="center"/>
                    <w:rPr>
                      <w:rFonts w:ascii="Times New Roman" w:cs="Times New Roman"/>
                      <w:color w:val="auto"/>
                      <w:sz w:val="21"/>
                      <w:szCs w:val="21"/>
                      <w:highlight w:val="none"/>
                    </w:rPr>
                  </w:pPr>
                </w:p>
                <w:p w14:paraId="0458DD6B">
                  <w:pPr>
                    <w:pStyle w:val="46"/>
                    <w:jc w:val="center"/>
                    <w:rPr>
                      <w:rFonts w:ascii="Times New Roman" w:cs="Times New Roman"/>
                      <w:color w:val="auto"/>
                      <w:sz w:val="21"/>
                      <w:szCs w:val="21"/>
                      <w:highlight w:val="none"/>
                    </w:rPr>
                  </w:pPr>
                </w:p>
                <w:p w14:paraId="708776A6">
                  <w:pPr>
                    <w:pStyle w:val="46"/>
                    <w:jc w:val="center"/>
                    <w:rPr>
                      <w:rFonts w:ascii="Times New Roman" w:cs="Times New Roman"/>
                      <w:color w:val="auto"/>
                      <w:sz w:val="21"/>
                      <w:szCs w:val="21"/>
                      <w:highlight w:val="none"/>
                    </w:rPr>
                  </w:pPr>
                </w:p>
                <w:p w14:paraId="54B3366F">
                  <w:pPr>
                    <w:pStyle w:val="46"/>
                    <w:jc w:val="center"/>
                    <w:rPr>
                      <w:rFonts w:ascii="Times New Roman" w:cs="Times New Roman"/>
                      <w:color w:val="auto"/>
                      <w:sz w:val="21"/>
                      <w:szCs w:val="21"/>
                      <w:highlight w:val="none"/>
                    </w:rPr>
                  </w:pPr>
                </w:p>
                <w:p w14:paraId="48940A00">
                  <w:pPr>
                    <w:pStyle w:val="46"/>
                    <w:jc w:val="center"/>
                    <w:rPr>
                      <w:rFonts w:ascii="Times New Roman" w:cs="Times New Roman"/>
                      <w:color w:val="auto"/>
                      <w:sz w:val="21"/>
                      <w:szCs w:val="21"/>
                      <w:highlight w:val="none"/>
                    </w:rPr>
                  </w:pPr>
                </w:p>
                <w:p w14:paraId="6BEF382C">
                  <w:pPr>
                    <w:pStyle w:val="46"/>
                    <w:jc w:val="center"/>
                    <w:rPr>
                      <w:rFonts w:ascii="Times New Roman" w:cs="Times New Roman"/>
                      <w:color w:val="auto"/>
                      <w:sz w:val="21"/>
                      <w:szCs w:val="21"/>
                      <w:highlight w:val="none"/>
                    </w:rPr>
                  </w:pPr>
                </w:p>
                <w:p w14:paraId="2C9B57E1">
                  <w:pPr>
                    <w:pStyle w:val="46"/>
                    <w:jc w:val="center"/>
                    <w:rPr>
                      <w:rFonts w:ascii="Times New Roman" w:cs="Times New Roman"/>
                      <w:color w:val="auto"/>
                      <w:sz w:val="21"/>
                      <w:szCs w:val="21"/>
                      <w:highlight w:val="none"/>
                    </w:rPr>
                  </w:pPr>
                </w:p>
                <w:p w14:paraId="365AC6B7">
                  <w:pPr>
                    <w:pStyle w:val="46"/>
                    <w:jc w:val="center"/>
                    <w:rPr>
                      <w:rFonts w:ascii="Times New Roman" w:cs="Times New Roman"/>
                      <w:color w:val="auto"/>
                      <w:sz w:val="21"/>
                      <w:szCs w:val="21"/>
                      <w:highlight w:val="none"/>
                    </w:rPr>
                  </w:pPr>
                </w:p>
                <w:p w14:paraId="43604468">
                  <w:pPr>
                    <w:pStyle w:val="46"/>
                    <w:jc w:val="center"/>
                    <w:rPr>
                      <w:rFonts w:ascii="Times New Roman" w:cs="Times New Roman"/>
                      <w:color w:val="auto"/>
                      <w:sz w:val="21"/>
                      <w:szCs w:val="21"/>
                      <w:highlight w:val="none"/>
                    </w:rPr>
                  </w:pPr>
                </w:p>
                <w:p w14:paraId="5B72E190">
                  <w:pPr>
                    <w:pStyle w:val="46"/>
                    <w:jc w:val="center"/>
                    <w:rPr>
                      <w:rFonts w:ascii="Times New Roman" w:cs="Times New Roman"/>
                      <w:color w:val="auto"/>
                      <w:sz w:val="21"/>
                      <w:szCs w:val="21"/>
                      <w:highlight w:val="none"/>
                    </w:rPr>
                  </w:pPr>
                </w:p>
                <w:p w14:paraId="0988946F">
                  <w:pPr>
                    <w:pStyle w:val="46"/>
                    <w:jc w:val="center"/>
                    <w:rPr>
                      <w:rFonts w:ascii="Times New Roman" w:cs="Times New Roman"/>
                      <w:color w:val="auto"/>
                      <w:sz w:val="21"/>
                      <w:szCs w:val="21"/>
                      <w:highlight w:val="none"/>
                    </w:rPr>
                  </w:pPr>
                </w:p>
                <w:p w14:paraId="2AEFF266">
                  <w:pPr>
                    <w:pStyle w:val="46"/>
                    <w:jc w:val="center"/>
                    <w:rPr>
                      <w:rFonts w:ascii="Times New Roman" w:cs="Times New Roman"/>
                      <w:color w:val="auto"/>
                      <w:sz w:val="21"/>
                      <w:szCs w:val="21"/>
                      <w:highlight w:val="none"/>
                    </w:rPr>
                  </w:pPr>
                </w:p>
                <w:p w14:paraId="56FC1947">
                  <w:pPr>
                    <w:pStyle w:val="46"/>
                    <w:jc w:val="center"/>
                    <w:rPr>
                      <w:rFonts w:ascii="Times New Roman" w:cs="Times New Roman"/>
                      <w:color w:val="auto"/>
                      <w:sz w:val="21"/>
                      <w:szCs w:val="21"/>
                      <w:highlight w:val="none"/>
                    </w:rPr>
                  </w:pPr>
                </w:p>
                <w:p w14:paraId="47DFED74">
                  <w:pPr>
                    <w:pStyle w:val="46"/>
                    <w:jc w:val="center"/>
                    <w:rPr>
                      <w:rFonts w:ascii="Times New Roman" w:cs="Times New Roman"/>
                      <w:color w:val="auto"/>
                      <w:sz w:val="21"/>
                      <w:szCs w:val="21"/>
                      <w:highlight w:val="none"/>
                    </w:rPr>
                  </w:pPr>
                </w:p>
                <w:p w14:paraId="5DDDC0A0">
                  <w:pPr>
                    <w:pStyle w:val="46"/>
                    <w:jc w:val="center"/>
                    <w:rPr>
                      <w:rFonts w:ascii="Times New Roman" w:cs="Times New Roman"/>
                      <w:color w:val="auto"/>
                      <w:sz w:val="21"/>
                      <w:szCs w:val="21"/>
                      <w:highlight w:val="none"/>
                    </w:rPr>
                  </w:pPr>
                </w:p>
                <w:p w14:paraId="0A049057">
                  <w:pPr>
                    <w:pStyle w:val="46"/>
                    <w:jc w:val="center"/>
                    <w:rPr>
                      <w:rFonts w:ascii="Times New Roman" w:cs="Times New Roman"/>
                      <w:color w:val="auto"/>
                      <w:sz w:val="21"/>
                      <w:szCs w:val="21"/>
                      <w:highlight w:val="none"/>
                    </w:rPr>
                  </w:pPr>
                </w:p>
                <w:p w14:paraId="7C66168A">
                  <w:pPr>
                    <w:pStyle w:val="46"/>
                    <w:jc w:val="center"/>
                    <w:rPr>
                      <w:rFonts w:ascii="Times New Roman" w:cs="Times New Roman"/>
                      <w:color w:val="auto"/>
                      <w:sz w:val="21"/>
                      <w:szCs w:val="21"/>
                      <w:highlight w:val="none"/>
                    </w:rPr>
                  </w:pPr>
                </w:p>
                <w:p w14:paraId="0BEBFFA9">
                  <w:pPr>
                    <w:pStyle w:val="46"/>
                    <w:jc w:val="center"/>
                    <w:rPr>
                      <w:rFonts w:ascii="Times New Roman" w:cs="Times New Roman"/>
                      <w:color w:val="auto"/>
                      <w:sz w:val="21"/>
                      <w:szCs w:val="21"/>
                      <w:highlight w:val="none"/>
                    </w:rPr>
                  </w:pPr>
                </w:p>
                <w:p w14:paraId="5B1FA8C6">
                  <w:pPr>
                    <w:pStyle w:val="46"/>
                    <w:jc w:val="center"/>
                    <w:rPr>
                      <w:rFonts w:ascii="Times New Roman" w:cs="Times New Roman"/>
                      <w:color w:val="auto"/>
                      <w:sz w:val="21"/>
                      <w:szCs w:val="21"/>
                      <w:highlight w:val="none"/>
                    </w:rPr>
                  </w:pPr>
                </w:p>
                <w:p w14:paraId="027AFEF5">
                  <w:pPr>
                    <w:pStyle w:val="46"/>
                    <w:jc w:val="center"/>
                    <w:rPr>
                      <w:rFonts w:ascii="Times New Roman" w:cs="Times New Roman"/>
                      <w:color w:val="auto"/>
                      <w:sz w:val="21"/>
                      <w:szCs w:val="21"/>
                      <w:highlight w:val="none"/>
                    </w:rPr>
                  </w:pPr>
                </w:p>
                <w:p w14:paraId="18D7FE32">
                  <w:pPr>
                    <w:pStyle w:val="46"/>
                    <w:jc w:val="center"/>
                    <w:rPr>
                      <w:rFonts w:ascii="Times New Roman" w:cs="Times New Roman"/>
                      <w:color w:val="auto"/>
                      <w:sz w:val="21"/>
                      <w:szCs w:val="21"/>
                      <w:highlight w:val="none"/>
                    </w:rPr>
                  </w:pPr>
                </w:p>
                <w:p w14:paraId="6CF875FE">
                  <w:pPr>
                    <w:pStyle w:val="46"/>
                    <w:jc w:val="center"/>
                    <w:rPr>
                      <w:rFonts w:ascii="Times New Roman" w:cs="Times New Roman"/>
                      <w:color w:val="auto"/>
                      <w:sz w:val="21"/>
                      <w:szCs w:val="21"/>
                      <w:highlight w:val="none"/>
                    </w:rPr>
                  </w:pPr>
                  <w:r>
                    <w:rPr>
                      <w:rFonts w:ascii="Times New Roman" w:cs="Times New Roman"/>
                      <w:color w:val="auto"/>
                      <w:sz w:val="21"/>
                      <w:szCs w:val="21"/>
                      <w:highlight w:val="none"/>
                    </w:rPr>
                    <w:t>总体</w:t>
                  </w:r>
                </w:p>
                <w:p w14:paraId="12D37D66">
                  <w:pPr>
                    <w:pStyle w:val="46"/>
                    <w:jc w:val="center"/>
                    <w:rPr>
                      <w:rFonts w:ascii="Times New Roman" w:cs="Times New Roman"/>
                      <w:color w:val="auto"/>
                      <w:sz w:val="21"/>
                      <w:szCs w:val="21"/>
                      <w:highlight w:val="none"/>
                    </w:rPr>
                  </w:pPr>
                  <w:r>
                    <w:rPr>
                      <w:rFonts w:ascii="Times New Roman" w:cs="Times New Roman"/>
                      <w:color w:val="auto"/>
                      <w:sz w:val="21"/>
                      <w:szCs w:val="21"/>
                      <w:highlight w:val="none"/>
                    </w:rPr>
                    <w:t>要求</w:t>
                  </w:r>
                </w:p>
              </w:tc>
              <w:tc>
                <w:tcPr>
                  <w:tcW w:w="427" w:type="pct"/>
                  <w:tcBorders>
                    <w:tl2br w:val="nil"/>
                    <w:tr2bl w:val="nil"/>
                  </w:tcBorders>
                  <w:vAlign w:val="center"/>
                </w:tcPr>
                <w:p w14:paraId="272B4321">
                  <w:pPr>
                    <w:pStyle w:val="46"/>
                    <w:jc w:val="center"/>
                    <w:rPr>
                      <w:rFonts w:ascii="Times New Roman" w:cs="Times New Roman"/>
                      <w:color w:val="auto"/>
                      <w:sz w:val="21"/>
                      <w:szCs w:val="21"/>
                      <w:highlight w:val="none"/>
                    </w:rPr>
                  </w:pPr>
                </w:p>
                <w:p w14:paraId="619C459C">
                  <w:pPr>
                    <w:pStyle w:val="46"/>
                    <w:jc w:val="center"/>
                    <w:rPr>
                      <w:rFonts w:ascii="Times New Roman" w:cs="Times New Roman"/>
                      <w:color w:val="auto"/>
                      <w:sz w:val="21"/>
                      <w:szCs w:val="21"/>
                      <w:highlight w:val="none"/>
                    </w:rPr>
                  </w:pPr>
                </w:p>
                <w:p w14:paraId="361B2033">
                  <w:pPr>
                    <w:pStyle w:val="46"/>
                    <w:jc w:val="center"/>
                    <w:rPr>
                      <w:rFonts w:ascii="Times New Roman" w:cs="Times New Roman"/>
                      <w:color w:val="auto"/>
                      <w:sz w:val="21"/>
                      <w:szCs w:val="21"/>
                      <w:highlight w:val="none"/>
                    </w:rPr>
                  </w:pPr>
                </w:p>
                <w:p w14:paraId="7DD305C4">
                  <w:pPr>
                    <w:pStyle w:val="46"/>
                    <w:jc w:val="center"/>
                    <w:rPr>
                      <w:rFonts w:ascii="Times New Roman" w:cs="Times New Roman"/>
                      <w:color w:val="auto"/>
                      <w:sz w:val="21"/>
                      <w:szCs w:val="21"/>
                      <w:highlight w:val="none"/>
                    </w:rPr>
                  </w:pPr>
                </w:p>
                <w:p w14:paraId="0F8A8285">
                  <w:pPr>
                    <w:pStyle w:val="46"/>
                    <w:jc w:val="center"/>
                    <w:rPr>
                      <w:rFonts w:ascii="Times New Roman" w:cs="Times New Roman"/>
                      <w:color w:val="auto"/>
                      <w:sz w:val="21"/>
                      <w:szCs w:val="21"/>
                      <w:highlight w:val="none"/>
                    </w:rPr>
                  </w:pPr>
                </w:p>
                <w:p w14:paraId="716A28D5">
                  <w:pPr>
                    <w:pStyle w:val="46"/>
                    <w:jc w:val="center"/>
                    <w:rPr>
                      <w:rFonts w:ascii="Times New Roman" w:cs="Times New Roman"/>
                      <w:color w:val="auto"/>
                      <w:sz w:val="21"/>
                      <w:szCs w:val="21"/>
                      <w:highlight w:val="none"/>
                    </w:rPr>
                  </w:pPr>
                </w:p>
                <w:p w14:paraId="0AF3C3B7">
                  <w:pPr>
                    <w:pStyle w:val="46"/>
                    <w:jc w:val="center"/>
                    <w:rPr>
                      <w:rFonts w:ascii="Times New Roman" w:cs="Times New Roman"/>
                      <w:color w:val="auto"/>
                      <w:sz w:val="21"/>
                      <w:szCs w:val="21"/>
                      <w:highlight w:val="none"/>
                    </w:rPr>
                  </w:pPr>
                </w:p>
                <w:p w14:paraId="46770417">
                  <w:pPr>
                    <w:pStyle w:val="46"/>
                    <w:jc w:val="center"/>
                    <w:rPr>
                      <w:rFonts w:ascii="Times New Roman" w:cs="Times New Roman"/>
                      <w:color w:val="auto"/>
                      <w:sz w:val="21"/>
                      <w:szCs w:val="21"/>
                      <w:highlight w:val="none"/>
                    </w:rPr>
                  </w:pPr>
                </w:p>
                <w:p w14:paraId="5F6DD052">
                  <w:pPr>
                    <w:pStyle w:val="46"/>
                    <w:jc w:val="center"/>
                    <w:rPr>
                      <w:rFonts w:ascii="Times New Roman" w:cs="Times New Roman"/>
                      <w:color w:val="auto"/>
                      <w:sz w:val="21"/>
                      <w:szCs w:val="21"/>
                      <w:highlight w:val="none"/>
                    </w:rPr>
                  </w:pPr>
                </w:p>
                <w:p w14:paraId="24EB9641">
                  <w:pPr>
                    <w:pStyle w:val="46"/>
                    <w:jc w:val="center"/>
                    <w:rPr>
                      <w:rFonts w:ascii="Times New Roman" w:cs="Times New Roman"/>
                      <w:color w:val="auto"/>
                      <w:sz w:val="21"/>
                      <w:szCs w:val="21"/>
                      <w:highlight w:val="none"/>
                    </w:rPr>
                  </w:pPr>
                </w:p>
                <w:p w14:paraId="033860FA">
                  <w:pPr>
                    <w:pStyle w:val="46"/>
                    <w:jc w:val="center"/>
                    <w:rPr>
                      <w:rFonts w:ascii="Times New Roman" w:cs="Times New Roman"/>
                      <w:color w:val="auto"/>
                      <w:sz w:val="21"/>
                      <w:szCs w:val="21"/>
                      <w:highlight w:val="none"/>
                    </w:rPr>
                  </w:pPr>
                </w:p>
                <w:p w14:paraId="567E69BA">
                  <w:pPr>
                    <w:pStyle w:val="46"/>
                    <w:jc w:val="center"/>
                    <w:rPr>
                      <w:rFonts w:ascii="Times New Roman" w:cs="Times New Roman"/>
                      <w:color w:val="auto"/>
                      <w:sz w:val="21"/>
                      <w:szCs w:val="21"/>
                      <w:highlight w:val="none"/>
                    </w:rPr>
                  </w:pPr>
                  <w:r>
                    <w:rPr>
                      <w:rFonts w:ascii="Times New Roman" w:cs="Times New Roman"/>
                      <w:color w:val="auto"/>
                      <w:sz w:val="21"/>
                      <w:szCs w:val="21"/>
                      <w:highlight w:val="none"/>
                    </w:rPr>
                    <w:t>空间布局约束</w:t>
                  </w:r>
                </w:p>
              </w:tc>
              <w:tc>
                <w:tcPr>
                  <w:tcW w:w="2134" w:type="pct"/>
                  <w:gridSpan w:val="2"/>
                  <w:tcBorders>
                    <w:tl2br w:val="nil"/>
                    <w:tr2bl w:val="nil"/>
                  </w:tcBorders>
                  <w:vAlign w:val="center"/>
                </w:tcPr>
                <w:p w14:paraId="4AAADCD6">
                  <w:pPr>
                    <w:pStyle w:val="46"/>
                    <w:jc w:val="both"/>
                    <w:rPr>
                      <w:rFonts w:ascii="Times New Roman" w:cs="Times New Roman"/>
                      <w:color w:val="auto"/>
                      <w:sz w:val="21"/>
                      <w:szCs w:val="21"/>
                      <w:highlight w:val="none"/>
                    </w:rPr>
                  </w:pPr>
                  <w:r>
                    <w:rPr>
                      <w:rFonts w:ascii="Times New Roman" w:cs="Times New Roman"/>
                      <w:color w:val="auto"/>
                      <w:sz w:val="21"/>
                      <w:szCs w:val="21"/>
                      <w:highlight w:val="none"/>
                    </w:rPr>
                    <w:t>1.以汉台、南郑、城固为主，重点推进产业发展、城乡建设、设施配套，形成经济发展、人口承载的核心圈。</w:t>
                  </w:r>
                </w:p>
                <w:p w14:paraId="17E6D689">
                  <w:pPr>
                    <w:pStyle w:val="46"/>
                    <w:jc w:val="both"/>
                    <w:rPr>
                      <w:rFonts w:ascii="Times New Roman" w:cs="Times New Roman"/>
                      <w:color w:val="auto"/>
                      <w:sz w:val="21"/>
                      <w:szCs w:val="21"/>
                      <w:highlight w:val="none"/>
                    </w:rPr>
                  </w:pPr>
                  <w:r>
                    <w:rPr>
                      <w:rFonts w:ascii="Times New Roman" w:cs="Times New Roman"/>
                      <w:color w:val="auto"/>
                      <w:sz w:val="21"/>
                      <w:szCs w:val="21"/>
                      <w:highlight w:val="none"/>
                    </w:rPr>
                    <w:t>2.以汉台、城固、洋县、西乡、勉县、宁强、略阳、留坝、佛坪秦岭保护区域为主，以保护中央水塔为核心，以生态修复为抓手，全面加强水土保持、水源涵养、生物多样性保护，构筑汉中盆地北部的生态屏障。</w:t>
                  </w:r>
                </w:p>
                <w:p w14:paraId="0DC1029D">
                  <w:pPr>
                    <w:pStyle w:val="46"/>
                    <w:jc w:val="both"/>
                    <w:rPr>
                      <w:rFonts w:ascii="Times New Roman" w:cs="Times New Roman"/>
                      <w:color w:val="auto"/>
                      <w:sz w:val="21"/>
                      <w:szCs w:val="21"/>
                      <w:highlight w:val="none"/>
                    </w:rPr>
                  </w:pPr>
                  <w:r>
                    <w:rPr>
                      <w:rFonts w:ascii="Times New Roman" w:cs="Times New Roman"/>
                      <w:color w:val="auto"/>
                      <w:sz w:val="21"/>
                      <w:szCs w:val="21"/>
                      <w:highlight w:val="none"/>
                    </w:rPr>
                    <w:t>3.以南郑、城固、洋县、西乡、勉县、宁强、镇巴巴山保护区域为主，全面加强生态空间、保护和修复，维护生物多样性，构筑汉中盆地南部的生态屏障。</w:t>
                  </w:r>
                </w:p>
                <w:p w14:paraId="408E0765">
                  <w:pPr>
                    <w:pStyle w:val="46"/>
                    <w:jc w:val="both"/>
                    <w:rPr>
                      <w:rFonts w:ascii="Times New Roman" w:cs="Times New Roman"/>
                      <w:color w:val="auto"/>
                      <w:sz w:val="21"/>
                      <w:szCs w:val="21"/>
                      <w:highlight w:val="none"/>
                    </w:rPr>
                  </w:pPr>
                  <w:r>
                    <w:rPr>
                      <w:rFonts w:ascii="Times New Roman" w:cs="Times New Roman"/>
                      <w:color w:val="auto"/>
                      <w:sz w:val="21"/>
                      <w:szCs w:val="21"/>
                      <w:highlight w:val="none"/>
                    </w:rPr>
                    <w:t>4.以汉江为轴线，统筹推进城镇建设、园区布局，重点发展绿色工业、特色农业、生态旅游等产业。</w:t>
                  </w:r>
                </w:p>
                <w:p w14:paraId="23BE76AC">
                  <w:pPr>
                    <w:pStyle w:val="46"/>
                    <w:jc w:val="both"/>
                    <w:rPr>
                      <w:rFonts w:ascii="Times New Roman" w:cs="Times New Roman"/>
                      <w:color w:val="auto"/>
                      <w:sz w:val="21"/>
                      <w:szCs w:val="21"/>
                      <w:highlight w:val="none"/>
                    </w:rPr>
                  </w:pPr>
                  <w:r>
                    <w:rPr>
                      <w:rFonts w:ascii="Times New Roman" w:cs="Times New Roman"/>
                      <w:color w:val="auto"/>
                      <w:sz w:val="21"/>
                      <w:szCs w:val="21"/>
                      <w:highlight w:val="none"/>
                    </w:rPr>
                    <w:t>5.严控“两高”项目准入。</w:t>
                  </w:r>
                </w:p>
                <w:p w14:paraId="5CDB7B2D">
                  <w:pPr>
                    <w:pStyle w:val="46"/>
                    <w:jc w:val="both"/>
                    <w:rPr>
                      <w:rFonts w:ascii="Times New Roman" w:cs="Times New Roman"/>
                      <w:color w:val="auto"/>
                      <w:sz w:val="21"/>
                      <w:szCs w:val="21"/>
                      <w:highlight w:val="none"/>
                    </w:rPr>
                  </w:pPr>
                  <w:r>
                    <w:rPr>
                      <w:rFonts w:ascii="Times New Roman" w:cs="Times New Roman"/>
                      <w:color w:val="auto"/>
                      <w:sz w:val="21"/>
                      <w:szCs w:val="21"/>
                      <w:highlight w:val="none"/>
                    </w:rPr>
                    <w:t>6.在汉江、嘉陵江两岸建设工业项目，应符合《中华人民共和国长江保护法》相关规定。</w:t>
                  </w:r>
                </w:p>
              </w:tc>
              <w:tc>
                <w:tcPr>
                  <w:tcW w:w="1247" w:type="pct"/>
                  <w:gridSpan w:val="2"/>
                  <w:tcBorders>
                    <w:tl2br w:val="nil"/>
                    <w:tr2bl w:val="nil"/>
                  </w:tcBorders>
                  <w:vAlign w:val="center"/>
                </w:tcPr>
                <w:p w14:paraId="6B114D41">
                  <w:pPr>
                    <w:pStyle w:val="46"/>
                    <w:jc w:val="both"/>
                    <w:rPr>
                      <w:rFonts w:ascii="Times New Roman" w:cs="Times New Roman"/>
                      <w:color w:val="auto"/>
                      <w:sz w:val="21"/>
                      <w:szCs w:val="21"/>
                      <w:highlight w:val="none"/>
                    </w:rPr>
                  </w:pPr>
                  <w:r>
                    <w:rPr>
                      <w:rFonts w:ascii="Times New Roman" w:cs="Times New Roman"/>
                      <w:color w:val="auto"/>
                      <w:sz w:val="21"/>
                      <w:szCs w:val="21"/>
                      <w:highlight w:val="none"/>
                    </w:rPr>
                    <w:t>本项目位于</w:t>
                  </w:r>
                  <w:r>
                    <w:rPr>
                      <w:rFonts w:hint="eastAsia" w:ascii="Times New Roman" w:cs="Times New Roman"/>
                      <w:color w:val="auto"/>
                      <w:sz w:val="21"/>
                      <w:szCs w:val="21"/>
                      <w:highlight w:val="none"/>
                    </w:rPr>
                    <w:t>洋县龙亭镇杨湾村七组</w:t>
                  </w:r>
                  <w:r>
                    <w:rPr>
                      <w:rFonts w:ascii="Times New Roman" w:cs="Times New Roman"/>
                      <w:color w:val="auto"/>
                      <w:sz w:val="21"/>
                      <w:szCs w:val="21"/>
                      <w:highlight w:val="none"/>
                    </w:rPr>
                    <w:t>，</w:t>
                  </w:r>
                  <w:r>
                    <w:rPr>
                      <w:rFonts w:hint="eastAsia" w:ascii="Times New Roman" w:cs="Times New Roman"/>
                      <w:color w:val="auto"/>
                      <w:sz w:val="21"/>
                      <w:szCs w:val="21"/>
                      <w:highlight w:val="none"/>
                    </w:rPr>
                    <w:t>主要进行果蔬脆片、果蔬干、净菜加工生产</w:t>
                  </w:r>
                  <w:r>
                    <w:rPr>
                      <w:rFonts w:ascii="Times New Roman" w:cs="Times New Roman"/>
                      <w:color w:val="auto"/>
                      <w:sz w:val="21"/>
                      <w:szCs w:val="21"/>
                      <w:highlight w:val="none"/>
                    </w:rPr>
                    <w:t>。根据《产业结构调整指导目录（</w:t>
                  </w:r>
                  <w:r>
                    <w:rPr>
                      <w:rFonts w:hint="eastAsia" w:ascii="Times New Roman" w:cs="Times New Roman"/>
                      <w:color w:val="auto"/>
                      <w:sz w:val="21"/>
                      <w:szCs w:val="21"/>
                      <w:highlight w:val="none"/>
                    </w:rPr>
                    <w:t>2024</w:t>
                  </w:r>
                  <w:r>
                    <w:rPr>
                      <w:rFonts w:ascii="Times New Roman" w:cs="Times New Roman"/>
                      <w:color w:val="auto"/>
                      <w:sz w:val="21"/>
                      <w:szCs w:val="21"/>
                      <w:highlight w:val="none"/>
                    </w:rPr>
                    <w:t>年本）》可知，本项目属于</w:t>
                  </w:r>
                  <w:r>
                    <w:rPr>
                      <w:rFonts w:hint="eastAsia" w:ascii="Times New Roman" w:cs="Times New Roman"/>
                      <w:color w:val="auto"/>
                      <w:sz w:val="21"/>
                      <w:szCs w:val="21"/>
                      <w:highlight w:val="none"/>
                    </w:rPr>
                    <w:t>“允许类”</w:t>
                  </w:r>
                  <w:r>
                    <w:rPr>
                      <w:rFonts w:ascii="Times New Roman" w:cs="Times New Roman"/>
                      <w:color w:val="auto"/>
                      <w:sz w:val="21"/>
                      <w:szCs w:val="21"/>
                      <w:highlight w:val="none"/>
                    </w:rPr>
                    <w:t>项目</w:t>
                  </w:r>
                  <w:r>
                    <w:rPr>
                      <w:rFonts w:hint="eastAsia" w:ascii="Times New Roman" w:cs="Times New Roman"/>
                      <w:color w:val="auto"/>
                      <w:sz w:val="21"/>
                      <w:szCs w:val="21"/>
                      <w:highlight w:val="none"/>
                    </w:rPr>
                    <w:t>。通过对比《陕西省“两高”项目管理暂行目录（2022年版）》（陕发改环资〔2022〕110号）可知，本项目不属于“两高”项目；此外，项目</w:t>
                  </w:r>
                  <w:r>
                    <w:rPr>
                      <w:rFonts w:hint="eastAsia"/>
                      <w:color w:val="auto"/>
                      <w:sz w:val="21"/>
                      <w:szCs w:val="21"/>
                      <w:highlight w:val="none"/>
                    </w:rPr>
                    <w:t>最近地表水体为汉江（长江一级支流），厂区选址虽在长江干支流岸线</w:t>
                  </w:r>
                  <w:r>
                    <w:rPr>
                      <w:rFonts w:ascii="Times New Roman" w:cs="Times New Roman"/>
                      <w:color w:val="auto"/>
                      <w:sz w:val="21"/>
                      <w:szCs w:val="21"/>
                      <w:highlight w:val="none"/>
                    </w:rPr>
                    <w:t>1km</w:t>
                  </w:r>
                  <w:r>
                    <w:rPr>
                      <w:rFonts w:hint="eastAsia"/>
                      <w:color w:val="auto"/>
                      <w:sz w:val="21"/>
                      <w:szCs w:val="21"/>
                      <w:highlight w:val="none"/>
                    </w:rPr>
                    <w:t>范围内，但生产经营内容不属于《中华人民共和国长江保护法》中禁止行为。</w:t>
                  </w:r>
                </w:p>
              </w:tc>
              <w:tc>
                <w:tcPr>
                  <w:tcW w:w="749" w:type="pct"/>
                  <w:tcBorders>
                    <w:tl2br w:val="nil"/>
                    <w:tr2bl w:val="nil"/>
                  </w:tcBorders>
                  <w:vAlign w:val="center"/>
                </w:tcPr>
                <w:p w14:paraId="11CDA3A3">
                  <w:pPr>
                    <w:pStyle w:val="46"/>
                    <w:jc w:val="center"/>
                    <w:rPr>
                      <w:rFonts w:ascii="Times New Roman" w:cs="Times New Roman"/>
                      <w:color w:val="auto"/>
                      <w:sz w:val="21"/>
                      <w:szCs w:val="21"/>
                      <w:highlight w:val="none"/>
                    </w:rPr>
                  </w:pPr>
                  <w:r>
                    <w:rPr>
                      <w:rFonts w:ascii="Times New Roman" w:cs="Times New Roman"/>
                      <w:color w:val="auto"/>
                      <w:sz w:val="21"/>
                      <w:szCs w:val="21"/>
                      <w:highlight w:val="none"/>
                    </w:rPr>
                    <w:t>符合</w:t>
                  </w:r>
                </w:p>
              </w:tc>
            </w:tr>
            <w:tr w14:paraId="5F026F8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414" w:hRule="atLeast"/>
              </w:trPr>
              <w:tc>
                <w:tcPr>
                  <w:tcW w:w="440" w:type="pct"/>
                  <w:vMerge w:val="continue"/>
                  <w:tcBorders>
                    <w:tl2br w:val="nil"/>
                    <w:tr2bl w:val="nil"/>
                  </w:tcBorders>
                  <w:vAlign w:val="center"/>
                </w:tcPr>
                <w:p w14:paraId="64D95FD5">
                  <w:pPr>
                    <w:pStyle w:val="46"/>
                    <w:jc w:val="center"/>
                    <w:rPr>
                      <w:rFonts w:ascii="Times New Roman" w:cs="Times New Roman"/>
                      <w:color w:val="auto"/>
                      <w:sz w:val="21"/>
                      <w:szCs w:val="21"/>
                      <w:highlight w:val="none"/>
                    </w:rPr>
                  </w:pPr>
                </w:p>
              </w:tc>
              <w:tc>
                <w:tcPr>
                  <w:tcW w:w="427" w:type="pct"/>
                  <w:tcBorders>
                    <w:tl2br w:val="nil"/>
                    <w:tr2bl w:val="nil"/>
                  </w:tcBorders>
                  <w:vAlign w:val="center"/>
                </w:tcPr>
                <w:p w14:paraId="023E4BAB">
                  <w:pPr>
                    <w:pStyle w:val="46"/>
                    <w:jc w:val="center"/>
                    <w:rPr>
                      <w:rFonts w:ascii="Times New Roman" w:cs="Times New Roman"/>
                      <w:color w:val="auto"/>
                      <w:sz w:val="21"/>
                      <w:szCs w:val="21"/>
                      <w:highlight w:val="none"/>
                    </w:rPr>
                  </w:pPr>
                  <w:r>
                    <w:rPr>
                      <w:rFonts w:ascii="Times New Roman" w:cs="Times New Roman"/>
                      <w:color w:val="auto"/>
                      <w:sz w:val="21"/>
                      <w:szCs w:val="21"/>
                      <w:highlight w:val="none"/>
                    </w:rPr>
                    <w:t>污染排放管控</w:t>
                  </w:r>
                </w:p>
              </w:tc>
              <w:tc>
                <w:tcPr>
                  <w:tcW w:w="2134" w:type="pct"/>
                  <w:gridSpan w:val="2"/>
                  <w:tcBorders>
                    <w:tl2br w:val="nil"/>
                    <w:tr2bl w:val="nil"/>
                  </w:tcBorders>
                  <w:vAlign w:val="center"/>
                </w:tcPr>
                <w:p w14:paraId="2AE99811">
                  <w:pPr>
                    <w:pStyle w:val="46"/>
                    <w:jc w:val="both"/>
                    <w:rPr>
                      <w:rFonts w:ascii="Times New Roman" w:cs="Times New Roman"/>
                      <w:color w:val="auto"/>
                      <w:sz w:val="21"/>
                      <w:szCs w:val="21"/>
                      <w:highlight w:val="none"/>
                    </w:rPr>
                  </w:pPr>
                  <w:r>
                    <w:rPr>
                      <w:rFonts w:ascii="Times New Roman" w:cs="Times New Roman"/>
                      <w:color w:val="auto"/>
                      <w:sz w:val="21"/>
                      <w:szCs w:val="21"/>
                      <w:highlight w:val="none"/>
                    </w:rPr>
                    <w:t>1.城镇生活污水治理：全面加强城镇生活污水处理设施建设和运行管理。</w:t>
                  </w:r>
                </w:p>
                <w:p w14:paraId="5E7B9FD0">
                  <w:pPr>
                    <w:pStyle w:val="46"/>
                    <w:jc w:val="both"/>
                    <w:rPr>
                      <w:rFonts w:ascii="Times New Roman" w:cs="Times New Roman"/>
                      <w:color w:val="auto"/>
                      <w:sz w:val="21"/>
                      <w:szCs w:val="21"/>
                      <w:highlight w:val="none"/>
                    </w:rPr>
                  </w:pPr>
                  <w:r>
                    <w:rPr>
                      <w:rFonts w:ascii="Times New Roman" w:cs="Times New Roman"/>
                      <w:color w:val="auto"/>
                      <w:sz w:val="21"/>
                      <w:szCs w:val="21"/>
                      <w:highlight w:val="none"/>
                    </w:rPr>
                    <w:t>2.农村生活污水处理：因地制宜地建设农村污水处理设施，有效减少农村污水直排现象。</w:t>
                  </w:r>
                </w:p>
                <w:p w14:paraId="47AEE506">
                  <w:pPr>
                    <w:pStyle w:val="46"/>
                    <w:jc w:val="both"/>
                    <w:rPr>
                      <w:rFonts w:ascii="Times New Roman" w:cs="Times New Roman"/>
                      <w:color w:val="auto"/>
                      <w:sz w:val="21"/>
                      <w:szCs w:val="21"/>
                      <w:highlight w:val="none"/>
                    </w:rPr>
                  </w:pPr>
                  <w:r>
                    <w:rPr>
                      <w:rFonts w:ascii="Times New Roman" w:cs="Times New Roman"/>
                      <w:color w:val="auto"/>
                      <w:sz w:val="21"/>
                      <w:szCs w:val="21"/>
                      <w:highlight w:val="none"/>
                    </w:rPr>
                    <w:t>3.农业源污染管控：新建、改建、扩建规模化畜禽养殖场(小区)要实施雨污分流和粪便污水资源化利用。</w:t>
                  </w:r>
                </w:p>
                <w:p w14:paraId="1B94F7B1">
                  <w:pPr>
                    <w:pStyle w:val="46"/>
                    <w:jc w:val="both"/>
                    <w:rPr>
                      <w:rFonts w:ascii="Times New Roman" w:cs="Times New Roman"/>
                      <w:color w:val="auto"/>
                      <w:sz w:val="21"/>
                      <w:szCs w:val="21"/>
                      <w:highlight w:val="none"/>
                    </w:rPr>
                  </w:pPr>
                  <w:r>
                    <w:rPr>
                      <w:rFonts w:ascii="Times New Roman" w:cs="Times New Roman"/>
                      <w:color w:val="auto"/>
                      <w:sz w:val="21"/>
                      <w:szCs w:val="21"/>
                      <w:highlight w:val="none"/>
                    </w:rPr>
                    <w:t>4.控制温室气体排放：调整优化能源结构，打造低碳产业布局。</w:t>
                  </w:r>
                </w:p>
                <w:p w14:paraId="3CEEF2FB">
                  <w:pPr>
                    <w:pStyle w:val="46"/>
                    <w:jc w:val="both"/>
                    <w:rPr>
                      <w:rFonts w:ascii="Times New Roman" w:cs="Times New Roman"/>
                      <w:color w:val="auto"/>
                      <w:sz w:val="21"/>
                      <w:szCs w:val="21"/>
                      <w:highlight w:val="none"/>
                    </w:rPr>
                  </w:pPr>
                  <w:r>
                    <w:rPr>
                      <w:rFonts w:ascii="Times New Roman" w:cs="Times New Roman"/>
                      <w:color w:val="auto"/>
                      <w:sz w:val="21"/>
                      <w:szCs w:val="21"/>
                      <w:highlight w:val="none"/>
                    </w:rPr>
                    <w:t>5.固体废物污染防治：推动以尾矿、粉煤灰、冶炼渣、工业副产品石膏等大宗工业固体废物为重点的综合利用。</w:t>
                  </w:r>
                </w:p>
                <w:p w14:paraId="35EC4B12">
                  <w:pPr>
                    <w:pStyle w:val="46"/>
                    <w:jc w:val="both"/>
                    <w:rPr>
                      <w:rFonts w:ascii="Times New Roman" w:cs="Times New Roman"/>
                      <w:color w:val="auto"/>
                      <w:sz w:val="21"/>
                      <w:szCs w:val="21"/>
                      <w:highlight w:val="none"/>
                    </w:rPr>
                  </w:pPr>
                  <w:r>
                    <w:rPr>
                      <w:rFonts w:ascii="Times New Roman" w:cs="Times New Roman"/>
                      <w:color w:val="auto"/>
                      <w:sz w:val="21"/>
                      <w:szCs w:val="21"/>
                      <w:highlight w:val="none"/>
                    </w:rPr>
                    <w:t>6.工业源污染治理：持续推进工业污染源减排，完成全市钢铁、建材等行业超低排放改造，规范金属矿采选、非金属矿物制品等行业颗粒物排放管理。</w:t>
                  </w:r>
                </w:p>
                <w:p w14:paraId="4508BABE">
                  <w:pPr>
                    <w:pStyle w:val="46"/>
                    <w:jc w:val="both"/>
                    <w:rPr>
                      <w:rFonts w:ascii="Times New Roman" w:cs="Times New Roman"/>
                      <w:color w:val="auto"/>
                      <w:sz w:val="21"/>
                      <w:szCs w:val="21"/>
                      <w:highlight w:val="none"/>
                    </w:rPr>
                  </w:pPr>
                  <w:r>
                    <w:rPr>
                      <w:rFonts w:ascii="Times New Roman" w:cs="Times New Roman"/>
                      <w:color w:val="auto"/>
                      <w:sz w:val="21"/>
                      <w:szCs w:val="21"/>
                      <w:highlight w:val="none"/>
                    </w:rPr>
                    <w:t>7.新建“两高”项目应依据区域环境质量改善目标，落实区域削减要求。</w:t>
                  </w:r>
                </w:p>
              </w:tc>
              <w:tc>
                <w:tcPr>
                  <w:tcW w:w="1247" w:type="pct"/>
                  <w:gridSpan w:val="2"/>
                  <w:tcBorders>
                    <w:tl2br w:val="nil"/>
                    <w:tr2bl w:val="nil"/>
                  </w:tcBorders>
                  <w:vAlign w:val="center"/>
                </w:tcPr>
                <w:p w14:paraId="7AF0F69E">
                  <w:pPr>
                    <w:pStyle w:val="46"/>
                    <w:jc w:val="both"/>
                    <w:rPr>
                      <w:rFonts w:ascii="Times New Roman" w:cs="Times New Roman"/>
                      <w:color w:val="auto"/>
                      <w:sz w:val="21"/>
                      <w:szCs w:val="21"/>
                      <w:highlight w:val="none"/>
                    </w:rPr>
                  </w:pPr>
                  <w:r>
                    <w:rPr>
                      <w:rFonts w:hint="eastAsia" w:ascii="Times New Roman" w:cs="Times New Roman"/>
                      <w:color w:val="auto"/>
                      <w:sz w:val="21"/>
                      <w:szCs w:val="21"/>
                      <w:highlight w:val="none"/>
                    </w:rPr>
                    <w:t>本项目不属于“两高”项目，运营期废水、废气、噪声以及固废均采取对应的污染防治措施。废气方面：锅炉燃烧废气采用“低氮燃烧+</w:t>
                  </w:r>
                  <w:r>
                    <w:rPr>
                      <w:rFonts w:hint="eastAsia" w:ascii="Times New Roman" w:cs="Times New Roman"/>
                      <w:color w:val="auto"/>
                      <w:sz w:val="21"/>
                      <w:szCs w:val="21"/>
                      <w:highlight w:val="none"/>
                      <w:lang w:eastAsia="zh-CN"/>
                    </w:rPr>
                    <w:t>袋</w:t>
                  </w:r>
                  <w:r>
                    <w:rPr>
                      <w:rFonts w:hint="eastAsia" w:ascii="Times New Roman" w:cs="Times New Roman"/>
                      <w:color w:val="auto"/>
                      <w:sz w:val="21"/>
                      <w:szCs w:val="21"/>
                      <w:highlight w:val="none"/>
                    </w:rPr>
                    <w:t>式除尘后达标排放”；油炸脱水时产生的油烟采用油烟净化器处理达标后引至</w:t>
                  </w:r>
                  <w:r>
                    <w:rPr>
                      <w:rFonts w:hint="eastAsia" w:ascii="Times New Roman" w:cs="Times New Roman"/>
                      <w:color w:val="auto"/>
                      <w:sz w:val="21"/>
                      <w:szCs w:val="21"/>
                      <w:highlight w:val="none"/>
                      <w:lang w:eastAsia="zh-CN"/>
                    </w:rPr>
                    <w:t>厂房顶部</w:t>
                  </w:r>
                  <w:r>
                    <w:rPr>
                      <w:rFonts w:hint="eastAsia" w:ascii="Times New Roman" w:cs="Times New Roman"/>
                      <w:color w:val="auto"/>
                      <w:sz w:val="21"/>
                      <w:szCs w:val="21"/>
                      <w:highlight w:val="none"/>
                    </w:rPr>
                    <w:t>排放。废污水方面：餐饮废水经油水分离器处理后与生活污水一同化粪池处理后用于周边农田施肥；生产废水经厂内污水处理站处理达到《农田灌溉水质标准》（GB5084-2021）后</w:t>
                  </w:r>
                  <w:r>
                    <w:rPr>
                      <w:rFonts w:hint="eastAsia" w:ascii="Times New Roman" w:cs="Times New Roman"/>
                      <w:color w:val="auto"/>
                      <w:sz w:val="21"/>
                      <w:szCs w:val="21"/>
                      <w:highlight w:val="none"/>
                      <w:lang w:eastAsia="zh-CN"/>
                    </w:rPr>
                    <w:t>作为</w:t>
                  </w:r>
                  <w:r>
                    <w:rPr>
                      <w:rFonts w:hint="eastAsia" w:ascii="Times New Roman" w:cs="Times New Roman"/>
                      <w:color w:val="auto"/>
                      <w:sz w:val="21"/>
                      <w:szCs w:val="21"/>
                      <w:highlight w:val="none"/>
                    </w:rPr>
                    <w:t>周边果园</w:t>
                  </w:r>
                  <w:r>
                    <w:rPr>
                      <w:rFonts w:hint="eastAsia" w:ascii="Times New Roman" w:cs="Times New Roman"/>
                      <w:color w:val="auto"/>
                      <w:sz w:val="21"/>
                      <w:szCs w:val="21"/>
                      <w:highlight w:val="none"/>
                      <w:lang w:eastAsia="zh-CN"/>
                    </w:rPr>
                    <w:t>灌溉用水</w:t>
                  </w:r>
                  <w:r>
                    <w:rPr>
                      <w:rFonts w:hint="eastAsia" w:ascii="Times New Roman" w:cs="Times New Roman"/>
                      <w:color w:val="auto"/>
                      <w:sz w:val="21"/>
                      <w:szCs w:val="21"/>
                      <w:highlight w:val="none"/>
                    </w:rPr>
                    <w:t>，综合利用。噪声方面：采用低噪声设备；生产设备均置于封闭厂房内、合理安排运行时间、采取隔声减振措施、加强机械维护工作等；固废均进行资源化或无害化处置。</w:t>
                  </w:r>
                </w:p>
              </w:tc>
              <w:tc>
                <w:tcPr>
                  <w:tcW w:w="749" w:type="pct"/>
                  <w:tcBorders>
                    <w:tl2br w:val="nil"/>
                    <w:tr2bl w:val="nil"/>
                  </w:tcBorders>
                  <w:vAlign w:val="center"/>
                </w:tcPr>
                <w:p w14:paraId="0932054F">
                  <w:pPr>
                    <w:pStyle w:val="46"/>
                    <w:jc w:val="center"/>
                    <w:rPr>
                      <w:rFonts w:ascii="Times New Roman" w:cs="Times New Roman"/>
                      <w:color w:val="auto"/>
                      <w:sz w:val="21"/>
                      <w:szCs w:val="21"/>
                      <w:highlight w:val="none"/>
                    </w:rPr>
                  </w:pPr>
                  <w:r>
                    <w:rPr>
                      <w:rFonts w:ascii="Times New Roman" w:cs="Times New Roman"/>
                      <w:color w:val="auto"/>
                      <w:sz w:val="21"/>
                      <w:szCs w:val="21"/>
                      <w:highlight w:val="none"/>
                    </w:rPr>
                    <w:t>符合</w:t>
                  </w:r>
                </w:p>
              </w:tc>
            </w:tr>
            <w:tr w14:paraId="5EB4931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435" w:hRule="atLeast"/>
              </w:trPr>
              <w:tc>
                <w:tcPr>
                  <w:tcW w:w="440" w:type="pct"/>
                  <w:vMerge w:val="continue"/>
                  <w:tcBorders>
                    <w:tl2br w:val="nil"/>
                    <w:tr2bl w:val="nil"/>
                  </w:tcBorders>
                  <w:vAlign w:val="center"/>
                </w:tcPr>
                <w:p w14:paraId="7B7E7BD7">
                  <w:pPr>
                    <w:pStyle w:val="46"/>
                    <w:jc w:val="center"/>
                    <w:rPr>
                      <w:rFonts w:ascii="Times New Roman" w:cs="Times New Roman"/>
                      <w:color w:val="auto"/>
                      <w:sz w:val="21"/>
                      <w:szCs w:val="21"/>
                      <w:highlight w:val="none"/>
                    </w:rPr>
                  </w:pPr>
                </w:p>
              </w:tc>
              <w:tc>
                <w:tcPr>
                  <w:tcW w:w="427" w:type="pct"/>
                  <w:tcBorders>
                    <w:tl2br w:val="nil"/>
                    <w:tr2bl w:val="nil"/>
                  </w:tcBorders>
                  <w:vAlign w:val="center"/>
                </w:tcPr>
                <w:p w14:paraId="3E61DE77">
                  <w:pPr>
                    <w:pStyle w:val="46"/>
                    <w:jc w:val="center"/>
                    <w:rPr>
                      <w:rFonts w:ascii="Times New Roman" w:cs="Times New Roman"/>
                      <w:color w:val="auto"/>
                      <w:sz w:val="21"/>
                      <w:szCs w:val="21"/>
                      <w:highlight w:val="none"/>
                    </w:rPr>
                  </w:pPr>
                  <w:r>
                    <w:rPr>
                      <w:rFonts w:ascii="Times New Roman" w:cs="Times New Roman"/>
                      <w:color w:val="auto"/>
                      <w:sz w:val="21"/>
                      <w:szCs w:val="21"/>
                      <w:highlight w:val="none"/>
                    </w:rPr>
                    <w:t>环境</w:t>
                  </w:r>
                </w:p>
                <w:p w14:paraId="4BA062B5">
                  <w:pPr>
                    <w:pStyle w:val="46"/>
                    <w:jc w:val="center"/>
                    <w:rPr>
                      <w:rFonts w:ascii="Times New Roman" w:cs="Times New Roman"/>
                      <w:color w:val="auto"/>
                      <w:sz w:val="21"/>
                      <w:szCs w:val="21"/>
                      <w:highlight w:val="none"/>
                    </w:rPr>
                  </w:pPr>
                  <w:r>
                    <w:rPr>
                      <w:rFonts w:ascii="Times New Roman" w:cs="Times New Roman"/>
                      <w:color w:val="auto"/>
                      <w:sz w:val="21"/>
                      <w:szCs w:val="21"/>
                      <w:highlight w:val="none"/>
                    </w:rPr>
                    <w:t>风险</w:t>
                  </w:r>
                </w:p>
                <w:p w14:paraId="62F78DAC">
                  <w:pPr>
                    <w:pStyle w:val="46"/>
                    <w:jc w:val="center"/>
                    <w:rPr>
                      <w:rFonts w:ascii="Times New Roman" w:cs="Times New Roman"/>
                      <w:color w:val="auto"/>
                      <w:sz w:val="21"/>
                      <w:szCs w:val="21"/>
                      <w:highlight w:val="none"/>
                    </w:rPr>
                  </w:pPr>
                  <w:r>
                    <w:rPr>
                      <w:rFonts w:ascii="Times New Roman" w:cs="Times New Roman"/>
                      <w:color w:val="auto"/>
                      <w:sz w:val="21"/>
                      <w:szCs w:val="21"/>
                      <w:highlight w:val="none"/>
                    </w:rPr>
                    <w:t>防控</w:t>
                  </w:r>
                </w:p>
              </w:tc>
              <w:tc>
                <w:tcPr>
                  <w:tcW w:w="2134" w:type="pct"/>
                  <w:gridSpan w:val="2"/>
                  <w:tcBorders>
                    <w:tl2br w:val="nil"/>
                    <w:tr2bl w:val="nil"/>
                  </w:tcBorders>
                  <w:vAlign w:val="center"/>
                </w:tcPr>
                <w:p w14:paraId="4E02EA1B">
                  <w:pPr>
                    <w:pStyle w:val="46"/>
                    <w:jc w:val="both"/>
                    <w:rPr>
                      <w:rFonts w:ascii="Times New Roman" w:cs="Times New Roman"/>
                      <w:color w:val="auto"/>
                      <w:sz w:val="21"/>
                      <w:szCs w:val="21"/>
                      <w:highlight w:val="none"/>
                    </w:rPr>
                  </w:pPr>
                  <w:r>
                    <w:rPr>
                      <w:rFonts w:ascii="Times New Roman" w:cs="Times New Roman"/>
                      <w:color w:val="auto"/>
                      <w:sz w:val="21"/>
                      <w:szCs w:val="21"/>
                      <w:highlight w:val="none"/>
                    </w:rPr>
                    <w:t>1.坚持预防为主原则，将环境风险纳入常态化管理。</w:t>
                  </w:r>
                </w:p>
                <w:p w14:paraId="60DBF9DA">
                  <w:pPr>
                    <w:pStyle w:val="46"/>
                    <w:jc w:val="both"/>
                    <w:rPr>
                      <w:rFonts w:ascii="Times New Roman" w:cs="Times New Roman"/>
                      <w:color w:val="auto"/>
                      <w:sz w:val="21"/>
                      <w:szCs w:val="21"/>
                      <w:highlight w:val="none"/>
                    </w:rPr>
                  </w:pPr>
                  <w:r>
                    <w:rPr>
                      <w:rFonts w:hint="eastAsia" w:ascii="Times New Roman" w:cs="Times New Roman"/>
                      <w:color w:val="auto"/>
                      <w:sz w:val="21"/>
                      <w:szCs w:val="21"/>
                      <w:highlight w:val="none"/>
                    </w:rPr>
                    <w:t>2.</w:t>
                  </w:r>
                  <w:r>
                    <w:rPr>
                      <w:rFonts w:ascii="Times New Roman" w:cs="Times New Roman"/>
                      <w:color w:val="auto"/>
                      <w:sz w:val="21"/>
                      <w:szCs w:val="21"/>
                      <w:highlight w:val="none"/>
                    </w:rPr>
                    <w:t>加强土壤污染重点监管单位排污许可管理，严格控制有毒有害物质排放，落实土壤污染隐患排查制度。</w:t>
                  </w:r>
                </w:p>
              </w:tc>
              <w:tc>
                <w:tcPr>
                  <w:tcW w:w="1247" w:type="pct"/>
                  <w:gridSpan w:val="2"/>
                  <w:tcBorders>
                    <w:tl2br w:val="nil"/>
                    <w:tr2bl w:val="nil"/>
                  </w:tcBorders>
                  <w:vAlign w:val="center"/>
                </w:tcPr>
                <w:p w14:paraId="720D1D8C">
                  <w:pPr>
                    <w:rPr>
                      <w:color w:val="auto"/>
                      <w:szCs w:val="21"/>
                      <w:highlight w:val="none"/>
                    </w:rPr>
                  </w:pPr>
                  <w:r>
                    <w:rPr>
                      <w:rFonts w:hint="eastAsia"/>
                      <w:color w:val="auto"/>
                      <w:szCs w:val="21"/>
                      <w:highlight w:val="none"/>
                    </w:rPr>
                    <w:t>本项目化粪池、生产区和污水处理站等均需进行不同程度</w:t>
                  </w:r>
                  <w:r>
                    <w:rPr>
                      <w:color w:val="auto"/>
                      <w:szCs w:val="21"/>
                      <w:highlight w:val="none"/>
                    </w:rPr>
                    <w:t>防渗处理</w:t>
                  </w:r>
                  <w:r>
                    <w:rPr>
                      <w:rFonts w:hint="eastAsia"/>
                      <w:color w:val="auto"/>
                      <w:szCs w:val="21"/>
                      <w:highlight w:val="none"/>
                    </w:rPr>
                    <w:t>，可有效降低运营期环境风险。</w:t>
                  </w:r>
                </w:p>
              </w:tc>
              <w:tc>
                <w:tcPr>
                  <w:tcW w:w="749" w:type="pct"/>
                  <w:tcBorders>
                    <w:tl2br w:val="nil"/>
                    <w:tr2bl w:val="nil"/>
                  </w:tcBorders>
                  <w:vAlign w:val="center"/>
                </w:tcPr>
                <w:p w14:paraId="7C337FA3">
                  <w:pPr>
                    <w:jc w:val="center"/>
                    <w:rPr>
                      <w:color w:val="auto"/>
                      <w:szCs w:val="21"/>
                      <w:highlight w:val="none"/>
                    </w:rPr>
                  </w:pPr>
                  <w:r>
                    <w:rPr>
                      <w:rFonts w:hint="eastAsia"/>
                      <w:color w:val="auto"/>
                      <w:szCs w:val="21"/>
                      <w:highlight w:val="none"/>
                    </w:rPr>
                    <w:t>符合</w:t>
                  </w:r>
                </w:p>
              </w:tc>
            </w:tr>
            <w:tr w14:paraId="7D64686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701" w:hRule="atLeast"/>
              </w:trPr>
              <w:tc>
                <w:tcPr>
                  <w:tcW w:w="440" w:type="pct"/>
                  <w:tcBorders>
                    <w:tl2br w:val="nil"/>
                    <w:tr2bl w:val="nil"/>
                  </w:tcBorders>
                  <w:vAlign w:val="center"/>
                </w:tcPr>
                <w:p w14:paraId="507CA5F6">
                  <w:pPr>
                    <w:pStyle w:val="46"/>
                    <w:jc w:val="center"/>
                    <w:rPr>
                      <w:rFonts w:ascii="Times New Roman" w:cs="Times New Roman"/>
                      <w:color w:val="auto"/>
                      <w:sz w:val="21"/>
                      <w:szCs w:val="21"/>
                      <w:highlight w:val="none"/>
                    </w:rPr>
                  </w:pPr>
                  <w:r>
                    <w:rPr>
                      <w:rFonts w:hint="eastAsia" w:ascii="Times New Roman" w:cs="Times New Roman"/>
                      <w:color w:val="auto"/>
                      <w:sz w:val="21"/>
                      <w:szCs w:val="21"/>
                      <w:highlight w:val="none"/>
                    </w:rPr>
                    <w:t>管控</w:t>
                  </w:r>
                </w:p>
                <w:p w14:paraId="58F7B3D2">
                  <w:pPr>
                    <w:pStyle w:val="46"/>
                    <w:jc w:val="center"/>
                    <w:rPr>
                      <w:rFonts w:ascii="Times New Roman" w:cs="Times New Roman"/>
                      <w:color w:val="auto"/>
                      <w:sz w:val="21"/>
                      <w:szCs w:val="21"/>
                      <w:highlight w:val="none"/>
                    </w:rPr>
                  </w:pPr>
                  <w:r>
                    <w:rPr>
                      <w:rFonts w:hint="eastAsia" w:ascii="Times New Roman" w:cs="Times New Roman"/>
                      <w:color w:val="auto"/>
                      <w:sz w:val="21"/>
                      <w:szCs w:val="21"/>
                      <w:highlight w:val="none"/>
                    </w:rPr>
                    <w:t>单元</w:t>
                  </w:r>
                </w:p>
              </w:tc>
              <w:tc>
                <w:tcPr>
                  <w:tcW w:w="427" w:type="pct"/>
                  <w:tcBorders>
                    <w:tl2br w:val="nil"/>
                    <w:tr2bl w:val="nil"/>
                  </w:tcBorders>
                  <w:vAlign w:val="center"/>
                </w:tcPr>
                <w:p w14:paraId="31BA56E2">
                  <w:pPr>
                    <w:pStyle w:val="46"/>
                    <w:jc w:val="center"/>
                    <w:rPr>
                      <w:rFonts w:ascii="Times New Roman" w:cs="Times New Roman"/>
                      <w:color w:val="auto"/>
                      <w:sz w:val="21"/>
                      <w:szCs w:val="21"/>
                      <w:highlight w:val="none"/>
                    </w:rPr>
                  </w:pPr>
                  <w:r>
                    <w:rPr>
                      <w:rFonts w:hint="eastAsia" w:ascii="Times New Roman" w:cs="Times New Roman"/>
                      <w:color w:val="auto"/>
                      <w:sz w:val="21"/>
                      <w:szCs w:val="21"/>
                      <w:highlight w:val="none"/>
                    </w:rPr>
                    <w:t>管控</w:t>
                  </w:r>
                </w:p>
                <w:p w14:paraId="54A3DC8A">
                  <w:pPr>
                    <w:pStyle w:val="46"/>
                    <w:jc w:val="center"/>
                    <w:rPr>
                      <w:rFonts w:ascii="Times New Roman" w:cs="Times New Roman"/>
                      <w:color w:val="auto"/>
                      <w:sz w:val="21"/>
                      <w:szCs w:val="21"/>
                      <w:highlight w:val="none"/>
                    </w:rPr>
                  </w:pPr>
                  <w:r>
                    <w:rPr>
                      <w:rFonts w:hint="eastAsia" w:ascii="Times New Roman" w:cs="Times New Roman"/>
                      <w:color w:val="auto"/>
                      <w:sz w:val="21"/>
                      <w:szCs w:val="21"/>
                      <w:highlight w:val="none"/>
                    </w:rPr>
                    <w:t>维度</w:t>
                  </w:r>
                </w:p>
              </w:tc>
              <w:tc>
                <w:tcPr>
                  <w:tcW w:w="1587" w:type="pct"/>
                  <w:tcBorders>
                    <w:tl2br w:val="nil"/>
                    <w:tr2bl w:val="nil"/>
                  </w:tcBorders>
                  <w:vAlign w:val="center"/>
                </w:tcPr>
                <w:p w14:paraId="2D507C11">
                  <w:pPr>
                    <w:pStyle w:val="46"/>
                    <w:jc w:val="center"/>
                    <w:rPr>
                      <w:rFonts w:ascii="Times New Roman" w:cs="Times New Roman"/>
                      <w:color w:val="auto"/>
                      <w:sz w:val="21"/>
                      <w:szCs w:val="21"/>
                      <w:highlight w:val="none"/>
                    </w:rPr>
                  </w:pPr>
                  <w:r>
                    <w:rPr>
                      <w:rFonts w:hint="eastAsia" w:ascii="Times New Roman" w:cs="Times New Roman"/>
                      <w:color w:val="auto"/>
                      <w:sz w:val="21"/>
                      <w:szCs w:val="21"/>
                      <w:highlight w:val="none"/>
                    </w:rPr>
                    <w:t>管控要求</w:t>
                  </w:r>
                </w:p>
              </w:tc>
              <w:tc>
                <w:tcPr>
                  <w:tcW w:w="1276" w:type="pct"/>
                  <w:gridSpan w:val="2"/>
                  <w:tcBorders>
                    <w:tl2br w:val="nil"/>
                    <w:tr2bl w:val="nil"/>
                  </w:tcBorders>
                  <w:vAlign w:val="center"/>
                </w:tcPr>
                <w:p w14:paraId="03B45B2A">
                  <w:pPr>
                    <w:pStyle w:val="46"/>
                    <w:jc w:val="center"/>
                    <w:rPr>
                      <w:rFonts w:ascii="Times New Roman" w:cs="Times New Roman"/>
                      <w:color w:val="auto"/>
                      <w:sz w:val="21"/>
                      <w:szCs w:val="21"/>
                      <w:highlight w:val="none"/>
                    </w:rPr>
                  </w:pPr>
                  <w:r>
                    <w:rPr>
                      <w:rFonts w:hint="eastAsia" w:ascii="Times New Roman" w:cs="Times New Roman"/>
                      <w:color w:val="auto"/>
                      <w:sz w:val="21"/>
                      <w:szCs w:val="21"/>
                      <w:highlight w:val="none"/>
                    </w:rPr>
                    <w:t>本项目情况</w:t>
                  </w:r>
                </w:p>
              </w:tc>
              <w:tc>
                <w:tcPr>
                  <w:tcW w:w="517" w:type="pct"/>
                  <w:tcBorders>
                    <w:tl2br w:val="nil"/>
                    <w:tr2bl w:val="nil"/>
                  </w:tcBorders>
                  <w:vAlign w:val="center"/>
                </w:tcPr>
                <w:p w14:paraId="391A1C92">
                  <w:pPr>
                    <w:pStyle w:val="46"/>
                    <w:jc w:val="center"/>
                    <w:rPr>
                      <w:rFonts w:ascii="Times New Roman" w:cs="Times New Roman"/>
                      <w:color w:val="auto"/>
                      <w:sz w:val="21"/>
                      <w:szCs w:val="21"/>
                      <w:highlight w:val="none"/>
                    </w:rPr>
                  </w:pPr>
                  <w:r>
                    <w:rPr>
                      <w:rFonts w:hint="eastAsia" w:ascii="Times New Roman" w:cs="Times New Roman"/>
                      <w:color w:val="auto"/>
                      <w:sz w:val="21"/>
                      <w:szCs w:val="21"/>
                      <w:highlight w:val="none"/>
                    </w:rPr>
                    <w:t>符合性</w:t>
                  </w:r>
                </w:p>
                <w:p w14:paraId="39C6DD5D">
                  <w:pPr>
                    <w:pStyle w:val="46"/>
                    <w:jc w:val="center"/>
                    <w:rPr>
                      <w:rFonts w:ascii="Times New Roman" w:cs="Times New Roman"/>
                      <w:color w:val="auto"/>
                      <w:sz w:val="21"/>
                      <w:szCs w:val="21"/>
                      <w:highlight w:val="none"/>
                    </w:rPr>
                  </w:pPr>
                  <w:r>
                    <w:rPr>
                      <w:rFonts w:hint="eastAsia" w:ascii="Times New Roman" w:cs="Times New Roman"/>
                      <w:color w:val="auto"/>
                      <w:sz w:val="21"/>
                      <w:szCs w:val="21"/>
                      <w:highlight w:val="none"/>
                    </w:rPr>
                    <w:t>分析</w:t>
                  </w:r>
                </w:p>
              </w:tc>
              <w:tc>
                <w:tcPr>
                  <w:tcW w:w="749" w:type="pct"/>
                  <w:tcBorders>
                    <w:tl2br w:val="nil"/>
                    <w:tr2bl w:val="nil"/>
                  </w:tcBorders>
                  <w:vAlign w:val="center"/>
                </w:tcPr>
                <w:p w14:paraId="1D2707D6">
                  <w:pPr>
                    <w:pStyle w:val="46"/>
                    <w:jc w:val="center"/>
                    <w:rPr>
                      <w:rFonts w:ascii="Times New Roman" w:cs="Times New Roman"/>
                      <w:color w:val="auto"/>
                      <w:sz w:val="21"/>
                      <w:szCs w:val="21"/>
                      <w:highlight w:val="none"/>
                    </w:rPr>
                  </w:pPr>
                  <w:r>
                    <w:rPr>
                      <w:rFonts w:hint="eastAsia" w:ascii="Times New Roman" w:cs="Times New Roman"/>
                      <w:color w:val="auto"/>
                      <w:sz w:val="21"/>
                      <w:szCs w:val="21"/>
                      <w:highlight w:val="none"/>
                    </w:rPr>
                    <w:t>占地面积</w:t>
                  </w:r>
                </w:p>
              </w:tc>
            </w:tr>
            <w:tr w14:paraId="5193287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440" w:type="pct"/>
                  <w:vMerge w:val="restart"/>
                  <w:tcBorders>
                    <w:tl2br w:val="nil"/>
                    <w:tr2bl w:val="nil"/>
                  </w:tcBorders>
                  <w:vAlign w:val="center"/>
                </w:tcPr>
                <w:p w14:paraId="1006BC3F">
                  <w:pPr>
                    <w:pStyle w:val="2"/>
                    <w:jc w:val="center"/>
                    <w:rPr>
                      <w:color w:val="auto"/>
                      <w:highlight w:val="none"/>
                    </w:rPr>
                  </w:pPr>
                  <w:r>
                    <w:rPr>
                      <w:color w:val="auto"/>
                      <w:sz w:val="21"/>
                      <w:szCs w:val="21"/>
                      <w:highlight w:val="none"/>
                    </w:rPr>
                    <w:t>洋县重点管控单元1</w:t>
                  </w:r>
                </w:p>
              </w:tc>
              <w:tc>
                <w:tcPr>
                  <w:tcW w:w="427" w:type="pct"/>
                  <w:tcBorders>
                    <w:tl2br w:val="nil"/>
                    <w:tr2bl w:val="nil"/>
                  </w:tcBorders>
                  <w:vAlign w:val="center"/>
                </w:tcPr>
                <w:p w14:paraId="6D707B99">
                  <w:pPr>
                    <w:widowControl/>
                    <w:snapToGrid w:val="0"/>
                    <w:jc w:val="center"/>
                    <w:rPr>
                      <w:rFonts w:ascii="宋体" w:hAnsi="宋体" w:cs="宋体"/>
                      <w:color w:val="auto"/>
                      <w:szCs w:val="21"/>
                      <w:highlight w:val="none"/>
                    </w:rPr>
                  </w:pPr>
                  <w:r>
                    <w:rPr>
                      <w:rFonts w:hint="eastAsia" w:ascii="宋体" w:hAnsi="宋体" w:cs="宋体"/>
                      <w:color w:val="auto"/>
                      <w:kern w:val="0"/>
                      <w:szCs w:val="21"/>
                      <w:highlight w:val="none"/>
                    </w:rPr>
                    <w:t>空间布局约束</w:t>
                  </w:r>
                </w:p>
              </w:tc>
              <w:tc>
                <w:tcPr>
                  <w:tcW w:w="1587" w:type="pct"/>
                  <w:tcBorders>
                    <w:tl2br w:val="nil"/>
                    <w:tr2bl w:val="nil"/>
                  </w:tcBorders>
                  <w:vAlign w:val="center"/>
                </w:tcPr>
                <w:p w14:paraId="0F429E10">
                  <w:pPr>
                    <w:tabs>
                      <w:tab w:val="left" w:pos="265"/>
                    </w:tabs>
                    <w:autoSpaceDE w:val="0"/>
                    <w:autoSpaceDN w:val="0"/>
                    <w:snapToGrid w:val="0"/>
                    <w:ind w:right="96"/>
                    <w:rPr>
                      <w:color w:val="auto"/>
                      <w:spacing w:val="-3"/>
                      <w:kern w:val="0"/>
                      <w:szCs w:val="21"/>
                      <w:highlight w:val="none"/>
                      <w:lang w:bidi="zh-CN"/>
                    </w:rPr>
                  </w:pPr>
                  <w:r>
                    <w:rPr>
                      <w:color w:val="auto"/>
                      <w:spacing w:val="-3"/>
                      <w:kern w:val="0"/>
                      <w:szCs w:val="21"/>
                      <w:highlight w:val="none"/>
                      <w:lang w:bidi="zh-CN"/>
                    </w:rPr>
                    <w:t>1.严格控制新增煤电、石化、化工、钢铁、有色金属冶炼、建材等“两高”行业项目（民生等项目除外，后续对“两高”范围国家如有新规定的，从其规定）。</w:t>
                  </w:r>
                </w:p>
                <w:p w14:paraId="09B67A7F">
                  <w:pPr>
                    <w:tabs>
                      <w:tab w:val="left" w:pos="265"/>
                    </w:tabs>
                    <w:autoSpaceDE w:val="0"/>
                    <w:autoSpaceDN w:val="0"/>
                    <w:snapToGrid w:val="0"/>
                    <w:ind w:right="96"/>
                    <w:rPr>
                      <w:color w:val="auto"/>
                      <w:szCs w:val="21"/>
                      <w:highlight w:val="none"/>
                    </w:rPr>
                  </w:pPr>
                  <w:r>
                    <w:rPr>
                      <w:color w:val="auto"/>
                      <w:spacing w:val="-3"/>
                      <w:kern w:val="0"/>
                      <w:szCs w:val="21"/>
                      <w:highlight w:val="none"/>
                      <w:lang w:bidi="zh-CN"/>
                    </w:rPr>
                    <w:t>2.加快区域内重污染企业搬迁、改造或关闭退出。</w:t>
                  </w:r>
                </w:p>
              </w:tc>
              <w:tc>
                <w:tcPr>
                  <w:tcW w:w="1276" w:type="pct"/>
                  <w:gridSpan w:val="2"/>
                  <w:tcBorders>
                    <w:tl2br w:val="nil"/>
                    <w:tr2bl w:val="nil"/>
                  </w:tcBorders>
                  <w:vAlign w:val="center"/>
                </w:tcPr>
                <w:p w14:paraId="388613D5">
                  <w:pPr>
                    <w:rPr>
                      <w:color w:val="auto"/>
                      <w:szCs w:val="21"/>
                      <w:highlight w:val="none"/>
                    </w:rPr>
                  </w:pPr>
                  <w:r>
                    <w:rPr>
                      <w:rFonts w:hint="eastAsia" w:hAnsi="宋体"/>
                      <w:color w:val="auto"/>
                      <w:szCs w:val="21"/>
                      <w:highlight w:val="none"/>
                    </w:rPr>
                    <w:t>本</w:t>
                  </w:r>
                  <w:r>
                    <w:rPr>
                      <w:rFonts w:hAnsi="宋体"/>
                      <w:color w:val="auto"/>
                      <w:szCs w:val="21"/>
                      <w:highlight w:val="none"/>
                    </w:rPr>
                    <w:t>项目不</w:t>
                  </w:r>
                  <w:r>
                    <w:rPr>
                      <w:rFonts w:hint="eastAsia" w:hAnsi="宋体"/>
                      <w:color w:val="auto"/>
                      <w:szCs w:val="21"/>
                      <w:highlight w:val="none"/>
                    </w:rPr>
                    <w:t>属于“两高”项目。结合生产加工内容可知，本项目建设单位不属于重污染企业。</w:t>
                  </w:r>
                </w:p>
              </w:tc>
              <w:tc>
                <w:tcPr>
                  <w:tcW w:w="517" w:type="pct"/>
                  <w:tcBorders>
                    <w:tl2br w:val="nil"/>
                    <w:tr2bl w:val="nil"/>
                  </w:tcBorders>
                  <w:vAlign w:val="center"/>
                </w:tcPr>
                <w:p w14:paraId="0AB3A6FA">
                  <w:pPr>
                    <w:jc w:val="center"/>
                    <w:rPr>
                      <w:color w:val="auto"/>
                      <w:szCs w:val="21"/>
                      <w:highlight w:val="none"/>
                    </w:rPr>
                  </w:pPr>
                  <w:r>
                    <w:rPr>
                      <w:color w:val="auto"/>
                      <w:szCs w:val="21"/>
                      <w:highlight w:val="none"/>
                    </w:rPr>
                    <w:t>符合</w:t>
                  </w:r>
                </w:p>
              </w:tc>
              <w:tc>
                <w:tcPr>
                  <w:tcW w:w="749" w:type="pct"/>
                  <w:vMerge w:val="restart"/>
                  <w:tcBorders>
                    <w:tl2br w:val="nil"/>
                    <w:tr2bl w:val="nil"/>
                  </w:tcBorders>
                  <w:vAlign w:val="center"/>
                </w:tcPr>
                <w:p w14:paraId="29197B12">
                  <w:pPr>
                    <w:jc w:val="center"/>
                    <w:rPr>
                      <w:color w:val="auto"/>
                      <w:szCs w:val="21"/>
                      <w:highlight w:val="none"/>
                    </w:rPr>
                  </w:pPr>
                  <w:r>
                    <w:rPr>
                      <w:rFonts w:hint="eastAsia"/>
                      <w:color w:val="auto"/>
                      <w:szCs w:val="21"/>
                      <w:highlight w:val="none"/>
                    </w:rPr>
                    <w:t>2978.05m</w:t>
                  </w:r>
                  <w:r>
                    <w:rPr>
                      <w:rFonts w:hint="eastAsia"/>
                      <w:color w:val="auto"/>
                      <w:szCs w:val="21"/>
                      <w:highlight w:val="none"/>
                      <w:vertAlign w:val="superscript"/>
                    </w:rPr>
                    <w:t>2</w:t>
                  </w:r>
                </w:p>
              </w:tc>
            </w:tr>
            <w:tr w14:paraId="5E03BF6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868" w:hRule="atLeast"/>
              </w:trPr>
              <w:tc>
                <w:tcPr>
                  <w:tcW w:w="440" w:type="pct"/>
                  <w:vMerge w:val="continue"/>
                  <w:tcBorders>
                    <w:tl2br w:val="nil"/>
                    <w:tr2bl w:val="nil"/>
                  </w:tcBorders>
                  <w:vAlign w:val="center"/>
                </w:tcPr>
                <w:p w14:paraId="15856A81">
                  <w:pPr>
                    <w:jc w:val="center"/>
                    <w:rPr>
                      <w:color w:val="auto"/>
                      <w:szCs w:val="21"/>
                      <w:highlight w:val="none"/>
                    </w:rPr>
                  </w:pPr>
                </w:p>
              </w:tc>
              <w:tc>
                <w:tcPr>
                  <w:tcW w:w="427" w:type="pct"/>
                  <w:tcBorders>
                    <w:tl2br w:val="nil"/>
                    <w:tr2bl w:val="nil"/>
                  </w:tcBorders>
                  <w:vAlign w:val="center"/>
                </w:tcPr>
                <w:p w14:paraId="3A538C96">
                  <w:pPr>
                    <w:widowControl/>
                    <w:snapToGrid w:val="0"/>
                    <w:jc w:val="center"/>
                    <w:rPr>
                      <w:rFonts w:ascii="宋体" w:hAnsi="宋体" w:cs="宋体"/>
                      <w:color w:val="auto"/>
                      <w:szCs w:val="21"/>
                      <w:highlight w:val="none"/>
                    </w:rPr>
                  </w:pPr>
                  <w:r>
                    <w:rPr>
                      <w:rFonts w:hint="eastAsia" w:ascii="宋体" w:hAnsi="宋体" w:cs="宋体"/>
                      <w:color w:val="auto"/>
                      <w:kern w:val="0"/>
                      <w:szCs w:val="21"/>
                      <w:highlight w:val="none"/>
                    </w:rPr>
                    <w:t>污染物排放管控</w:t>
                  </w:r>
                </w:p>
              </w:tc>
              <w:tc>
                <w:tcPr>
                  <w:tcW w:w="1587" w:type="pct"/>
                  <w:tcBorders>
                    <w:tl2br w:val="nil"/>
                    <w:tr2bl w:val="nil"/>
                  </w:tcBorders>
                  <w:vAlign w:val="center"/>
                </w:tcPr>
                <w:p w14:paraId="32453966">
                  <w:pPr>
                    <w:tabs>
                      <w:tab w:val="left" w:pos="265"/>
                    </w:tabs>
                    <w:autoSpaceDE w:val="0"/>
                    <w:autoSpaceDN w:val="0"/>
                    <w:snapToGrid w:val="0"/>
                    <w:ind w:right="96"/>
                    <w:rPr>
                      <w:color w:val="auto"/>
                      <w:spacing w:val="-3"/>
                      <w:kern w:val="0"/>
                      <w:szCs w:val="21"/>
                      <w:highlight w:val="none"/>
                      <w:lang w:bidi="zh-CN"/>
                    </w:rPr>
                  </w:pPr>
                  <w:r>
                    <w:rPr>
                      <w:color w:val="auto"/>
                      <w:spacing w:val="-3"/>
                      <w:kern w:val="0"/>
                      <w:szCs w:val="21"/>
                      <w:highlight w:val="none"/>
                      <w:lang w:bidi="zh-CN"/>
                    </w:rPr>
                    <w:t>1.区域内保留企业采用先进生产工艺、严格落实污染治理设施，污染物执行超低排放或特别排放限值。</w:t>
                  </w:r>
                </w:p>
                <w:p w14:paraId="24B7CEE8">
                  <w:pPr>
                    <w:tabs>
                      <w:tab w:val="left" w:pos="265"/>
                    </w:tabs>
                    <w:autoSpaceDE w:val="0"/>
                    <w:autoSpaceDN w:val="0"/>
                    <w:snapToGrid w:val="0"/>
                    <w:ind w:right="96"/>
                    <w:rPr>
                      <w:color w:val="auto"/>
                      <w:szCs w:val="21"/>
                      <w:highlight w:val="none"/>
                    </w:rPr>
                  </w:pPr>
                  <w:r>
                    <w:rPr>
                      <w:color w:val="auto"/>
                      <w:spacing w:val="-3"/>
                      <w:kern w:val="0"/>
                      <w:szCs w:val="21"/>
                      <w:highlight w:val="none"/>
                      <w:lang w:bidi="zh-CN"/>
                    </w:rPr>
                    <w:t>2.鼓励将老旧车辆和非道路移动机械替换为清洁能源车辆。</w:t>
                  </w:r>
                </w:p>
              </w:tc>
              <w:tc>
                <w:tcPr>
                  <w:tcW w:w="1276" w:type="pct"/>
                  <w:gridSpan w:val="2"/>
                  <w:tcBorders>
                    <w:tl2br w:val="nil"/>
                    <w:tr2bl w:val="nil"/>
                  </w:tcBorders>
                  <w:vAlign w:val="center"/>
                </w:tcPr>
                <w:p w14:paraId="3A894D62">
                  <w:pPr>
                    <w:rPr>
                      <w:color w:val="auto"/>
                      <w:szCs w:val="21"/>
                      <w:highlight w:val="none"/>
                    </w:rPr>
                  </w:pPr>
                  <w:r>
                    <w:rPr>
                      <w:rFonts w:hint="eastAsia"/>
                      <w:color w:val="auto"/>
                      <w:szCs w:val="21"/>
                      <w:highlight w:val="none"/>
                    </w:rPr>
                    <w:t>本项目运营期采取目前成熟先进的生产工艺，运营期严格落实环评提出的废气污染治理措施，确保运营期废气达标排放。</w:t>
                  </w:r>
                </w:p>
              </w:tc>
              <w:tc>
                <w:tcPr>
                  <w:tcW w:w="517" w:type="pct"/>
                  <w:tcBorders>
                    <w:tl2br w:val="nil"/>
                    <w:tr2bl w:val="nil"/>
                  </w:tcBorders>
                  <w:vAlign w:val="center"/>
                </w:tcPr>
                <w:p w14:paraId="406A7DCC">
                  <w:pPr>
                    <w:jc w:val="center"/>
                    <w:rPr>
                      <w:color w:val="auto"/>
                      <w:szCs w:val="21"/>
                      <w:highlight w:val="none"/>
                    </w:rPr>
                  </w:pPr>
                  <w:r>
                    <w:rPr>
                      <w:color w:val="auto"/>
                      <w:szCs w:val="21"/>
                      <w:highlight w:val="none"/>
                    </w:rPr>
                    <w:t>符合</w:t>
                  </w:r>
                </w:p>
              </w:tc>
              <w:tc>
                <w:tcPr>
                  <w:tcW w:w="749" w:type="pct"/>
                  <w:vMerge w:val="continue"/>
                  <w:tcBorders>
                    <w:tl2br w:val="nil"/>
                    <w:tr2bl w:val="nil"/>
                  </w:tcBorders>
                  <w:vAlign w:val="center"/>
                </w:tcPr>
                <w:p w14:paraId="5068C2BD">
                  <w:pPr>
                    <w:jc w:val="center"/>
                    <w:rPr>
                      <w:color w:val="auto"/>
                      <w:szCs w:val="21"/>
                      <w:highlight w:val="none"/>
                    </w:rPr>
                  </w:pPr>
                </w:p>
              </w:tc>
            </w:tr>
          </w:tbl>
          <w:p w14:paraId="50D1A33C">
            <w:pPr>
              <w:pStyle w:val="136"/>
              <w:spacing w:line="360" w:lineRule="auto"/>
              <w:rPr>
                <w:color w:val="auto"/>
                <w:sz w:val="24"/>
                <w:highlight w:val="none"/>
              </w:rPr>
            </w:pPr>
            <w:r>
              <w:rPr>
                <w:rFonts w:hint="eastAsia" w:ascii="宋体" w:cs="宋体"/>
                <w:color w:val="auto"/>
                <w:sz w:val="24"/>
                <w:highlight w:val="none"/>
              </w:rPr>
              <w:t>③</w:t>
            </w:r>
            <w:r>
              <w:rPr>
                <w:rFonts w:hint="eastAsia"/>
                <w:color w:val="auto"/>
                <w:sz w:val="24"/>
                <w:highlight w:val="none"/>
              </w:rPr>
              <w:t>一说明：</w:t>
            </w:r>
          </w:p>
          <w:p w14:paraId="15701B14">
            <w:pPr>
              <w:pStyle w:val="43"/>
              <w:spacing w:line="360" w:lineRule="auto"/>
              <w:ind w:firstLine="480" w:firstLineChars="200"/>
              <w:rPr>
                <w:rFonts w:ascii="Times New Roman" w:hAnsi="Times New Roman" w:cs="Times New Roman"/>
                <w:color w:val="auto"/>
                <w:szCs w:val="32"/>
                <w:highlight w:val="none"/>
              </w:rPr>
            </w:pPr>
            <w:r>
              <w:rPr>
                <w:rFonts w:ascii="Times New Roman" w:hAnsi="Times New Roman" w:cs="Times New Roman"/>
                <w:color w:val="auto"/>
                <w:highlight w:val="none"/>
              </w:rPr>
              <w:t>根据图1-1和表1-</w:t>
            </w:r>
            <w:r>
              <w:rPr>
                <w:rFonts w:hint="eastAsia" w:ascii="Times New Roman" w:hAnsi="Times New Roman" w:cs="Times New Roman"/>
                <w:color w:val="auto"/>
                <w:highlight w:val="none"/>
              </w:rPr>
              <w:t>2</w:t>
            </w:r>
            <w:r>
              <w:rPr>
                <w:rFonts w:ascii="Times New Roman" w:hAnsi="Times New Roman" w:cs="Times New Roman"/>
                <w:color w:val="auto"/>
                <w:highlight w:val="none"/>
              </w:rPr>
              <w:t>中对比结果可知，本项目符合汉中市</w:t>
            </w:r>
            <w:r>
              <w:rPr>
                <w:rFonts w:ascii="Times New Roman" w:hAnsi="Times New Roman" w:cs="Times New Roman"/>
                <w:color w:val="auto"/>
                <w:szCs w:val="32"/>
                <w:highlight w:val="none"/>
              </w:rPr>
              <w:t>生态环境管控单元中相关要求。</w:t>
            </w:r>
          </w:p>
          <w:p w14:paraId="08CB7F6C">
            <w:pPr>
              <w:pStyle w:val="136"/>
              <w:spacing w:line="360" w:lineRule="auto"/>
              <w:rPr>
                <w:color w:val="auto"/>
                <w:sz w:val="24"/>
                <w:highlight w:val="none"/>
              </w:rPr>
            </w:pPr>
            <w:r>
              <w:rPr>
                <w:rFonts w:hint="eastAsia"/>
                <w:color w:val="auto"/>
                <w:sz w:val="24"/>
                <w:highlight w:val="none"/>
              </w:rPr>
              <w:t>3、与省、市、县（区）“十四五”生态环境保护规划的符合性分析</w:t>
            </w:r>
          </w:p>
          <w:p w14:paraId="01E40BB5">
            <w:pPr>
              <w:wordWrap w:val="0"/>
              <w:jc w:val="center"/>
              <w:rPr>
                <w:b/>
                <w:bCs/>
                <w:color w:val="auto"/>
                <w:szCs w:val="21"/>
                <w:highlight w:val="none"/>
              </w:rPr>
            </w:pPr>
            <w:r>
              <w:rPr>
                <w:b/>
                <w:bCs/>
                <w:color w:val="auto"/>
                <w:szCs w:val="21"/>
                <w:highlight w:val="none"/>
              </w:rPr>
              <w:t>表1-</w:t>
            </w:r>
            <w:r>
              <w:rPr>
                <w:rFonts w:hint="eastAsia"/>
                <w:b/>
                <w:bCs/>
                <w:color w:val="auto"/>
                <w:szCs w:val="21"/>
                <w:highlight w:val="none"/>
              </w:rPr>
              <w:t>3</w:t>
            </w:r>
            <w:r>
              <w:rPr>
                <w:b/>
                <w:bCs/>
                <w:color w:val="auto"/>
                <w:szCs w:val="21"/>
                <w:highlight w:val="none"/>
              </w:rPr>
              <w:t xml:space="preserve">  </w:t>
            </w:r>
            <w:r>
              <w:rPr>
                <w:rFonts w:hint="eastAsia"/>
                <w:b/>
                <w:bCs/>
                <w:color w:val="auto"/>
                <w:szCs w:val="21"/>
                <w:highlight w:val="none"/>
              </w:rPr>
              <w:t>本</w:t>
            </w:r>
            <w:r>
              <w:rPr>
                <w:b/>
                <w:bCs/>
                <w:color w:val="auto"/>
                <w:szCs w:val="21"/>
                <w:highlight w:val="none"/>
              </w:rPr>
              <w:t>项目与</w:t>
            </w:r>
            <w:r>
              <w:rPr>
                <w:rFonts w:hint="eastAsia"/>
                <w:b/>
                <w:bCs/>
                <w:color w:val="auto"/>
                <w:szCs w:val="21"/>
                <w:highlight w:val="none"/>
              </w:rPr>
              <w:t>省、市、县区“十四五”生态环境保护规划的符合性一览表</w:t>
            </w:r>
          </w:p>
          <w:tbl>
            <w:tblPr>
              <w:tblStyle w:val="35"/>
              <w:tblW w:w="8108"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559"/>
              <w:gridCol w:w="4166"/>
              <w:gridCol w:w="1447"/>
              <w:gridCol w:w="936"/>
            </w:tblGrid>
            <w:tr w14:paraId="07C3AB5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559" w:type="dxa"/>
                  <w:tcBorders>
                    <w:tl2br w:val="nil"/>
                    <w:tr2bl w:val="nil"/>
                  </w:tcBorders>
                  <w:vAlign w:val="center"/>
                </w:tcPr>
                <w:p w14:paraId="24A1DE72">
                  <w:pPr>
                    <w:wordWrap w:val="0"/>
                    <w:jc w:val="center"/>
                    <w:rPr>
                      <w:color w:val="auto"/>
                      <w:szCs w:val="21"/>
                      <w:highlight w:val="none"/>
                    </w:rPr>
                  </w:pPr>
                  <w:r>
                    <w:rPr>
                      <w:color w:val="auto"/>
                      <w:szCs w:val="21"/>
                      <w:highlight w:val="none"/>
                    </w:rPr>
                    <w:t>相关政策</w:t>
                  </w:r>
                </w:p>
              </w:tc>
              <w:tc>
                <w:tcPr>
                  <w:tcW w:w="4166" w:type="dxa"/>
                  <w:tcBorders>
                    <w:tl2br w:val="nil"/>
                    <w:tr2bl w:val="nil"/>
                  </w:tcBorders>
                  <w:vAlign w:val="center"/>
                </w:tcPr>
                <w:p w14:paraId="70DF7E06">
                  <w:pPr>
                    <w:wordWrap w:val="0"/>
                    <w:jc w:val="center"/>
                    <w:rPr>
                      <w:color w:val="auto"/>
                      <w:szCs w:val="21"/>
                      <w:highlight w:val="none"/>
                    </w:rPr>
                  </w:pPr>
                  <w:r>
                    <w:rPr>
                      <w:color w:val="auto"/>
                      <w:szCs w:val="21"/>
                      <w:highlight w:val="none"/>
                    </w:rPr>
                    <w:t>内容</w:t>
                  </w:r>
                </w:p>
              </w:tc>
              <w:tc>
                <w:tcPr>
                  <w:tcW w:w="1447" w:type="dxa"/>
                  <w:tcBorders>
                    <w:tl2br w:val="nil"/>
                    <w:tr2bl w:val="nil"/>
                  </w:tcBorders>
                  <w:vAlign w:val="center"/>
                </w:tcPr>
                <w:p w14:paraId="48F2AF61">
                  <w:pPr>
                    <w:wordWrap w:val="0"/>
                    <w:jc w:val="center"/>
                    <w:rPr>
                      <w:color w:val="auto"/>
                      <w:szCs w:val="21"/>
                      <w:highlight w:val="none"/>
                    </w:rPr>
                  </w:pPr>
                  <w:r>
                    <w:rPr>
                      <w:color w:val="auto"/>
                      <w:szCs w:val="21"/>
                      <w:highlight w:val="none"/>
                    </w:rPr>
                    <w:t>本项目情况</w:t>
                  </w:r>
                </w:p>
              </w:tc>
              <w:tc>
                <w:tcPr>
                  <w:tcW w:w="936" w:type="dxa"/>
                  <w:tcBorders>
                    <w:tl2br w:val="nil"/>
                    <w:tr2bl w:val="nil"/>
                  </w:tcBorders>
                  <w:vAlign w:val="center"/>
                </w:tcPr>
                <w:p w14:paraId="213EF82D">
                  <w:pPr>
                    <w:wordWrap w:val="0"/>
                    <w:jc w:val="center"/>
                    <w:rPr>
                      <w:color w:val="auto"/>
                      <w:szCs w:val="21"/>
                      <w:highlight w:val="none"/>
                    </w:rPr>
                  </w:pPr>
                  <w:r>
                    <w:rPr>
                      <w:color w:val="auto"/>
                      <w:szCs w:val="21"/>
                      <w:highlight w:val="none"/>
                    </w:rPr>
                    <w:t>符合性</w:t>
                  </w:r>
                </w:p>
              </w:tc>
            </w:tr>
            <w:tr w14:paraId="75C732A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3" w:hRule="atLeast"/>
              </w:trPr>
              <w:tc>
                <w:tcPr>
                  <w:tcW w:w="1559" w:type="dxa"/>
                  <w:tcBorders>
                    <w:tl2br w:val="nil"/>
                    <w:tr2bl w:val="nil"/>
                  </w:tcBorders>
                  <w:vAlign w:val="center"/>
                </w:tcPr>
                <w:p w14:paraId="78901B83">
                  <w:pPr>
                    <w:wordWrap w:val="0"/>
                    <w:jc w:val="center"/>
                    <w:rPr>
                      <w:color w:val="auto"/>
                      <w:szCs w:val="21"/>
                      <w:highlight w:val="none"/>
                    </w:rPr>
                  </w:pPr>
                  <w:r>
                    <w:rPr>
                      <w:rFonts w:hint="eastAsia"/>
                      <w:color w:val="auto"/>
                      <w:szCs w:val="21"/>
                      <w:highlight w:val="none"/>
                    </w:rPr>
                    <w:t>《陕西省“十四五”生态环境保护规划》（陕政办发〔2021〕25号）</w:t>
                  </w:r>
                </w:p>
              </w:tc>
              <w:tc>
                <w:tcPr>
                  <w:tcW w:w="4166" w:type="dxa"/>
                  <w:tcBorders>
                    <w:tl2br w:val="nil"/>
                    <w:tr2bl w:val="nil"/>
                  </w:tcBorders>
                  <w:vAlign w:val="center"/>
                </w:tcPr>
                <w:p w14:paraId="4B7C6FAB">
                  <w:pPr>
                    <w:wordWrap w:val="0"/>
                    <w:jc w:val="left"/>
                    <w:rPr>
                      <w:b/>
                      <w:bCs/>
                      <w:color w:val="auto"/>
                      <w:szCs w:val="21"/>
                      <w:highlight w:val="none"/>
                    </w:rPr>
                  </w:pPr>
                  <w:r>
                    <w:rPr>
                      <w:b/>
                      <w:bCs/>
                      <w:color w:val="auto"/>
                      <w:szCs w:val="21"/>
                      <w:highlight w:val="none"/>
                    </w:rPr>
                    <w:t>第五章第</w:t>
                  </w:r>
                  <w:r>
                    <w:rPr>
                      <w:rFonts w:hint="eastAsia"/>
                      <w:b/>
                      <w:bCs/>
                      <w:color w:val="auto"/>
                      <w:szCs w:val="21"/>
                      <w:highlight w:val="none"/>
                    </w:rPr>
                    <w:t>三</w:t>
                  </w:r>
                  <w:r>
                    <w:rPr>
                      <w:b/>
                      <w:bCs/>
                      <w:color w:val="auto"/>
                      <w:szCs w:val="21"/>
                      <w:highlight w:val="none"/>
                    </w:rPr>
                    <w:t>节—加强其他涉气污染物治理</w:t>
                  </w:r>
                </w:p>
                <w:p w14:paraId="7FD4CF5B">
                  <w:pPr>
                    <w:wordWrap w:val="0"/>
                    <w:jc w:val="left"/>
                    <w:rPr>
                      <w:color w:val="auto"/>
                      <w:highlight w:val="none"/>
                    </w:rPr>
                  </w:pPr>
                  <w:r>
                    <w:rPr>
                      <w:rFonts w:hint="eastAsia"/>
                      <w:color w:val="auto"/>
                      <w:szCs w:val="21"/>
                      <w:highlight w:val="none"/>
                    </w:rPr>
                    <w:t>加强生物质锅炉燃料品质及排放管控，禁止使用劣质燃料或掺烧垃圾、工业固体废物，对污染物排放不符合要求的生物质锅炉进行整改或淘汰。</w:t>
                  </w:r>
                </w:p>
              </w:tc>
              <w:tc>
                <w:tcPr>
                  <w:tcW w:w="1447" w:type="dxa"/>
                  <w:vMerge w:val="restart"/>
                  <w:tcBorders>
                    <w:tl2br w:val="nil"/>
                    <w:tr2bl w:val="nil"/>
                  </w:tcBorders>
                  <w:vAlign w:val="center"/>
                </w:tcPr>
                <w:p w14:paraId="2223C6E7">
                  <w:pPr>
                    <w:rPr>
                      <w:color w:val="auto"/>
                      <w:highlight w:val="none"/>
                    </w:rPr>
                  </w:pPr>
                  <w:r>
                    <w:rPr>
                      <w:rFonts w:hint="eastAsia"/>
                      <w:color w:val="auto"/>
                      <w:highlight w:val="none"/>
                    </w:rPr>
                    <w:t>本</w:t>
                  </w:r>
                  <w:r>
                    <w:rPr>
                      <w:color w:val="auto"/>
                      <w:highlight w:val="none"/>
                    </w:rPr>
                    <w:t>项目</w:t>
                  </w:r>
                  <w:r>
                    <w:rPr>
                      <w:rFonts w:hint="eastAsia"/>
                      <w:color w:val="auto"/>
                      <w:highlight w:val="none"/>
                    </w:rPr>
                    <w:t>采用成型生物质燃料，锅炉规格不属于《产业结构调整指导目录（2024本）》中淘汰类，且配备“低氮燃烧+</w:t>
                  </w:r>
                  <w:r>
                    <w:rPr>
                      <w:rFonts w:hint="eastAsia"/>
                      <w:color w:val="auto"/>
                      <w:highlight w:val="none"/>
                      <w:lang w:eastAsia="zh-CN"/>
                    </w:rPr>
                    <w:t>袋</w:t>
                  </w:r>
                  <w:r>
                    <w:rPr>
                      <w:rFonts w:hint="eastAsia"/>
                      <w:color w:val="auto"/>
                      <w:highlight w:val="none"/>
                    </w:rPr>
                    <w:t>式除尘”措施，运营期燃烧废气可做到达标排放。</w:t>
                  </w:r>
                </w:p>
              </w:tc>
              <w:tc>
                <w:tcPr>
                  <w:tcW w:w="936" w:type="dxa"/>
                  <w:vMerge w:val="restart"/>
                  <w:tcBorders>
                    <w:tl2br w:val="nil"/>
                    <w:tr2bl w:val="nil"/>
                  </w:tcBorders>
                  <w:vAlign w:val="center"/>
                </w:tcPr>
                <w:p w14:paraId="519254AC">
                  <w:pPr>
                    <w:wordWrap w:val="0"/>
                    <w:jc w:val="center"/>
                    <w:rPr>
                      <w:color w:val="auto"/>
                      <w:szCs w:val="21"/>
                      <w:highlight w:val="none"/>
                    </w:rPr>
                  </w:pPr>
                  <w:r>
                    <w:rPr>
                      <w:color w:val="auto"/>
                      <w:szCs w:val="21"/>
                      <w:highlight w:val="none"/>
                    </w:rPr>
                    <w:t>符合</w:t>
                  </w:r>
                </w:p>
              </w:tc>
            </w:tr>
            <w:tr w14:paraId="5B50A06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6" w:hRule="atLeast"/>
              </w:trPr>
              <w:tc>
                <w:tcPr>
                  <w:tcW w:w="1559" w:type="dxa"/>
                  <w:tcBorders>
                    <w:tl2br w:val="nil"/>
                    <w:tr2bl w:val="nil"/>
                  </w:tcBorders>
                  <w:vAlign w:val="center"/>
                </w:tcPr>
                <w:p w14:paraId="75EE5D1F">
                  <w:pPr>
                    <w:wordWrap w:val="0"/>
                    <w:jc w:val="center"/>
                    <w:rPr>
                      <w:color w:val="auto"/>
                      <w:szCs w:val="21"/>
                      <w:highlight w:val="none"/>
                    </w:rPr>
                  </w:pPr>
                  <w:r>
                    <w:rPr>
                      <w:color w:val="auto"/>
                      <w:szCs w:val="21"/>
                      <w:highlight w:val="none"/>
                    </w:rPr>
                    <w:t>《</w:t>
                  </w:r>
                  <w:r>
                    <w:rPr>
                      <w:rFonts w:hint="eastAsia"/>
                      <w:color w:val="auto"/>
                      <w:szCs w:val="21"/>
                      <w:highlight w:val="none"/>
                    </w:rPr>
                    <w:t>汉中市“十四五”生态环境保护规划</w:t>
                  </w:r>
                  <w:r>
                    <w:rPr>
                      <w:color w:val="auto"/>
                      <w:szCs w:val="21"/>
                      <w:highlight w:val="none"/>
                    </w:rPr>
                    <w:t>》（</w:t>
                  </w:r>
                  <w:r>
                    <w:rPr>
                      <w:rFonts w:hint="eastAsia"/>
                      <w:color w:val="auto"/>
                      <w:szCs w:val="21"/>
                      <w:highlight w:val="none"/>
                    </w:rPr>
                    <w:t>汉政办发〔2021〕54号</w:t>
                  </w:r>
                  <w:r>
                    <w:rPr>
                      <w:color w:val="auto"/>
                      <w:szCs w:val="21"/>
                      <w:highlight w:val="none"/>
                    </w:rPr>
                    <w:t>）</w:t>
                  </w:r>
                </w:p>
              </w:tc>
              <w:tc>
                <w:tcPr>
                  <w:tcW w:w="4166" w:type="dxa"/>
                  <w:tcBorders>
                    <w:tl2br w:val="nil"/>
                    <w:tr2bl w:val="nil"/>
                  </w:tcBorders>
                  <w:vAlign w:val="center"/>
                </w:tcPr>
                <w:p w14:paraId="54775A3C">
                  <w:pPr>
                    <w:wordWrap w:val="0"/>
                    <w:jc w:val="left"/>
                    <w:rPr>
                      <w:b/>
                      <w:bCs/>
                      <w:color w:val="auto"/>
                      <w:szCs w:val="21"/>
                      <w:highlight w:val="none"/>
                    </w:rPr>
                  </w:pPr>
                  <w:r>
                    <w:rPr>
                      <w:b/>
                      <w:bCs/>
                      <w:color w:val="auto"/>
                      <w:szCs w:val="21"/>
                      <w:highlight w:val="none"/>
                    </w:rPr>
                    <w:t>第五章第</w:t>
                  </w:r>
                  <w:r>
                    <w:rPr>
                      <w:rFonts w:hint="eastAsia"/>
                      <w:b/>
                      <w:bCs/>
                      <w:color w:val="auto"/>
                      <w:szCs w:val="21"/>
                      <w:highlight w:val="none"/>
                    </w:rPr>
                    <w:t>三</w:t>
                  </w:r>
                  <w:r>
                    <w:rPr>
                      <w:b/>
                      <w:bCs/>
                      <w:color w:val="auto"/>
                      <w:szCs w:val="21"/>
                      <w:highlight w:val="none"/>
                    </w:rPr>
                    <w:t>节—加强其他涉气污染物治理</w:t>
                  </w:r>
                </w:p>
                <w:p w14:paraId="01CD7FE6">
                  <w:pPr>
                    <w:pStyle w:val="43"/>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加强生物质锅炉燃料品质及排放管控，禁止使用劣质燃料或掺烧垃圾、工业固体废物，对污染物排放不符合要求的生物质锅炉进行整改或淘汰。</w:t>
                  </w:r>
                </w:p>
              </w:tc>
              <w:tc>
                <w:tcPr>
                  <w:tcW w:w="1447" w:type="dxa"/>
                  <w:vMerge w:val="continue"/>
                  <w:tcBorders>
                    <w:tl2br w:val="nil"/>
                    <w:tr2bl w:val="nil"/>
                  </w:tcBorders>
                  <w:vAlign w:val="center"/>
                </w:tcPr>
                <w:p w14:paraId="43B054B3">
                  <w:pPr>
                    <w:wordWrap w:val="0"/>
                    <w:rPr>
                      <w:color w:val="auto"/>
                      <w:szCs w:val="21"/>
                      <w:highlight w:val="none"/>
                    </w:rPr>
                  </w:pPr>
                </w:p>
              </w:tc>
              <w:tc>
                <w:tcPr>
                  <w:tcW w:w="936" w:type="dxa"/>
                  <w:vMerge w:val="continue"/>
                  <w:tcBorders>
                    <w:tl2br w:val="nil"/>
                    <w:tr2bl w:val="nil"/>
                  </w:tcBorders>
                  <w:vAlign w:val="center"/>
                </w:tcPr>
                <w:p w14:paraId="5EAE2F12">
                  <w:pPr>
                    <w:wordWrap w:val="0"/>
                    <w:jc w:val="center"/>
                    <w:rPr>
                      <w:color w:val="auto"/>
                      <w:szCs w:val="21"/>
                      <w:highlight w:val="none"/>
                    </w:rPr>
                  </w:pPr>
                </w:p>
              </w:tc>
            </w:tr>
            <w:tr w14:paraId="6CB8EAE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559" w:type="dxa"/>
                  <w:tcBorders>
                    <w:tl2br w:val="nil"/>
                    <w:tr2bl w:val="nil"/>
                  </w:tcBorders>
                  <w:vAlign w:val="center"/>
                </w:tcPr>
                <w:p w14:paraId="3F275C1A">
                  <w:pPr>
                    <w:wordWrap w:val="0"/>
                    <w:jc w:val="center"/>
                    <w:rPr>
                      <w:color w:val="auto"/>
                      <w:szCs w:val="21"/>
                      <w:highlight w:val="none"/>
                    </w:rPr>
                  </w:pPr>
                  <w:r>
                    <w:rPr>
                      <w:color w:val="auto"/>
                      <w:szCs w:val="21"/>
                      <w:highlight w:val="none"/>
                    </w:rPr>
                    <w:t>《</w:t>
                  </w:r>
                  <w:r>
                    <w:rPr>
                      <w:rFonts w:hint="eastAsia"/>
                      <w:color w:val="auto"/>
                      <w:szCs w:val="21"/>
                      <w:highlight w:val="none"/>
                    </w:rPr>
                    <w:t>洋县“十四五”生态环境保护规划</w:t>
                  </w:r>
                  <w:r>
                    <w:rPr>
                      <w:color w:val="auto"/>
                      <w:szCs w:val="21"/>
                      <w:highlight w:val="none"/>
                    </w:rPr>
                    <w:t>》</w:t>
                  </w:r>
                </w:p>
              </w:tc>
              <w:tc>
                <w:tcPr>
                  <w:tcW w:w="4166" w:type="dxa"/>
                  <w:tcBorders>
                    <w:tl2br w:val="nil"/>
                    <w:tr2bl w:val="nil"/>
                  </w:tcBorders>
                  <w:vAlign w:val="center"/>
                </w:tcPr>
                <w:p w14:paraId="64051780">
                  <w:pPr>
                    <w:wordWrap w:val="0"/>
                    <w:jc w:val="left"/>
                    <w:rPr>
                      <w:color w:val="auto"/>
                      <w:szCs w:val="21"/>
                      <w:highlight w:val="none"/>
                    </w:rPr>
                  </w:pPr>
                  <w:r>
                    <w:rPr>
                      <w:b/>
                      <w:bCs/>
                      <w:color w:val="auto"/>
                      <w:szCs w:val="21"/>
                      <w:highlight w:val="none"/>
                    </w:rPr>
                    <w:t>第五章第</w:t>
                  </w:r>
                  <w:r>
                    <w:rPr>
                      <w:rFonts w:hint="eastAsia"/>
                      <w:b/>
                      <w:bCs/>
                      <w:color w:val="auto"/>
                      <w:szCs w:val="21"/>
                      <w:highlight w:val="none"/>
                    </w:rPr>
                    <w:t>三</w:t>
                  </w:r>
                  <w:r>
                    <w:rPr>
                      <w:b/>
                      <w:bCs/>
                      <w:color w:val="auto"/>
                      <w:szCs w:val="21"/>
                      <w:highlight w:val="none"/>
                    </w:rPr>
                    <w:t>节—加强其他涉气污染物治理</w:t>
                  </w:r>
                </w:p>
                <w:p w14:paraId="32638356">
                  <w:pPr>
                    <w:pStyle w:val="43"/>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加强生物质锅炉燃料品质及排放管控，禁止使用劣质燃料或掺烧垃圾、工业固废，对污染物排放不符合要求的生物质锅炉进行整改或淘汰。</w:t>
                  </w:r>
                </w:p>
              </w:tc>
              <w:tc>
                <w:tcPr>
                  <w:tcW w:w="1447" w:type="dxa"/>
                  <w:vMerge w:val="continue"/>
                  <w:tcBorders>
                    <w:tl2br w:val="nil"/>
                    <w:tr2bl w:val="nil"/>
                  </w:tcBorders>
                  <w:vAlign w:val="center"/>
                </w:tcPr>
                <w:p w14:paraId="2EB23B0E">
                  <w:pPr>
                    <w:rPr>
                      <w:color w:val="auto"/>
                      <w:szCs w:val="21"/>
                      <w:highlight w:val="none"/>
                    </w:rPr>
                  </w:pPr>
                </w:p>
              </w:tc>
              <w:tc>
                <w:tcPr>
                  <w:tcW w:w="936" w:type="dxa"/>
                  <w:vMerge w:val="continue"/>
                  <w:tcBorders>
                    <w:tl2br w:val="nil"/>
                    <w:tr2bl w:val="nil"/>
                  </w:tcBorders>
                  <w:vAlign w:val="center"/>
                </w:tcPr>
                <w:p w14:paraId="06906680">
                  <w:pPr>
                    <w:wordWrap w:val="0"/>
                    <w:jc w:val="center"/>
                    <w:rPr>
                      <w:color w:val="auto"/>
                      <w:szCs w:val="21"/>
                      <w:highlight w:val="none"/>
                    </w:rPr>
                  </w:pPr>
                </w:p>
              </w:tc>
            </w:tr>
          </w:tbl>
          <w:p w14:paraId="0D17A44A">
            <w:pPr>
              <w:spacing w:line="360" w:lineRule="auto"/>
              <w:ind w:firstLine="480" w:firstLineChars="200"/>
              <w:rPr>
                <w:b/>
                <w:bCs/>
                <w:color w:val="auto"/>
                <w:szCs w:val="21"/>
                <w:highlight w:val="none"/>
              </w:rPr>
            </w:pPr>
            <w:r>
              <w:rPr>
                <w:rFonts w:hint="eastAsia"/>
                <w:color w:val="auto"/>
                <w:sz w:val="24"/>
                <w:highlight w:val="none"/>
              </w:rPr>
              <w:t>4、与其他相关政策的符合性分析</w:t>
            </w:r>
          </w:p>
          <w:p w14:paraId="5F0669BF">
            <w:pPr>
              <w:autoSpaceDE w:val="0"/>
              <w:autoSpaceDN w:val="0"/>
              <w:adjustRightInd w:val="0"/>
              <w:snapToGrid w:val="0"/>
              <w:jc w:val="center"/>
              <w:rPr>
                <w:color w:val="auto"/>
                <w:highlight w:val="none"/>
              </w:rPr>
            </w:pPr>
            <w:r>
              <w:rPr>
                <w:b/>
                <w:bCs/>
                <w:color w:val="auto"/>
                <w:szCs w:val="21"/>
                <w:highlight w:val="none"/>
              </w:rPr>
              <w:t>表</w:t>
            </w:r>
            <w:r>
              <w:rPr>
                <w:rFonts w:hint="eastAsia"/>
                <w:b/>
                <w:bCs/>
                <w:color w:val="auto"/>
                <w:szCs w:val="21"/>
                <w:highlight w:val="none"/>
              </w:rPr>
              <w:t>1-4  与其他政策的符合性分析</w:t>
            </w:r>
          </w:p>
          <w:tbl>
            <w:tblPr>
              <w:tblStyle w:val="35"/>
              <w:tblW w:w="8130"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731"/>
              <w:gridCol w:w="3069"/>
              <w:gridCol w:w="2400"/>
              <w:gridCol w:w="930"/>
            </w:tblGrid>
            <w:tr w14:paraId="7ECC99F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23" w:hRule="atLeast"/>
                <w:jc w:val="center"/>
              </w:trPr>
              <w:tc>
                <w:tcPr>
                  <w:tcW w:w="1731" w:type="dxa"/>
                  <w:vAlign w:val="center"/>
                </w:tcPr>
                <w:p w14:paraId="1413AD70">
                  <w:pPr>
                    <w:jc w:val="center"/>
                    <w:rPr>
                      <w:color w:val="auto"/>
                      <w:szCs w:val="21"/>
                      <w:highlight w:val="none"/>
                    </w:rPr>
                  </w:pPr>
                  <w:r>
                    <w:rPr>
                      <w:rFonts w:hint="eastAsia"/>
                      <w:color w:val="auto"/>
                      <w:szCs w:val="21"/>
                      <w:highlight w:val="none"/>
                    </w:rPr>
                    <w:t>政策</w:t>
                  </w:r>
                </w:p>
              </w:tc>
              <w:tc>
                <w:tcPr>
                  <w:tcW w:w="3069" w:type="dxa"/>
                  <w:vAlign w:val="center"/>
                </w:tcPr>
                <w:p w14:paraId="51F16E7D">
                  <w:pPr>
                    <w:jc w:val="center"/>
                    <w:rPr>
                      <w:color w:val="auto"/>
                      <w:szCs w:val="21"/>
                      <w:highlight w:val="none"/>
                    </w:rPr>
                  </w:pPr>
                  <w:r>
                    <w:rPr>
                      <w:rFonts w:hint="eastAsia"/>
                      <w:color w:val="auto"/>
                      <w:szCs w:val="21"/>
                      <w:highlight w:val="none"/>
                    </w:rPr>
                    <w:t>相关要求</w:t>
                  </w:r>
                </w:p>
              </w:tc>
              <w:tc>
                <w:tcPr>
                  <w:tcW w:w="2400" w:type="dxa"/>
                  <w:vAlign w:val="center"/>
                </w:tcPr>
                <w:p w14:paraId="36289238">
                  <w:pPr>
                    <w:jc w:val="center"/>
                    <w:rPr>
                      <w:color w:val="auto"/>
                      <w:szCs w:val="21"/>
                      <w:highlight w:val="none"/>
                    </w:rPr>
                  </w:pPr>
                  <w:r>
                    <w:rPr>
                      <w:rFonts w:hint="eastAsia"/>
                      <w:color w:val="auto"/>
                      <w:szCs w:val="21"/>
                      <w:highlight w:val="none"/>
                    </w:rPr>
                    <w:t>本项目情况</w:t>
                  </w:r>
                </w:p>
              </w:tc>
              <w:tc>
                <w:tcPr>
                  <w:tcW w:w="930" w:type="dxa"/>
                  <w:vAlign w:val="center"/>
                </w:tcPr>
                <w:p w14:paraId="4D7E3BE5">
                  <w:pPr>
                    <w:jc w:val="center"/>
                    <w:rPr>
                      <w:color w:val="auto"/>
                      <w:szCs w:val="21"/>
                      <w:highlight w:val="none"/>
                    </w:rPr>
                  </w:pPr>
                  <w:r>
                    <w:rPr>
                      <w:color w:val="auto"/>
                      <w:szCs w:val="21"/>
                      <w:highlight w:val="none"/>
                    </w:rPr>
                    <w:t>符合性</w:t>
                  </w:r>
                </w:p>
              </w:tc>
            </w:tr>
            <w:tr w14:paraId="3CAB8A1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731" w:type="dxa"/>
                  <w:vAlign w:val="center"/>
                </w:tcPr>
                <w:p w14:paraId="0A3B16B6">
                  <w:pPr>
                    <w:jc w:val="center"/>
                    <w:rPr>
                      <w:color w:val="auto"/>
                      <w:szCs w:val="21"/>
                      <w:highlight w:val="none"/>
                    </w:rPr>
                  </w:pPr>
                  <w:r>
                    <w:rPr>
                      <w:rFonts w:hint="eastAsia"/>
                      <w:color w:val="auto"/>
                      <w:szCs w:val="21"/>
                      <w:highlight w:val="none"/>
                    </w:rPr>
                    <w:t>《汉中市大气污染治理专项行动方案（2023-2027年）》</w:t>
                  </w:r>
                </w:p>
                <w:p w14:paraId="17E2FB58">
                  <w:pPr>
                    <w:jc w:val="center"/>
                    <w:rPr>
                      <w:color w:val="auto"/>
                      <w:szCs w:val="21"/>
                      <w:highlight w:val="none"/>
                    </w:rPr>
                  </w:pPr>
                  <w:r>
                    <w:rPr>
                      <w:rFonts w:hint="eastAsia"/>
                      <w:color w:val="auto"/>
                      <w:szCs w:val="21"/>
                      <w:highlight w:val="none"/>
                    </w:rPr>
                    <w:t>（汉政办函〔2023〕7号）</w:t>
                  </w:r>
                </w:p>
              </w:tc>
              <w:tc>
                <w:tcPr>
                  <w:tcW w:w="3069" w:type="dxa"/>
                  <w:vAlign w:val="center"/>
                </w:tcPr>
                <w:p w14:paraId="79D10D6C">
                  <w:pPr>
                    <w:pStyle w:val="43"/>
                    <w:rPr>
                      <w:color w:val="auto"/>
                      <w:highlight w:val="none"/>
                    </w:rPr>
                  </w:pPr>
                  <w:r>
                    <w:rPr>
                      <w:rFonts w:hint="eastAsia" w:ascii="Times New Roman" w:hAnsi="Times New Roman" w:cs="Times New Roman"/>
                      <w:color w:val="auto"/>
                      <w:kern w:val="0"/>
                      <w:sz w:val="21"/>
                      <w:szCs w:val="21"/>
                      <w:highlight w:val="none"/>
                    </w:rPr>
                    <w:t>严把燃煤锅炉准入关口，建成区禁止新建燃煤锅炉。推动燃气锅炉实施低氮燃烧深度改造，鼓励企业将氮氧化物浓度控制在30毫克/立方米。</w:t>
                  </w:r>
                </w:p>
              </w:tc>
              <w:tc>
                <w:tcPr>
                  <w:tcW w:w="2400" w:type="dxa"/>
                  <w:vMerge w:val="restart"/>
                  <w:vAlign w:val="center"/>
                </w:tcPr>
                <w:p w14:paraId="63FCD9C0">
                  <w:pPr>
                    <w:rPr>
                      <w:color w:val="auto"/>
                      <w:highlight w:val="none"/>
                    </w:rPr>
                  </w:pPr>
                  <w:r>
                    <w:rPr>
                      <w:color w:val="auto"/>
                      <w:highlight w:val="none"/>
                    </w:rPr>
                    <w:t>本项目</w:t>
                  </w:r>
                  <w:r>
                    <w:rPr>
                      <w:rFonts w:hint="eastAsia"/>
                      <w:color w:val="auto"/>
                      <w:highlight w:val="none"/>
                    </w:rPr>
                    <w:t>采用生物质锅炉进行供热，配备有“低氮燃烧+</w:t>
                  </w:r>
                  <w:r>
                    <w:rPr>
                      <w:rFonts w:hint="eastAsia"/>
                      <w:color w:val="auto"/>
                      <w:highlight w:val="none"/>
                      <w:lang w:eastAsia="zh-CN"/>
                    </w:rPr>
                    <w:t>袋式</w:t>
                  </w:r>
                  <w:r>
                    <w:rPr>
                      <w:rFonts w:hint="eastAsia"/>
                      <w:color w:val="auto"/>
                      <w:highlight w:val="none"/>
                    </w:rPr>
                    <w:t>除尘”措施，运营期确保锅炉燃烧废气满足《锅炉大气污染物排放标准》（DB61/1226-2018）中排放限值。</w:t>
                  </w:r>
                </w:p>
              </w:tc>
              <w:tc>
                <w:tcPr>
                  <w:tcW w:w="930" w:type="dxa"/>
                  <w:vAlign w:val="center"/>
                </w:tcPr>
                <w:p w14:paraId="763A7BC7">
                  <w:pPr>
                    <w:jc w:val="center"/>
                    <w:rPr>
                      <w:color w:val="auto"/>
                      <w:szCs w:val="21"/>
                      <w:highlight w:val="none"/>
                    </w:rPr>
                  </w:pPr>
                  <w:r>
                    <w:rPr>
                      <w:color w:val="auto"/>
                      <w:szCs w:val="21"/>
                      <w:highlight w:val="none"/>
                    </w:rPr>
                    <w:t>符合</w:t>
                  </w:r>
                </w:p>
              </w:tc>
            </w:tr>
            <w:tr w14:paraId="51BFD88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731" w:type="dxa"/>
                  <w:vAlign w:val="center"/>
                </w:tcPr>
                <w:p w14:paraId="1BDE4817">
                  <w:pPr>
                    <w:jc w:val="center"/>
                    <w:rPr>
                      <w:color w:val="auto"/>
                      <w:szCs w:val="21"/>
                      <w:highlight w:val="none"/>
                    </w:rPr>
                  </w:pPr>
                  <w:r>
                    <w:rPr>
                      <w:rFonts w:hint="eastAsia"/>
                      <w:color w:val="auto"/>
                      <w:szCs w:val="21"/>
                      <w:highlight w:val="none"/>
                    </w:rPr>
                    <w:t>《洋县大气污染治理专项行动方案（2023-2027年）》（洋发〔2023〕6号）</w:t>
                  </w:r>
                </w:p>
              </w:tc>
              <w:tc>
                <w:tcPr>
                  <w:tcW w:w="3069" w:type="dxa"/>
                  <w:vAlign w:val="center"/>
                </w:tcPr>
                <w:p w14:paraId="39804DC2">
                  <w:pPr>
                    <w:pStyle w:val="43"/>
                    <w:rPr>
                      <w:rFonts w:ascii="宋体" w:hAnsi="宋体" w:cs="宋体"/>
                      <w:color w:val="auto"/>
                      <w:kern w:val="0"/>
                      <w:sz w:val="21"/>
                      <w:szCs w:val="21"/>
                      <w:highlight w:val="none"/>
                    </w:rPr>
                  </w:pPr>
                  <w:r>
                    <w:rPr>
                      <w:rFonts w:ascii="Times New Roman" w:hAnsi="Times New Roman" w:cs="Times New Roman"/>
                      <w:color w:val="auto"/>
                      <w:kern w:val="0"/>
                      <w:sz w:val="21"/>
                      <w:szCs w:val="21"/>
                      <w:highlight w:val="none"/>
                    </w:rPr>
                    <w:t>严把燃煤锅炉准入关口，建成区禁止新建燃煤锅炉。推动燃气锅炉实施低氮燃烧深度改造，鼓励企业将氮氧化物浓度控制在30毫克/立方米。</w:t>
                  </w:r>
                </w:p>
              </w:tc>
              <w:tc>
                <w:tcPr>
                  <w:tcW w:w="2400" w:type="dxa"/>
                  <w:vMerge w:val="continue"/>
                  <w:vAlign w:val="center"/>
                </w:tcPr>
                <w:p w14:paraId="0A33D62F">
                  <w:pPr>
                    <w:pStyle w:val="45"/>
                    <w:ind w:left="0"/>
                    <w:rPr>
                      <w:rFonts w:ascii="Times New Roman"/>
                      <w:b w:val="0"/>
                      <w:bCs w:val="0"/>
                      <w:color w:val="auto"/>
                      <w:sz w:val="21"/>
                      <w:szCs w:val="21"/>
                      <w:highlight w:val="none"/>
                    </w:rPr>
                  </w:pPr>
                </w:p>
              </w:tc>
              <w:tc>
                <w:tcPr>
                  <w:tcW w:w="930" w:type="dxa"/>
                  <w:vAlign w:val="center"/>
                </w:tcPr>
                <w:p w14:paraId="01AC803A">
                  <w:pPr>
                    <w:jc w:val="center"/>
                    <w:rPr>
                      <w:color w:val="auto"/>
                      <w:szCs w:val="21"/>
                      <w:highlight w:val="none"/>
                    </w:rPr>
                  </w:pPr>
                  <w:r>
                    <w:rPr>
                      <w:color w:val="auto"/>
                      <w:szCs w:val="21"/>
                      <w:highlight w:val="none"/>
                    </w:rPr>
                    <w:t>符合</w:t>
                  </w:r>
                </w:p>
              </w:tc>
            </w:tr>
            <w:tr w14:paraId="0F9BB7D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731" w:type="dxa"/>
                  <w:vAlign w:val="center"/>
                </w:tcPr>
                <w:p w14:paraId="47E3B53A">
                  <w:pPr>
                    <w:jc w:val="center"/>
                    <w:rPr>
                      <w:color w:val="auto"/>
                      <w:szCs w:val="21"/>
                      <w:highlight w:val="none"/>
                    </w:rPr>
                  </w:pPr>
                  <w:r>
                    <w:rPr>
                      <w:rFonts w:hint="eastAsia"/>
                      <w:color w:val="auto"/>
                      <w:szCs w:val="21"/>
                      <w:highlight w:val="none"/>
                    </w:rPr>
                    <w:t>《汉中市高污染燃料禁燃区管理规定》（汉政发〔2023〕11号）</w:t>
                  </w:r>
                </w:p>
              </w:tc>
              <w:tc>
                <w:tcPr>
                  <w:tcW w:w="3069" w:type="dxa"/>
                  <w:vAlign w:val="center"/>
                </w:tcPr>
                <w:p w14:paraId="05AC434C">
                  <w:pPr>
                    <w:pStyle w:val="43"/>
                    <w:rPr>
                      <w:rFonts w:ascii="Times New Roman" w:hAnsi="Times New Roman" w:cs="Times New Roman"/>
                      <w:color w:val="auto"/>
                      <w:kern w:val="0"/>
                      <w:sz w:val="21"/>
                      <w:szCs w:val="21"/>
                      <w:highlight w:val="none"/>
                    </w:rPr>
                  </w:pPr>
                  <w:bookmarkStart w:id="1" w:name="OLE_LINK7"/>
                  <w:bookmarkStart w:id="2" w:name="OLE_LINK6"/>
                  <w:r>
                    <w:rPr>
                      <w:rFonts w:ascii="Times New Roman" w:hAnsi="Times New Roman" w:cs="Times New Roman"/>
                      <w:color w:val="auto"/>
                      <w:kern w:val="0"/>
                      <w:sz w:val="21"/>
                      <w:szCs w:val="21"/>
                      <w:highlight w:val="none"/>
                    </w:rPr>
                    <w:t>洋县高污染燃料禁燃区</w:t>
                  </w:r>
                  <w:bookmarkEnd w:id="1"/>
                  <w:bookmarkEnd w:id="2"/>
                  <w:r>
                    <w:rPr>
                      <w:rFonts w:ascii="Times New Roman" w:hAnsi="Times New Roman" w:cs="Times New Roman"/>
                      <w:color w:val="auto"/>
                      <w:kern w:val="0"/>
                      <w:sz w:val="21"/>
                      <w:szCs w:val="21"/>
                      <w:highlight w:val="none"/>
                    </w:rPr>
                    <w:t>（以下简称禁燃区）范围为：西至苧溪河及城西路、东至贯城东路、南至西汉高速及汉江、北至牛头山及山体边界以内的区域</w:t>
                  </w:r>
                  <w:r>
                    <w:rPr>
                      <w:rFonts w:hint="eastAsia" w:ascii="Times New Roman" w:hAnsi="Times New Roman" w:cs="Times New Roman"/>
                      <w:color w:val="auto"/>
                      <w:kern w:val="0"/>
                      <w:sz w:val="21"/>
                      <w:szCs w:val="21"/>
                      <w:highlight w:val="none"/>
                    </w:rPr>
                    <w:t>。</w:t>
                  </w:r>
                </w:p>
              </w:tc>
              <w:tc>
                <w:tcPr>
                  <w:tcW w:w="2400" w:type="dxa"/>
                  <w:vAlign w:val="center"/>
                </w:tcPr>
                <w:p w14:paraId="3C9E6A30">
                  <w:pPr>
                    <w:pStyle w:val="45"/>
                    <w:ind w:left="0"/>
                    <w:rPr>
                      <w:rFonts w:ascii="Times New Roman"/>
                      <w:b w:val="0"/>
                      <w:bCs w:val="0"/>
                      <w:color w:val="auto"/>
                      <w:sz w:val="21"/>
                      <w:szCs w:val="21"/>
                      <w:highlight w:val="none"/>
                    </w:rPr>
                  </w:pPr>
                  <w:r>
                    <w:rPr>
                      <w:rFonts w:hint="eastAsia" w:ascii="Times New Roman"/>
                      <w:b w:val="0"/>
                      <w:bCs w:val="0"/>
                      <w:color w:val="auto"/>
                      <w:sz w:val="21"/>
                      <w:szCs w:val="21"/>
                      <w:highlight w:val="none"/>
                    </w:rPr>
                    <w:t>本项目位于洋县龙亭镇杨湾村，经对比可知，厂区选址不在</w:t>
                  </w:r>
                  <w:r>
                    <w:rPr>
                      <w:rStyle w:val="41"/>
                      <w:rFonts w:hint="eastAsia" w:ascii="Times New Roman"/>
                      <w:b w:val="0"/>
                      <w:bCs w:val="0"/>
                      <w:color w:val="auto"/>
                      <w:kern w:val="0"/>
                      <w:szCs w:val="20"/>
                      <w:highlight w:val="none"/>
                      <w:lang w:eastAsia="zh-CN"/>
                    </w:rPr>
                    <w:t>洋县高污染燃料禁燃区内</w:t>
                  </w:r>
                  <w:r>
                    <w:rPr>
                      <w:rFonts w:hint="eastAsia" w:ascii="Times New Roman"/>
                      <w:b w:val="0"/>
                      <w:bCs w:val="0"/>
                      <w:color w:val="auto"/>
                      <w:sz w:val="21"/>
                      <w:szCs w:val="21"/>
                      <w:highlight w:val="none"/>
                    </w:rPr>
                    <w:t>。</w:t>
                  </w:r>
                </w:p>
              </w:tc>
              <w:tc>
                <w:tcPr>
                  <w:tcW w:w="930" w:type="dxa"/>
                  <w:vAlign w:val="center"/>
                </w:tcPr>
                <w:p w14:paraId="245C9A64">
                  <w:pPr>
                    <w:jc w:val="center"/>
                    <w:rPr>
                      <w:color w:val="auto"/>
                      <w:szCs w:val="21"/>
                      <w:highlight w:val="none"/>
                    </w:rPr>
                  </w:pPr>
                  <w:r>
                    <w:rPr>
                      <w:color w:val="auto"/>
                      <w:szCs w:val="21"/>
                      <w:highlight w:val="none"/>
                    </w:rPr>
                    <w:t>符合</w:t>
                  </w:r>
                </w:p>
              </w:tc>
            </w:tr>
            <w:tr w14:paraId="15A8D6F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731" w:type="dxa"/>
                  <w:vAlign w:val="center"/>
                </w:tcPr>
                <w:p w14:paraId="59B7F99D">
                  <w:pPr>
                    <w:pStyle w:val="29"/>
                    <w:adjustRightInd w:val="0"/>
                    <w:snapToGrid w:val="0"/>
                    <w:spacing w:before="0" w:beforeAutospacing="0" w:after="0" w:afterAutospacing="0"/>
                    <w:jc w:val="center"/>
                    <w:rPr>
                      <w:rFonts w:hint="eastAsia" w:ascii="Times New Roman" w:hAnsi="Times New Roman"/>
                      <w:color w:val="auto"/>
                      <w:kern w:val="2"/>
                      <w:sz w:val="21"/>
                      <w:highlight w:val="none"/>
                      <w:lang w:val="en-US" w:eastAsia="zh-CN" w:bidi="ar"/>
                    </w:rPr>
                  </w:pPr>
                  <w:r>
                    <w:rPr>
                      <w:rFonts w:hint="eastAsia" w:ascii="Times New Roman" w:hAnsi="Times New Roman"/>
                      <w:color w:val="auto"/>
                      <w:kern w:val="2"/>
                      <w:sz w:val="21"/>
                      <w:highlight w:val="none"/>
                      <w:lang w:val="en-US" w:eastAsia="zh-CN" w:bidi="ar"/>
                    </w:rPr>
                    <w:t>《汉中市大气</w:t>
                  </w:r>
                </w:p>
                <w:p w14:paraId="2CB32588">
                  <w:pPr>
                    <w:pStyle w:val="29"/>
                    <w:adjustRightInd w:val="0"/>
                    <w:snapToGrid w:val="0"/>
                    <w:spacing w:before="0" w:beforeAutospacing="0" w:after="0" w:afterAutospacing="0"/>
                    <w:jc w:val="center"/>
                    <w:rPr>
                      <w:rFonts w:hint="eastAsia"/>
                      <w:color w:val="auto"/>
                      <w:szCs w:val="21"/>
                      <w:highlight w:val="none"/>
                    </w:rPr>
                  </w:pPr>
                  <w:r>
                    <w:rPr>
                      <w:rFonts w:hint="eastAsia" w:ascii="Times New Roman" w:hAnsi="Times New Roman"/>
                      <w:color w:val="auto"/>
                      <w:kern w:val="2"/>
                      <w:sz w:val="21"/>
                      <w:highlight w:val="none"/>
                      <w:lang w:val="en-US" w:eastAsia="zh-CN" w:bidi="ar"/>
                    </w:rPr>
                    <w:t>污染防治条例》（2020.6.11）</w:t>
                  </w:r>
                </w:p>
              </w:tc>
              <w:tc>
                <w:tcPr>
                  <w:tcW w:w="3069" w:type="dxa"/>
                  <w:vAlign w:val="center"/>
                </w:tcPr>
                <w:p w14:paraId="2EC26720">
                  <w:pPr>
                    <w:widowControl/>
                    <w:adjustRightInd w:val="0"/>
                    <w:snapToGrid w:val="0"/>
                    <w:rPr>
                      <w:rFonts w:ascii="Times New Roman" w:hAnsi="Times New Roman" w:cs="Times New Roman"/>
                      <w:color w:val="auto"/>
                      <w:kern w:val="0"/>
                      <w:sz w:val="21"/>
                      <w:szCs w:val="21"/>
                      <w:highlight w:val="none"/>
                    </w:rPr>
                  </w:pPr>
                  <w:r>
                    <w:rPr>
                      <w:rFonts w:hint="eastAsia"/>
                      <w:color w:val="auto"/>
                      <w:kern w:val="0"/>
                      <w:szCs w:val="21"/>
                      <w:highlight w:val="none"/>
                      <w:lang w:eastAsia="zh-CN"/>
                    </w:rPr>
                    <w:t>第十七条：</w:t>
                  </w:r>
                  <w:r>
                    <w:rPr>
                      <w:rFonts w:hint="eastAsia"/>
                      <w:color w:val="auto"/>
                      <w:kern w:val="0"/>
                      <w:szCs w:val="21"/>
                      <w:highlight w:val="none"/>
                    </w:rPr>
                    <w:t>禁止生产、销售和燃用不符合质量标准的煤炭，鼓励燃用优质煤炭。市人民政府应当依法划定并公布高污染燃料禁燃区，并根据大气环境质量改善要求，逐步扩大高污染燃料禁燃区范围。在高污染燃料禁燃区内，禁止销售、燃用高污染燃料；禁止新建、扩建燃用高污染燃料的设施，已建成的应当在市人民政府规定的期限内改用清洁能源。</w:t>
                  </w:r>
                </w:p>
              </w:tc>
              <w:tc>
                <w:tcPr>
                  <w:tcW w:w="2400" w:type="dxa"/>
                  <w:vAlign w:val="center"/>
                </w:tcPr>
                <w:p w14:paraId="661F0833">
                  <w:pPr>
                    <w:pStyle w:val="46"/>
                    <w:widowControl/>
                    <w:snapToGrid w:val="0"/>
                    <w:jc w:val="both"/>
                    <w:rPr>
                      <w:rFonts w:hint="eastAsia" w:ascii="Times New Roman"/>
                      <w:b w:val="0"/>
                      <w:bCs w:val="0"/>
                      <w:color w:val="auto"/>
                      <w:sz w:val="21"/>
                      <w:szCs w:val="21"/>
                      <w:highlight w:val="none"/>
                    </w:rPr>
                  </w:pPr>
                  <w:r>
                    <w:rPr>
                      <w:rFonts w:hint="eastAsia" w:ascii="Times New Roman" w:cs="Times New Roman"/>
                      <w:color w:val="auto"/>
                      <w:sz w:val="21"/>
                      <w:szCs w:val="21"/>
                      <w:highlight w:val="none"/>
                      <w:lang w:eastAsia="zh-CN"/>
                    </w:rPr>
                    <w:t>本项目锅炉采用生物质成型颗粒作为燃料，厂区选址不在洋县高污染燃料禁燃区内。</w:t>
                  </w:r>
                </w:p>
              </w:tc>
              <w:tc>
                <w:tcPr>
                  <w:tcW w:w="930" w:type="dxa"/>
                  <w:vAlign w:val="center"/>
                </w:tcPr>
                <w:p w14:paraId="30CCC23E">
                  <w:pPr>
                    <w:pStyle w:val="46"/>
                    <w:widowControl/>
                    <w:snapToGrid w:val="0"/>
                    <w:jc w:val="center"/>
                    <w:rPr>
                      <w:color w:val="auto"/>
                      <w:szCs w:val="21"/>
                      <w:highlight w:val="none"/>
                    </w:rPr>
                  </w:pPr>
                  <w:r>
                    <w:rPr>
                      <w:rFonts w:ascii="Times New Roman" w:cs="Times New Roman"/>
                      <w:color w:val="auto"/>
                      <w:sz w:val="21"/>
                      <w:szCs w:val="21"/>
                      <w:highlight w:val="none"/>
                    </w:rPr>
                    <w:t>符合</w:t>
                  </w:r>
                </w:p>
              </w:tc>
            </w:tr>
          </w:tbl>
          <w:p w14:paraId="63E8477C">
            <w:pPr>
              <w:adjustRightInd w:val="0"/>
              <w:snapToGrid w:val="0"/>
              <w:spacing w:line="360" w:lineRule="auto"/>
              <w:ind w:firstLine="480" w:firstLineChars="200"/>
              <w:rPr>
                <w:color w:val="auto"/>
                <w:sz w:val="24"/>
                <w:highlight w:val="none"/>
              </w:rPr>
            </w:pPr>
            <w:r>
              <w:rPr>
                <w:rFonts w:hint="eastAsia"/>
                <w:color w:val="auto"/>
                <w:sz w:val="24"/>
                <w:highlight w:val="none"/>
              </w:rPr>
              <w:t>5、选址符合性分析</w:t>
            </w:r>
          </w:p>
          <w:p w14:paraId="610B4978">
            <w:pPr>
              <w:spacing w:line="360" w:lineRule="auto"/>
              <w:ind w:firstLine="480" w:firstLineChars="200"/>
              <w:rPr>
                <w:color w:val="auto"/>
                <w:sz w:val="24"/>
                <w:highlight w:val="none"/>
              </w:rPr>
            </w:pPr>
            <w:r>
              <w:rPr>
                <w:rFonts w:hint="eastAsia"/>
                <w:color w:val="auto"/>
                <w:kern w:val="0"/>
                <w:sz w:val="24"/>
                <w:highlight w:val="none"/>
              </w:rPr>
              <w:t>（1）本项目位于洋县龙亭镇杨湾村</w:t>
            </w:r>
            <w:r>
              <w:rPr>
                <w:rFonts w:hint="eastAsia"/>
                <w:color w:val="auto"/>
                <w:sz w:val="24"/>
                <w:highlight w:val="none"/>
              </w:rPr>
              <w:t>，主要进行果蔬干</w:t>
            </w:r>
            <w:r>
              <w:rPr>
                <w:rFonts w:hint="eastAsia"/>
                <w:color w:val="auto"/>
                <w:sz w:val="24"/>
                <w:highlight w:val="none"/>
                <w:lang w:eastAsia="zh-CN"/>
              </w:rPr>
              <w:t>的生产</w:t>
            </w:r>
            <w:r>
              <w:rPr>
                <w:rFonts w:hint="eastAsia"/>
                <w:color w:val="auto"/>
                <w:sz w:val="24"/>
                <w:highlight w:val="none"/>
              </w:rPr>
              <w:t>加工</w:t>
            </w:r>
            <w:r>
              <w:rPr>
                <w:rFonts w:hint="eastAsia"/>
                <w:color w:val="auto"/>
                <w:sz w:val="24"/>
                <w:highlight w:val="none"/>
                <w:lang w:eastAsia="zh-CN"/>
              </w:rPr>
              <w:t>、烘干晾晒、分拣包装、产品检验和保鲜存储等</w:t>
            </w:r>
            <w:r>
              <w:rPr>
                <w:rFonts w:hint="eastAsia"/>
                <w:color w:val="auto"/>
                <w:sz w:val="24"/>
                <w:highlight w:val="none"/>
              </w:rPr>
              <w:t>，符合《陕西大秦鹮农业科技有限公司设施农用地备案通知书（洋龙备字[2024]16号）》中物流仓储用地用途。此外，根据现场调查，项目周边水电齐全、交通便利。</w:t>
            </w:r>
          </w:p>
          <w:p w14:paraId="090E703E">
            <w:pPr>
              <w:spacing w:line="360" w:lineRule="auto"/>
              <w:ind w:firstLine="480" w:firstLineChars="200"/>
              <w:rPr>
                <w:color w:val="auto"/>
                <w:sz w:val="24"/>
                <w:highlight w:val="none"/>
              </w:rPr>
            </w:pPr>
            <w:r>
              <w:rPr>
                <w:rFonts w:hint="eastAsia"/>
                <w:color w:val="auto"/>
                <w:sz w:val="24"/>
                <w:highlight w:val="none"/>
              </w:rPr>
              <w:t>（2）与《食品生产通用卫生规范》（GB14881-2013）中选址符合性分析</w:t>
            </w:r>
          </w:p>
          <w:p w14:paraId="09F4A05E">
            <w:pPr>
              <w:autoSpaceDE w:val="0"/>
              <w:autoSpaceDN w:val="0"/>
              <w:adjustRightInd w:val="0"/>
              <w:snapToGrid w:val="0"/>
              <w:jc w:val="center"/>
              <w:rPr>
                <w:b/>
                <w:color w:val="auto"/>
                <w:highlight w:val="none"/>
              </w:rPr>
            </w:pPr>
            <w:r>
              <w:rPr>
                <w:rFonts w:hint="eastAsia" w:cs="宋体"/>
                <w:b/>
                <w:color w:val="auto"/>
                <w:highlight w:val="none"/>
                <w:lang w:bidi="ar"/>
              </w:rPr>
              <w:t>表</w:t>
            </w:r>
            <w:r>
              <w:rPr>
                <w:b/>
                <w:color w:val="auto"/>
                <w:highlight w:val="none"/>
                <w:lang w:bidi="ar"/>
              </w:rPr>
              <w:t>1-</w:t>
            </w:r>
            <w:r>
              <w:rPr>
                <w:rFonts w:hint="eastAsia"/>
                <w:b/>
                <w:color w:val="auto"/>
                <w:highlight w:val="none"/>
                <w:lang w:bidi="ar"/>
              </w:rPr>
              <w:t>5</w:t>
            </w:r>
            <w:r>
              <w:rPr>
                <w:b/>
                <w:color w:val="auto"/>
                <w:highlight w:val="none"/>
                <w:lang w:bidi="ar"/>
              </w:rPr>
              <w:t xml:space="preserve">  </w:t>
            </w:r>
            <w:r>
              <w:rPr>
                <w:rFonts w:hint="eastAsia"/>
                <w:b/>
                <w:color w:val="auto"/>
                <w:highlight w:val="none"/>
                <w:lang w:bidi="ar"/>
              </w:rPr>
              <w:t>项目与《食品生产通用卫生规范》（GB14881-2013）中选址符合性分析表</w:t>
            </w:r>
          </w:p>
          <w:tbl>
            <w:tblPr>
              <w:tblStyle w:val="35"/>
              <w:tblW w:w="8093"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16"/>
              <w:gridCol w:w="4265"/>
              <w:gridCol w:w="2493"/>
              <w:gridCol w:w="719"/>
            </w:tblGrid>
            <w:tr w14:paraId="0FF57A0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80" w:type="pct"/>
                  <w:vMerge w:val="restart"/>
                  <w:tcBorders>
                    <w:tl2br w:val="nil"/>
                    <w:tr2bl w:val="nil"/>
                  </w:tcBorders>
                  <w:vAlign w:val="center"/>
                </w:tcPr>
                <w:p w14:paraId="08B8DF36">
                  <w:pPr>
                    <w:autoSpaceDE w:val="0"/>
                    <w:autoSpaceDN w:val="0"/>
                    <w:adjustRightInd w:val="0"/>
                    <w:snapToGrid w:val="0"/>
                    <w:jc w:val="center"/>
                    <w:rPr>
                      <w:color w:val="auto"/>
                      <w:highlight w:val="none"/>
                    </w:rPr>
                  </w:pPr>
                  <w:r>
                    <w:rPr>
                      <w:rFonts w:hint="eastAsia"/>
                      <w:color w:val="auto"/>
                      <w:highlight w:val="none"/>
                    </w:rPr>
                    <w:t>选址</w:t>
                  </w:r>
                </w:p>
              </w:tc>
              <w:tc>
                <w:tcPr>
                  <w:tcW w:w="2634" w:type="pct"/>
                  <w:tcBorders>
                    <w:tl2br w:val="nil"/>
                    <w:tr2bl w:val="nil"/>
                  </w:tcBorders>
                  <w:vAlign w:val="center"/>
                </w:tcPr>
                <w:p w14:paraId="3757E2C6">
                  <w:pPr>
                    <w:autoSpaceDE w:val="0"/>
                    <w:autoSpaceDN w:val="0"/>
                    <w:adjustRightInd w:val="0"/>
                    <w:snapToGrid w:val="0"/>
                    <w:jc w:val="center"/>
                    <w:rPr>
                      <w:color w:val="auto"/>
                      <w:highlight w:val="none"/>
                    </w:rPr>
                  </w:pPr>
                  <w:r>
                    <w:rPr>
                      <w:rFonts w:hint="eastAsia"/>
                      <w:color w:val="auto"/>
                      <w:highlight w:val="none"/>
                      <w:lang w:bidi="ar"/>
                    </w:rPr>
                    <w:t>相关要求</w:t>
                  </w:r>
                </w:p>
              </w:tc>
              <w:tc>
                <w:tcPr>
                  <w:tcW w:w="1540" w:type="pct"/>
                  <w:tcBorders>
                    <w:tl2br w:val="nil"/>
                    <w:tr2bl w:val="nil"/>
                  </w:tcBorders>
                  <w:vAlign w:val="center"/>
                </w:tcPr>
                <w:p w14:paraId="41A39CB2">
                  <w:pPr>
                    <w:autoSpaceDE w:val="0"/>
                    <w:autoSpaceDN w:val="0"/>
                    <w:adjustRightInd w:val="0"/>
                    <w:snapToGrid w:val="0"/>
                    <w:jc w:val="center"/>
                    <w:rPr>
                      <w:color w:val="auto"/>
                      <w:highlight w:val="none"/>
                    </w:rPr>
                  </w:pPr>
                  <w:r>
                    <w:rPr>
                      <w:rFonts w:hint="eastAsia" w:cs="宋体"/>
                      <w:color w:val="auto"/>
                      <w:highlight w:val="none"/>
                      <w:lang w:bidi="ar"/>
                    </w:rPr>
                    <w:t>本项目实际情况</w:t>
                  </w:r>
                </w:p>
              </w:tc>
              <w:tc>
                <w:tcPr>
                  <w:tcW w:w="444" w:type="pct"/>
                  <w:tcBorders>
                    <w:tl2br w:val="nil"/>
                    <w:tr2bl w:val="nil"/>
                  </w:tcBorders>
                  <w:vAlign w:val="center"/>
                </w:tcPr>
                <w:p w14:paraId="3CBF3F8B">
                  <w:pPr>
                    <w:autoSpaceDE w:val="0"/>
                    <w:autoSpaceDN w:val="0"/>
                    <w:adjustRightInd w:val="0"/>
                    <w:snapToGrid w:val="0"/>
                    <w:jc w:val="center"/>
                    <w:rPr>
                      <w:color w:val="auto"/>
                      <w:highlight w:val="none"/>
                    </w:rPr>
                  </w:pPr>
                  <w:r>
                    <w:rPr>
                      <w:rFonts w:hint="eastAsia" w:cs="宋体"/>
                      <w:color w:val="auto"/>
                      <w:highlight w:val="none"/>
                      <w:lang w:bidi="ar"/>
                    </w:rPr>
                    <w:t>结论</w:t>
                  </w:r>
                </w:p>
              </w:tc>
            </w:tr>
            <w:tr w14:paraId="0226906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80" w:type="pct"/>
                  <w:vMerge w:val="continue"/>
                  <w:tcBorders>
                    <w:tl2br w:val="nil"/>
                    <w:tr2bl w:val="nil"/>
                  </w:tcBorders>
                  <w:vAlign w:val="center"/>
                </w:tcPr>
                <w:p w14:paraId="57576A22">
                  <w:pPr>
                    <w:rPr>
                      <w:color w:val="auto"/>
                      <w:sz w:val="20"/>
                      <w:szCs w:val="20"/>
                      <w:highlight w:val="none"/>
                    </w:rPr>
                  </w:pPr>
                </w:p>
              </w:tc>
              <w:tc>
                <w:tcPr>
                  <w:tcW w:w="2634" w:type="pct"/>
                  <w:tcBorders>
                    <w:tl2br w:val="nil"/>
                    <w:tr2bl w:val="nil"/>
                  </w:tcBorders>
                  <w:vAlign w:val="center"/>
                </w:tcPr>
                <w:p w14:paraId="4F8F8367">
                  <w:pPr>
                    <w:autoSpaceDE w:val="0"/>
                    <w:autoSpaceDN w:val="0"/>
                    <w:adjustRightInd w:val="0"/>
                    <w:snapToGrid w:val="0"/>
                    <w:ind w:firstLine="420" w:firstLineChars="200"/>
                    <w:rPr>
                      <w:color w:val="auto"/>
                      <w:highlight w:val="none"/>
                    </w:rPr>
                  </w:pPr>
                  <w:r>
                    <w:rPr>
                      <w:rFonts w:hint="eastAsia"/>
                      <w:color w:val="auto"/>
                      <w:highlight w:val="none"/>
                    </w:rPr>
                    <w:t>①</w:t>
                  </w:r>
                  <w:r>
                    <w:rPr>
                      <w:color w:val="auto"/>
                      <w:highlight w:val="none"/>
                    </w:rPr>
                    <w:t>厂区不应选择对食品有显著污染的区域。如某地对食品安全和食品宜食用性存在明显的不利影响，且无法通过采取措施加以改善，应避免在该地址建厂。</w:t>
                  </w:r>
                </w:p>
                <w:p w14:paraId="4FB0D338">
                  <w:pPr>
                    <w:autoSpaceDE w:val="0"/>
                    <w:autoSpaceDN w:val="0"/>
                    <w:adjustRightInd w:val="0"/>
                    <w:snapToGrid w:val="0"/>
                    <w:ind w:firstLine="420" w:firstLineChars="200"/>
                    <w:rPr>
                      <w:color w:val="auto"/>
                      <w:highlight w:val="none"/>
                    </w:rPr>
                  </w:pPr>
                  <w:r>
                    <w:rPr>
                      <w:rFonts w:hint="eastAsia"/>
                      <w:color w:val="auto"/>
                      <w:highlight w:val="none"/>
                    </w:rPr>
                    <w:t>②</w:t>
                  </w:r>
                  <w:r>
                    <w:rPr>
                      <w:color w:val="auto"/>
                      <w:highlight w:val="none"/>
                    </w:rPr>
                    <w:t>厂区不应选择有害废弃物以及粉尘、有害气体、放射性物质和其他扩散性污染源不能有效清除的地址。</w:t>
                  </w:r>
                </w:p>
                <w:p w14:paraId="4DA3EC27">
                  <w:pPr>
                    <w:autoSpaceDE w:val="0"/>
                    <w:autoSpaceDN w:val="0"/>
                    <w:adjustRightInd w:val="0"/>
                    <w:snapToGrid w:val="0"/>
                    <w:ind w:firstLine="420" w:firstLineChars="200"/>
                    <w:rPr>
                      <w:color w:val="auto"/>
                      <w:highlight w:val="none"/>
                    </w:rPr>
                  </w:pPr>
                  <w:r>
                    <w:rPr>
                      <w:rFonts w:hint="eastAsia"/>
                      <w:color w:val="auto"/>
                      <w:highlight w:val="none"/>
                    </w:rPr>
                    <w:t>③</w:t>
                  </w:r>
                  <w:r>
                    <w:rPr>
                      <w:color w:val="auto"/>
                      <w:highlight w:val="none"/>
                    </w:rPr>
                    <w:t>厂区不宜择易发生洪涝灾害的地区，难以避开时应设计必要的防范措施。</w:t>
                  </w:r>
                </w:p>
                <w:p w14:paraId="24A761B9">
                  <w:pPr>
                    <w:autoSpaceDE w:val="0"/>
                    <w:autoSpaceDN w:val="0"/>
                    <w:adjustRightInd w:val="0"/>
                    <w:snapToGrid w:val="0"/>
                    <w:ind w:firstLine="420" w:firstLineChars="200"/>
                    <w:rPr>
                      <w:color w:val="auto"/>
                      <w:highlight w:val="none"/>
                    </w:rPr>
                  </w:pPr>
                  <w:r>
                    <w:rPr>
                      <w:rFonts w:hint="eastAsia"/>
                      <w:color w:val="auto"/>
                      <w:highlight w:val="none"/>
                    </w:rPr>
                    <w:t>④</w:t>
                  </w:r>
                  <w:r>
                    <w:rPr>
                      <w:color w:val="auto"/>
                      <w:highlight w:val="none"/>
                    </w:rPr>
                    <w:t>厂区周围不宜有虫害大量孳生的潜在场所，难以避开时应设计必要的防范措施。</w:t>
                  </w:r>
                </w:p>
              </w:tc>
              <w:tc>
                <w:tcPr>
                  <w:tcW w:w="1540" w:type="pct"/>
                  <w:tcBorders>
                    <w:tl2br w:val="nil"/>
                    <w:tr2bl w:val="nil"/>
                  </w:tcBorders>
                  <w:vAlign w:val="center"/>
                </w:tcPr>
                <w:p w14:paraId="445CA99C">
                  <w:pPr>
                    <w:autoSpaceDE w:val="0"/>
                    <w:autoSpaceDN w:val="0"/>
                    <w:adjustRightInd w:val="0"/>
                    <w:snapToGrid w:val="0"/>
                    <w:rPr>
                      <w:color w:val="auto"/>
                      <w:highlight w:val="none"/>
                    </w:rPr>
                  </w:pPr>
                  <w:r>
                    <w:rPr>
                      <w:rFonts w:hint="eastAsia"/>
                      <w:color w:val="auto"/>
                      <w:highlight w:val="none"/>
                    </w:rPr>
                    <w:t>本项目位于洋县龙亭镇杨湾村。经现场调查可知，厂区附近为农田和猕猴桃果园，无工业企业分布，不存在明显污染区域以及有害气体、放射性物质排放等；此外，项目区地势平坦，不易发生洪涝灾害，且现场调查后未发现厂房周围存在虫害大量孳生现象。</w:t>
                  </w:r>
                </w:p>
              </w:tc>
              <w:tc>
                <w:tcPr>
                  <w:tcW w:w="444" w:type="pct"/>
                  <w:tcBorders>
                    <w:tl2br w:val="nil"/>
                    <w:tr2bl w:val="nil"/>
                  </w:tcBorders>
                  <w:vAlign w:val="center"/>
                </w:tcPr>
                <w:p w14:paraId="31E39060">
                  <w:pPr>
                    <w:autoSpaceDE w:val="0"/>
                    <w:autoSpaceDN w:val="0"/>
                    <w:adjustRightInd w:val="0"/>
                    <w:snapToGrid w:val="0"/>
                    <w:jc w:val="center"/>
                    <w:rPr>
                      <w:color w:val="auto"/>
                      <w:highlight w:val="none"/>
                    </w:rPr>
                  </w:pPr>
                  <w:r>
                    <w:rPr>
                      <w:rFonts w:hint="eastAsia" w:cs="宋体"/>
                      <w:color w:val="auto"/>
                      <w:highlight w:val="none"/>
                      <w:lang w:bidi="ar"/>
                    </w:rPr>
                    <w:t>符合</w:t>
                  </w:r>
                </w:p>
              </w:tc>
            </w:tr>
          </w:tbl>
          <w:p w14:paraId="1C7DF3D1">
            <w:pPr>
              <w:snapToGrid w:val="0"/>
              <w:spacing w:line="360" w:lineRule="auto"/>
              <w:ind w:firstLine="480" w:firstLineChars="200"/>
              <w:rPr>
                <w:color w:val="auto"/>
                <w:sz w:val="24"/>
                <w:highlight w:val="none"/>
              </w:rPr>
            </w:pPr>
            <w:r>
              <w:rPr>
                <w:rFonts w:hint="eastAsia"/>
                <w:color w:val="auto"/>
                <w:sz w:val="24"/>
                <w:highlight w:val="none"/>
              </w:rPr>
              <w:t>（3）与《公路安全保护条例》相关要求分析</w:t>
            </w:r>
          </w:p>
          <w:p w14:paraId="26FF6834">
            <w:pPr>
              <w:snapToGrid w:val="0"/>
              <w:spacing w:line="360" w:lineRule="auto"/>
              <w:ind w:firstLine="480" w:firstLineChars="200"/>
              <w:rPr>
                <w:color w:val="auto"/>
                <w:sz w:val="24"/>
                <w:highlight w:val="none"/>
              </w:rPr>
            </w:pPr>
            <w:r>
              <w:rPr>
                <w:rFonts w:hint="eastAsia"/>
                <w:color w:val="auto"/>
                <w:sz w:val="24"/>
                <w:highlight w:val="none"/>
              </w:rPr>
              <w:t>第十一条：县级以上地方人民政府应当根据保障公路运行安全和节约用地的原则以及公路发展的需要，组织交通运输、国土资源等部门划定公路建筑控制区的范围。公路建筑控制区的范围，从公路用地外缘起向外的距离标准为：（一）国道不少于20m；（二）省道不少于15m；（三）县道不少于10m；（四）乡道不少于5m。属于高速公路的，公路建筑控制区的范围从公路用地外缘起向外的距离标准不少于30m。公路弯道内侧、互通立交以及平面交叉道口的建筑控制区范围根据安全视距等要求确定。</w:t>
            </w:r>
          </w:p>
          <w:p w14:paraId="2F4D641D">
            <w:pPr>
              <w:pStyle w:val="47"/>
              <w:rPr>
                <w:color w:val="auto"/>
                <w:highlight w:val="none"/>
              </w:rPr>
            </w:pPr>
            <w:r>
              <w:rPr>
                <w:rFonts w:hint="eastAsia"/>
                <w:color w:val="auto"/>
                <w:highlight w:val="none"/>
              </w:rPr>
              <w:t>经现场踏勘，本项目南侧为高速公路（京昆高速），直线距离约</w:t>
            </w:r>
            <w:r>
              <w:rPr>
                <w:rFonts w:hint="eastAsia" w:ascii="Times New Roman" w:hAnsi="Times New Roman"/>
                <w:color w:val="auto"/>
                <w:highlight w:val="none"/>
              </w:rPr>
              <w:t>80m，大于高速公路建筑控制区安全范围（30m），因此本项目满足《</w:t>
            </w:r>
            <w:r>
              <w:rPr>
                <w:rFonts w:hint="eastAsia"/>
                <w:color w:val="auto"/>
                <w:highlight w:val="none"/>
              </w:rPr>
              <w:t>公路安全保护条例</w:t>
            </w:r>
            <w:r>
              <w:rPr>
                <w:rFonts w:hint="eastAsia" w:ascii="Times New Roman" w:hAnsi="Times New Roman"/>
                <w:color w:val="auto"/>
                <w:highlight w:val="none"/>
              </w:rPr>
              <w:t>》相关要求。</w:t>
            </w:r>
          </w:p>
          <w:p w14:paraId="4706827A">
            <w:pPr>
              <w:snapToGrid w:val="0"/>
              <w:spacing w:line="360" w:lineRule="auto"/>
              <w:ind w:firstLine="480" w:firstLineChars="200"/>
              <w:rPr>
                <w:color w:val="auto"/>
                <w:sz w:val="24"/>
                <w:highlight w:val="none"/>
              </w:rPr>
            </w:pPr>
            <w:r>
              <w:rPr>
                <w:rFonts w:hint="eastAsia"/>
                <w:color w:val="auto"/>
                <w:sz w:val="24"/>
                <w:highlight w:val="none"/>
              </w:rPr>
              <w:t>（4）本项目距汉江湿地直线距离约560m，根据《中华人民共和国湿地保护法》（2021.12.24）中湿地定义可知，</w:t>
            </w:r>
            <w:r>
              <w:rPr>
                <w:rFonts w:hint="eastAsia"/>
                <w:color w:val="auto"/>
                <w:sz w:val="24"/>
                <w:highlight w:val="none"/>
                <w:lang w:eastAsia="zh-CN"/>
              </w:rPr>
              <w:t>项目选址区</w:t>
            </w:r>
            <w:r>
              <w:rPr>
                <w:color w:val="auto"/>
                <w:sz w:val="24"/>
                <w:highlight w:val="none"/>
              </w:rPr>
              <w:t>不属于人工湿地，因此项目不在</w:t>
            </w:r>
            <w:r>
              <w:rPr>
                <w:rFonts w:hint="eastAsia"/>
                <w:color w:val="auto"/>
                <w:sz w:val="24"/>
                <w:highlight w:val="none"/>
              </w:rPr>
              <w:t>陕西汉江</w:t>
            </w:r>
            <w:r>
              <w:rPr>
                <w:color w:val="auto"/>
                <w:sz w:val="24"/>
                <w:highlight w:val="none"/>
              </w:rPr>
              <w:t>湿地保护范围内。</w:t>
            </w:r>
            <w:r>
              <w:rPr>
                <w:rFonts w:hint="eastAsia"/>
                <w:color w:val="auto"/>
                <w:sz w:val="24"/>
                <w:highlight w:val="none"/>
              </w:rPr>
              <w:t>本项目所在区域不涉及陕西汉江湿地省级自然保护区各功能区（位置关系详见附图2</w:t>
            </w:r>
            <w:r>
              <w:rPr>
                <w:rFonts w:hint="eastAsia"/>
                <w:color w:val="auto"/>
                <w:sz w:val="24"/>
                <w:highlight w:val="none"/>
                <w:lang w:eastAsia="zh-CN"/>
              </w:rPr>
              <w:t>，直线距离约</w:t>
            </w:r>
            <w:r>
              <w:rPr>
                <w:rFonts w:hint="eastAsia"/>
                <w:color w:val="auto"/>
                <w:sz w:val="24"/>
                <w:highlight w:val="none"/>
                <w:lang w:val="en-US" w:eastAsia="zh-CN"/>
              </w:rPr>
              <w:t>5.0km</w:t>
            </w:r>
            <w:r>
              <w:rPr>
                <w:rFonts w:hint="eastAsia"/>
                <w:color w:val="auto"/>
                <w:sz w:val="24"/>
                <w:highlight w:val="none"/>
              </w:rPr>
              <w:t>），厂区距陕西汉中朱鹮国家级自然保护区实验区直线距离约490m（位置关系详见附图3），厂区距陕西省引汉济渭工程黄金峡饮用水水源保护区二级保护区约480m（位置关系详见附图4）。</w:t>
            </w:r>
          </w:p>
          <w:p w14:paraId="5FC86945">
            <w:pPr>
              <w:spacing w:line="360" w:lineRule="auto"/>
              <w:ind w:firstLine="480" w:firstLineChars="200"/>
              <w:rPr>
                <w:color w:val="auto"/>
                <w:sz w:val="24"/>
                <w:highlight w:val="none"/>
              </w:rPr>
            </w:pPr>
            <w:r>
              <w:rPr>
                <w:rFonts w:hint="eastAsia" w:ascii="宋体" w:hAnsi="宋体" w:cs="宋体"/>
                <w:color w:val="auto"/>
                <w:sz w:val="24"/>
                <w:highlight w:val="none"/>
              </w:rPr>
              <w:t>经现场调查，本项目厂址区域不涉及风景名胜区、基本农田保护区等敏感区，也不涉及国家相关法律、法规划定的禁止建设区域</w:t>
            </w:r>
            <w:r>
              <w:rPr>
                <w:rFonts w:hint="eastAsia"/>
                <w:color w:val="auto"/>
                <w:sz w:val="24"/>
                <w:highlight w:val="none"/>
              </w:rPr>
              <w:t>。</w:t>
            </w:r>
          </w:p>
          <w:p w14:paraId="267B6BF0">
            <w:pPr>
              <w:snapToGrid w:val="0"/>
              <w:spacing w:line="360" w:lineRule="auto"/>
              <w:ind w:firstLine="480" w:firstLineChars="200"/>
              <w:rPr>
                <w:color w:val="auto"/>
                <w:sz w:val="24"/>
                <w:highlight w:val="none"/>
              </w:rPr>
            </w:pPr>
            <w:r>
              <w:rPr>
                <w:rFonts w:hint="eastAsia"/>
                <w:color w:val="auto"/>
                <w:sz w:val="24"/>
                <w:highlight w:val="none"/>
              </w:rPr>
              <w:t>综上，</w:t>
            </w:r>
            <w:r>
              <w:rPr>
                <w:color w:val="auto"/>
                <w:sz w:val="24"/>
                <w:highlight w:val="none"/>
              </w:rPr>
              <w:t>从环保角度分析，本项目选址可行</w:t>
            </w:r>
            <w:r>
              <w:rPr>
                <w:rFonts w:hint="eastAsia"/>
                <w:color w:val="auto"/>
                <w:sz w:val="24"/>
                <w:highlight w:val="none"/>
              </w:rPr>
              <w:t>。</w:t>
            </w:r>
          </w:p>
          <w:p w14:paraId="67E890EE">
            <w:pPr>
              <w:snapToGrid w:val="0"/>
              <w:spacing w:line="360" w:lineRule="auto"/>
              <w:ind w:firstLine="480" w:firstLineChars="200"/>
              <w:rPr>
                <w:color w:val="auto"/>
                <w:sz w:val="24"/>
                <w:highlight w:val="none"/>
              </w:rPr>
            </w:pPr>
          </w:p>
          <w:p w14:paraId="600CE3E2">
            <w:pPr>
              <w:snapToGrid w:val="0"/>
              <w:spacing w:line="360" w:lineRule="auto"/>
              <w:ind w:firstLine="480" w:firstLineChars="200"/>
              <w:rPr>
                <w:color w:val="auto"/>
                <w:sz w:val="24"/>
                <w:highlight w:val="none"/>
              </w:rPr>
            </w:pPr>
          </w:p>
          <w:p w14:paraId="698F44BE">
            <w:pPr>
              <w:snapToGrid w:val="0"/>
              <w:spacing w:line="360" w:lineRule="auto"/>
              <w:ind w:firstLine="480" w:firstLineChars="200"/>
              <w:rPr>
                <w:color w:val="auto"/>
                <w:sz w:val="24"/>
                <w:highlight w:val="none"/>
              </w:rPr>
            </w:pPr>
          </w:p>
          <w:p w14:paraId="384D1F97">
            <w:pPr>
              <w:pStyle w:val="43"/>
              <w:rPr>
                <w:color w:val="auto"/>
                <w:highlight w:val="none"/>
              </w:rPr>
            </w:pPr>
          </w:p>
          <w:p w14:paraId="01C1B349">
            <w:pPr>
              <w:pStyle w:val="43"/>
              <w:rPr>
                <w:color w:val="auto"/>
                <w:highlight w:val="none"/>
              </w:rPr>
            </w:pPr>
          </w:p>
          <w:p w14:paraId="7F07994F">
            <w:pPr>
              <w:pStyle w:val="43"/>
              <w:rPr>
                <w:color w:val="auto"/>
                <w:highlight w:val="none"/>
              </w:rPr>
            </w:pPr>
          </w:p>
          <w:p w14:paraId="619168D5">
            <w:pPr>
              <w:pStyle w:val="43"/>
              <w:rPr>
                <w:color w:val="auto"/>
                <w:highlight w:val="none"/>
              </w:rPr>
            </w:pPr>
          </w:p>
          <w:p w14:paraId="226F8AF9">
            <w:pPr>
              <w:pStyle w:val="43"/>
              <w:rPr>
                <w:color w:val="auto"/>
                <w:highlight w:val="none"/>
              </w:rPr>
            </w:pPr>
          </w:p>
          <w:p w14:paraId="2C3332E6">
            <w:pPr>
              <w:pStyle w:val="43"/>
              <w:rPr>
                <w:color w:val="auto"/>
                <w:highlight w:val="none"/>
              </w:rPr>
            </w:pPr>
          </w:p>
          <w:p w14:paraId="43345D1F">
            <w:pPr>
              <w:pStyle w:val="43"/>
              <w:rPr>
                <w:color w:val="auto"/>
                <w:highlight w:val="none"/>
              </w:rPr>
            </w:pPr>
          </w:p>
          <w:p w14:paraId="4AE5579C">
            <w:pPr>
              <w:pStyle w:val="43"/>
              <w:rPr>
                <w:color w:val="auto"/>
                <w:highlight w:val="none"/>
              </w:rPr>
            </w:pPr>
          </w:p>
          <w:p w14:paraId="0E2FDD7E">
            <w:pPr>
              <w:pStyle w:val="43"/>
              <w:rPr>
                <w:color w:val="auto"/>
                <w:highlight w:val="none"/>
              </w:rPr>
            </w:pPr>
          </w:p>
          <w:p w14:paraId="16C49DA2">
            <w:pPr>
              <w:pStyle w:val="45"/>
              <w:rPr>
                <w:color w:val="auto"/>
                <w:highlight w:val="none"/>
              </w:rPr>
            </w:pPr>
          </w:p>
        </w:tc>
      </w:tr>
    </w:tbl>
    <w:p w14:paraId="5EB039D2">
      <w:pPr>
        <w:spacing w:line="360" w:lineRule="auto"/>
        <w:outlineLvl w:val="0"/>
        <w:rPr>
          <w:rFonts w:eastAsia="黑体"/>
          <w:color w:val="auto"/>
          <w:sz w:val="30"/>
          <w:highlight w:val="none"/>
        </w:rPr>
        <w:sectPr>
          <w:footerReference r:id="rId5" w:type="default"/>
          <w:pgSz w:w="11906" w:h="16838"/>
          <w:pgMar w:top="1304" w:right="1531" w:bottom="1304" w:left="1531" w:header="851" w:footer="1077" w:gutter="0"/>
          <w:pgNumType w:start="1"/>
          <w:cols w:space="720" w:num="1"/>
          <w:docGrid w:linePitch="312" w:charSpace="0"/>
        </w:sectPr>
      </w:pPr>
    </w:p>
    <w:p w14:paraId="09AD7CDC">
      <w:pPr>
        <w:pStyle w:val="29"/>
        <w:spacing w:before="0" w:beforeAutospacing="0" w:after="0" w:afterAutospacing="0"/>
        <w:jc w:val="center"/>
        <w:outlineLvl w:val="0"/>
        <w:rPr>
          <w:rFonts w:ascii="黑体" w:hAnsi="黑体" w:eastAsia="黑体"/>
          <w:snapToGrid w:val="0"/>
          <w:color w:val="auto"/>
          <w:sz w:val="30"/>
          <w:szCs w:val="30"/>
          <w:highlight w:val="none"/>
        </w:rPr>
      </w:pPr>
      <w:r>
        <w:rPr>
          <w:rFonts w:hint="eastAsia" w:ascii="黑体" w:hAnsi="黑体" w:eastAsia="黑体"/>
          <w:snapToGrid w:val="0"/>
          <w:color w:val="auto"/>
          <w:sz w:val="30"/>
          <w:szCs w:val="30"/>
          <w:highlight w:val="none"/>
        </w:rPr>
        <w:t>二、建设项目工程分析</w:t>
      </w:r>
    </w:p>
    <w:tbl>
      <w:tblPr>
        <w:tblStyle w:val="35"/>
        <w:tblW w:w="906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56"/>
        <w:gridCol w:w="8604"/>
      </w:tblGrid>
      <w:tr w14:paraId="4B07173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395" w:hRule="atLeast"/>
          <w:jc w:val="center"/>
        </w:trPr>
        <w:tc>
          <w:tcPr>
            <w:tcW w:w="456" w:type="dxa"/>
            <w:vAlign w:val="center"/>
          </w:tcPr>
          <w:p w14:paraId="5F9BB0CE">
            <w:pPr>
              <w:pStyle w:val="29"/>
              <w:adjustRightInd w:val="0"/>
              <w:snapToGrid w:val="0"/>
              <w:spacing w:before="0" w:beforeAutospacing="0" w:after="0" w:afterAutospacing="0"/>
              <w:jc w:val="center"/>
              <w:rPr>
                <w:rFonts w:cs="宋体"/>
                <w:color w:val="auto"/>
                <w:szCs w:val="24"/>
                <w:highlight w:val="none"/>
              </w:rPr>
            </w:pPr>
          </w:p>
          <w:p w14:paraId="72DAAC9B">
            <w:pPr>
              <w:pStyle w:val="29"/>
              <w:adjustRightInd w:val="0"/>
              <w:snapToGrid w:val="0"/>
              <w:spacing w:before="0" w:beforeAutospacing="0" w:after="0" w:afterAutospacing="0"/>
              <w:jc w:val="center"/>
              <w:rPr>
                <w:rFonts w:cs="宋体"/>
                <w:color w:val="auto"/>
                <w:szCs w:val="24"/>
                <w:highlight w:val="none"/>
              </w:rPr>
            </w:pPr>
          </w:p>
          <w:p w14:paraId="4A1CAFB1">
            <w:pPr>
              <w:pStyle w:val="29"/>
              <w:adjustRightInd w:val="0"/>
              <w:snapToGrid w:val="0"/>
              <w:spacing w:before="0" w:beforeAutospacing="0" w:after="0" w:afterAutospacing="0"/>
              <w:jc w:val="center"/>
              <w:rPr>
                <w:rFonts w:cs="宋体"/>
                <w:color w:val="auto"/>
                <w:szCs w:val="24"/>
                <w:highlight w:val="none"/>
              </w:rPr>
            </w:pPr>
          </w:p>
          <w:p w14:paraId="498CFD08">
            <w:pPr>
              <w:pStyle w:val="29"/>
              <w:adjustRightInd w:val="0"/>
              <w:snapToGrid w:val="0"/>
              <w:spacing w:before="0" w:beforeAutospacing="0" w:after="0" w:afterAutospacing="0"/>
              <w:jc w:val="center"/>
              <w:rPr>
                <w:rFonts w:cs="宋体"/>
                <w:color w:val="auto"/>
                <w:szCs w:val="24"/>
                <w:highlight w:val="none"/>
              </w:rPr>
            </w:pPr>
          </w:p>
          <w:p w14:paraId="40D3ECAE">
            <w:pPr>
              <w:pStyle w:val="29"/>
              <w:adjustRightInd w:val="0"/>
              <w:snapToGrid w:val="0"/>
              <w:spacing w:before="0" w:beforeAutospacing="0" w:after="0" w:afterAutospacing="0"/>
              <w:jc w:val="center"/>
              <w:rPr>
                <w:rFonts w:cs="宋体"/>
                <w:color w:val="auto"/>
                <w:szCs w:val="24"/>
                <w:highlight w:val="none"/>
              </w:rPr>
            </w:pPr>
          </w:p>
          <w:p w14:paraId="1D2BA1B6">
            <w:pPr>
              <w:pStyle w:val="29"/>
              <w:adjustRightInd w:val="0"/>
              <w:snapToGrid w:val="0"/>
              <w:spacing w:before="0" w:beforeAutospacing="0" w:after="0" w:afterAutospacing="0"/>
              <w:jc w:val="center"/>
              <w:rPr>
                <w:rFonts w:cs="宋体"/>
                <w:color w:val="auto"/>
                <w:szCs w:val="24"/>
                <w:highlight w:val="none"/>
              </w:rPr>
            </w:pPr>
          </w:p>
          <w:p w14:paraId="2DE77612">
            <w:pPr>
              <w:pStyle w:val="29"/>
              <w:adjustRightInd w:val="0"/>
              <w:snapToGrid w:val="0"/>
              <w:spacing w:before="0" w:beforeAutospacing="0" w:after="0" w:afterAutospacing="0"/>
              <w:jc w:val="center"/>
              <w:rPr>
                <w:rFonts w:cs="宋体"/>
                <w:color w:val="auto"/>
                <w:szCs w:val="24"/>
                <w:highlight w:val="none"/>
              </w:rPr>
            </w:pPr>
          </w:p>
          <w:p w14:paraId="23A957CC">
            <w:pPr>
              <w:pStyle w:val="29"/>
              <w:adjustRightInd w:val="0"/>
              <w:snapToGrid w:val="0"/>
              <w:spacing w:before="0" w:beforeAutospacing="0" w:after="0" w:afterAutospacing="0"/>
              <w:jc w:val="center"/>
              <w:rPr>
                <w:rFonts w:cs="宋体"/>
                <w:color w:val="auto"/>
                <w:szCs w:val="24"/>
                <w:highlight w:val="none"/>
              </w:rPr>
            </w:pPr>
          </w:p>
          <w:p w14:paraId="3299FCFC">
            <w:pPr>
              <w:pStyle w:val="29"/>
              <w:adjustRightInd w:val="0"/>
              <w:snapToGrid w:val="0"/>
              <w:spacing w:before="0" w:beforeAutospacing="0" w:after="0" w:afterAutospacing="0"/>
              <w:jc w:val="center"/>
              <w:rPr>
                <w:rFonts w:cs="宋体"/>
                <w:color w:val="auto"/>
                <w:szCs w:val="24"/>
                <w:highlight w:val="none"/>
              </w:rPr>
            </w:pPr>
          </w:p>
          <w:p w14:paraId="588B1B26">
            <w:pPr>
              <w:pStyle w:val="29"/>
              <w:adjustRightInd w:val="0"/>
              <w:snapToGrid w:val="0"/>
              <w:spacing w:before="0" w:beforeAutospacing="0" w:after="0" w:afterAutospacing="0"/>
              <w:jc w:val="center"/>
              <w:rPr>
                <w:rFonts w:cs="宋体"/>
                <w:color w:val="auto"/>
                <w:szCs w:val="24"/>
                <w:highlight w:val="none"/>
              </w:rPr>
            </w:pPr>
          </w:p>
          <w:p w14:paraId="6B9D6535">
            <w:pPr>
              <w:pStyle w:val="29"/>
              <w:adjustRightInd w:val="0"/>
              <w:snapToGrid w:val="0"/>
              <w:spacing w:before="0" w:beforeAutospacing="0" w:after="0" w:afterAutospacing="0"/>
              <w:jc w:val="center"/>
              <w:rPr>
                <w:rFonts w:cs="宋体"/>
                <w:color w:val="auto"/>
                <w:szCs w:val="24"/>
                <w:highlight w:val="none"/>
              </w:rPr>
            </w:pPr>
          </w:p>
          <w:p w14:paraId="10408B62">
            <w:pPr>
              <w:pStyle w:val="29"/>
              <w:adjustRightInd w:val="0"/>
              <w:snapToGrid w:val="0"/>
              <w:spacing w:before="0" w:beforeAutospacing="0" w:after="0" w:afterAutospacing="0"/>
              <w:jc w:val="center"/>
              <w:rPr>
                <w:rFonts w:cs="宋体"/>
                <w:color w:val="auto"/>
                <w:szCs w:val="24"/>
                <w:highlight w:val="none"/>
              </w:rPr>
            </w:pPr>
          </w:p>
          <w:p w14:paraId="172FDC16">
            <w:pPr>
              <w:pStyle w:val="29"/>
              <w:adjustRightInd w:val="0"/>
              <w:snapToGrid w:val="0"/>
              <w:spacing w:before="0" w:beforeAutospacing="0" w:after="0" w:afterAutospacing="0"/>
              <w:jc w:val="center"/>
              <w:rPr>
                <w:rFonts w:cs="宋体"/>
                <w:color w:val="auto"/>
                <w:szCs w:val="24"/>
                <w:highlight w:val="none"/>
              </w:rPr>
            </w:pPr>
          </w:p>
          <w:p w14:paraId="221AF549">
            <w:pPr>
              <w:pStyle w:val="29"/>
              <w:adjustRightInd w:val="0"/>
              <w:snapToGrid w:val="0"/>
              <w:spacing w:before="0" w:beforeAutospacing="0" w:after="0" w:afterAutospacing="0"/>
              <w:jc w:val="center"/>
              <w:rPr>
                <w:rFonts w:cs="宋体"/>
                <w:color w:val="auto"/>
                <w:szCs w:val="24"/>
                <w:highlight w:val="none"/>
              </w:rPr>
            </w:pPr>
          </w:p>
          <w:p w14:paraId="7F40BB52">
            <w:pPr>
              <w:pStyle w:val="29"/>
              <w:adjustRightInd w:val="0"/>
              <w:snapToGrid w:val="0"/>
              <w:spacing w:before="0" w:beforeAutospacing="0" w:after="0" w:afterAutospacing="0"/>
              <w:jc w:val="center"/>
              <w:rPr>
                <w:rFonts w:cs="宋体"/>
                <w:color w:val="auto"/>
                <w:szCs w:val="24"/>
                <w:highlight w:val="none"/>
              </w:rPr>
            </w:pPr>
          </w:p>
          <w:p w14:paraId="715F35C4">
            <w:pPr>
              <w:pStyle w:val="29"/>
              <w:adjustRightInd w:val="0"/>
              <w:snapToGrid w:val="0"/>
              <w:spacing w:before="0" w:beforeAutospacing="0" w:after="0" w:afterAutospacing="0"/>
              <w:jc w:val="center"/>
              <w:rPr>
                <w:rFonts w:cs="宋体"/>
                <w:color w:val="auto"/>
                <w:szCs w:val="24"/>
                <w:highlight w:val="none"/>
              </w:rPr>
            </w:pPr>
          </w:p>
          <w:p w14:paraId="6C9E9F81">
            <w:pPr>
              <w:pStyle w:val="29"/>
              <w:adjustRightInd w:val="0"/>
              <w:snapToGrid w:val="0"/>
              <w:spacing w:before="0" w:beforeAutospacing="0" w:after="0" w:afterAutospacing="0"/>
              <w:jc w:val="center"/>
              <w:rPr>
                <w:rFonts w:cs="宋体"/>
                <w:color w:val="auto"/>
                <w:szCs w:val="24"/>
                <w:highlight w:val="none"/>
              </w:rPr>
            </w:pPr>
          </w:p>
          <w:p w14:paraId="1C5A0915">
            <w:pPr>
              <w:pStyle w:val="29"/>
              <w:adjustRightInd w:val="0"/>
              <w:snapToGrid w:val="0"/>
              <w:spacing w:before="0" w:beforeAutospacing="0" w:after="0" w:afterAutospacing="0"/>
              <w:jc w:val="center"/>
              <w:rPr>
                <w:rFonts w:cs="宋体"/>
                <w:color w:val="auto"/>
                <w:szCs w:val="24"/>
                <w:highlight w:val="none"/>
              </w:rPr>
            </w:pPr>
          </w:p>
          <w:p w14:paraId="451B2FCA">
            <w:pPr>
              <w:pStyle w:val="29"/>
              <w:adjustRightInd w:val="0"/>
              <w:snapToGrid w:val="0"/>
              <w:spacing w:before="0" w:beforeAutospacing="0" w:after="0" w:afterAutospacing="0"/>
              <w:jc w:val="center"/>
              <w:rPr>
                <w:rFonts w:cs="宋体"/>
                <w:color w:val="auto"/>
                <w:szCs w:val="24"/>
                <w:highlight w:val="none"/>
              </w:rPr>
            </w:pPr>
            <w:r>
              <w:rPr>
                <w:rFonts w:hint="eastAsia" w:cs="宋体"/>
                <w:color w:val="auto"/>
                <w:szCs w:val="24"/>
                <w:highlight w:val="none"/>
              </w:rPr>
              <w:t>建设内容</w:t>
            </w:r>
          </w:p>
          <w:p w14:paraId="3F0524F6">
            <w:pPr>
              <w:pStyle w:val="29"/>
              <w:adjustRightInd w:val="0"/>
              <w:snapToGrid w:val="0"/>
              <w:spacing w:before="0" w:beforeAutospacing="0" w:after="0" w:afterAutospacing="0"/>
              <w:jc w:val="center"/>
              <w:rPr>
                <w:rFonts w:cs="宋体"/>
                <w:color w:val="auto"/>
                <w:szCs w:val="24"/>
                <w:highlight w:val="none"/>
              </w:rPr>
            </w:pPr>
          </w:p>
          <w:p w14:paraId="4367BD45">
            <w:pPr>
              <w:pStyle w:val="29"/>
              <w:adjustRightInd w:val="0"/>
              <w:snapToGrid w:val="0"/>
              <w:spacing w:before="0" w:beforeAutospacing="0" w:after="0" w:afterAutospacing="0"/>
              <w:jc w:val="center"/>
              <w:rPr>
                <w:rFonts w:cs="宋体"/>
                <w:color w:val="auto"/>
                <w:szCs w:val="24"/>
                <w:highlight w:val="none"/>
              </w:rPr>
            </w:pPr>
          </w:p>
          <w:p w14:paraId="7DD4D9FA">
            <w:pPr>
              <w:pStyle w:val="29"/>
              <w:adjustRightInd w:val="0"/>
              <w:snapToGrid w:val="0"/>
              <w:spacing w:before="0" w:beforeAutospacing="0" w:after="0" w:afterAutospacing="0"/>
              <w:jc w:val="center"/>
              <w:rPr>
                <w:rFonts w:cs="宋体"/>
                <w:color w:val="auto"/>
                <w:szCs w:val="24"/>
                <w:highlight w:val="none"/>
              </w:rPr>
            </w:pPr>
          </w:p>
          <w:p w14:paraId="69BB4AD2">
            <w:pPr>
              <w:pStyle w:val="29"/>
              <w:adjustRightInd w:val="0"/>
              <w:snapToGrid w:val="0"/>
              <w:spacing w:before="0" w:beforeAutospacing="0" w:after="0" w:afterAutospacing="0"/>
              <w:jc w:val="center"/>
              <w:rPr>
                <w:rFonts w:cs="宋体"/>
                <w:color w:val="auto"/>
                <w:szCs w:val="24"/>
                <w:highlight w:val="none"/>
              </w:rPr>
            </w:pPr>
          </w:p>
          <w:p w14:paraId="513255FF">
            <w:pPr>
              <w:pStyle w:val="29"/>
              <w:adjustRightInd w:val="0"/>
              <w:snapToGrid w:val="0"/>
              <w:spacing w:before="0" w:beforeAutospacing="0" w:after="0" w:afterAutospacing="0"/>
              <w:jc w:val="center"/>
              <w:rPr>
                <w:rFonts w:cs="宋体"/>
                <w:color w:val="auto"/>
                <w:szCs w:val="24"/>
                <w:highlight w:val="none"/>
              </w:rPr>
            </w:pPr>
          </w:p>
          <w:p w14:paraId="1319ED35">
            <w:pPr>
              <w:pStyle w:val="29"/>
              <w:adjustRightInd w:val="0"/>
              <w:snapToGrid w:val="0"/>
              <w:spacing w:before="0" w:beforeAutospacing="0" w:after="0" w:afterAutospacing="0"/>
              <w:jc w:val="center"/>
              <w:rPr>
                <w:rFonts w:cs="宋体"/>
                <w:color w:val="auto"/>
                <w:szCs w:val="24"/>
                <w:highlight w:val="none"/>
              </w:rPr>
            </w:pPr>
          </w:p>
          <w:p w14:paraId="64ADCE5D">
            <w:pPr>
              <w:pStyle w:val="29"/>
              <w:adjustRightInd w:val="0"/>
              <w:snapToGrid w:val="0"/>
              <w:spacing w:before="0" w:beforeAutospacing="0" w:after="0" w:afterAutospacing="0"/>
              <w:jc w:val="center"/>
              <w:rPr>
                <w:rFonts w:cs="宋体"/>
                <w:color w:val="auto"/>
                <w:szCs w:val="24"/>
                <w:highlight w:val="none"/>
              </w:rPr>
            </w:pPr>
          </w:p>
          <w:p w14:paraId="7AD2A3E4">
            <w:pPr>
              <w:pStyle w:val="29"/>
              <w:adjustRightInd w:val="0"/>
              <w:snapToGrid w:val="0"/>
              <w:spacing w:before="0" w:beforeAutospacing="0" w:after="0" w:afterAutospacing="0"/>
              <w:jc w:val="center"/>
              <w:rPr>
                <w:rFonts w:cs="宋体"/>
                <w:color w:val="auto"/>
                <w:szCs w:val="24"/>
                <w:highlight w:val="none"/>
              </w:rPr>
            </w:pPr>
          </w:p>
          <w:p w14:paraId="7DE6676C">
            <w:pPr>
              <w:pStyle w:val="29"/>
              <w:adjustRightInd w:val="0"/>
              <w:snapToGrid w:val="0"/>
              <w:spacing w:before="0" w:beforeAutospacing="0" w:after="0" w:afterAutospacing="0"/>
              <w:jc w:val="center"/>
              <w:rPr>
                <w:rFonts w:cs="宋体"/>
                <w:color w:val="auto"/>
                <w:szCs w:val="24"/>
                <w:highlight w:val="none"/>
              </w:rPr>
            </w:pPr>
          </w:p>
          <w:p w14:paraId="0B1A9558">
            <w:pPr>
              <w:pStyle w:val="29"/>
              <w:adjustRightInd w:val="0"/>
              <w:snapToGrid w:val="0"/>
              <w:spacing w:before="0" w:beforeAutospacing="0" w:after="0" w:afterAutospacing="0"/>
              <w:jc w:val="center"/>
              <w:rPr>
                <w:rFonts w:cs="宋体"/>
                <w:color w:val="auto"/>
                <w:szCs w:val="24"/>
                <w:highlight w:val="none"/>
              </w:rPr>
            </w:pPr>
          </w:p>
          <w:p w14:paraId="15E0153B">
            <w:pPr>
              <w:pStyle w:val="29"/>
              <w:adjustRightInd w:val="0"/>
              <w:snapToGrid w:val="0"/>
              <w:spacing w:before="0" w:beforeAutospacing="0" w:after="0" w:afterAutospacing="0"/>
              <w:jc w:val="center"/>
              <w:rPr>
                <w:rFonts w:cs="宋体"/>
                <w:color w:val="auto"/>
                <w:szCs w:val="24"/>
                <w:highlight w:val="none"/>
              </w:rPr>
            </w:pPr>
          </w:p>
          <w:p w14:paraId="509B3E1E">
            <w:pPr>
              <w:pStyle w:val="29"/>
              <w:adjustRightInd w:val="0"/>
              <w:snapToGrid w:val="0"/>
              <w:spacing w:before="0" w:beforeAutospacing="0" w:after="0" w:afterAutospacing="0"/>
              <w:jc w:val="center"/>
              <w:rPr>
                <w:rFonts w:cs="宋体"/>
                <w:color w:val="auto"/>
                <w:szCs w:val="24"/>
                <w:highlight w:val="none"/>
              </w:rPr>
            </w:pPr>
          </w:p>
          <w:p w14:paraId="6EAADBE3">
            <w:pPr>
              <w:pStyle w:val="29"/>
              <w:adjustRightInd w:val="0"/>
              <w:snapToGrid w:val="0"/>
              <w:spacing w:before="0" w:beforeAutospacing="0" w:after="0" w:afterAutospacing="0"/>
              <w:jc w:val="center"/>
              <w:rPr>
                <w:rFonts w:cs="宋体"/>
                <w:color w:val="auto"/>
                <w:szCs w:val="24"/>
                <w:highlight w:val="none"/>
              </w:rPr>
            </w:pPr>
          </w:p>
          <w:p w14:paraId="2BC28F3F">
            <w:pPr>
              <w:pStyle w:val="29"/>
              <w:adjustRightInd w:val="0"/>
              <w:snapToGrid w:val="0"/>
              <w:spacing w:before="0" w:beforeAutospacing="0" w:after="0" w:afterAutospacing="0"/>
              <w:jc w:val="center"/>
              <w:rPr>
                <w:rFonts w:cs="宋体"/>
                <w:color w:val="auto"/>
                <w:szCs w:val="24"/>
                <w:highlight w:val="none"/>
              </w:rPr>
            </w:pPr>
          </w:p>
          <w:p w14:paraId="61FE406C">
            <w:pPr>
              <w:pStyle w:val="29"/>
              <w:adjustRightInd w:val="0"/>
              <w:snapToGrid w:val="0"/>
              <w:spacing w:before="0" w:beforeAutospacing="0" w:after="0" w:afterAutospacing="0"/>
              <w:jc w:val="center"/>
              <w:rPr>
                <w:rFonts w:cs="宋体"/>
                <w:color w:val="auto"/>
                <w:szCs w:val="24"/>
                <w:highlight w:val="none"/>
              </w:rPr>
            </w:pPr>
          </w:p>
          <w:p w14:paraId="71FA5595">
            <w:pPr>
              <w:pStyle w:val="29"/>
              <w:adjustRightInd w:val="0"/>
              <w:snapToGrid w:val="0"/>
              <w:spacing w:before="0" w:beforeAutospacing="0" w:after="0" w:afterAutospacing="0"/>
              <w:jc w:val="center"/>
              <w:rPr>
                <w:rFonts w:cs="宋体"/>
                <w:color w:val="auto"/>
                <w:szCs w:val="24"/>
                <w:highlight w:val="none"/>
              </w:rPr>
            </w:pPr>
          </w:p>
          <w:p w14:paraId="2BB239FA">
            <w:pPr>
              <w:pStyle w:val="29"/>
              <w:adjustRightInd w:val="0"/>
              <w:snapToGrid w:val="0"/>
              <w:spacing w:before="0" w:beforeAutospacing="0" w:after="0" w:afterAutospacing="0"/>
              <w:jc w:val="center"/>
              <w:rPr>
                <w:rFonts w:cs="宋体"/>
                <w:color w:val="auto"/>
                <w:szCs w:val="24"/>
                <w:highlight w:val="none"/>
              </w:rPr>
            </w:pPr>
          </w:p>
          <w:p w14:paraId="6F67079B">
            <w:pPr>
              <w:pStyle w:val="29"/>
              <w:adjustRightInd w:val="0"/>
              <w:snapToGrid w:val="0"/>
              <w:spacing w:before="0" w:beforeAutospacing="0" w:after="0" w:afterAutospacing="0"/>
              <w:jc w:val="center"/>
              <w:rPr>
                <w:rFonts w:cs="宋体"/>
                <w:color w:val="auto"/>
                <w:szCs w:val="24"/>
                <w:highlight w:val="none"/>
              </w:rPr>
            </w:pPr>
          </w:p>
          <w:p w14:paraId="5E9BB2B4">
            <w:pPr>
              <w:pStyle w:val="29"/>
              <w:adjustRightInd w:val="0"/>
              <w:snapToGrid w:val="0"/>
              <w:spacing w:before="0" w:beforeAutospacing="0" w:after="0" w:afterAutospacing="0"/>
              <w:jc w:val="center"/>
              <w:rPr>
                <w:rFonts w:cs="宋体"/>
                <w:color w:val="auto"/>
                <w:szCs w:val="24"/>
                <w:highlight w:val="none"/>
              </w:rPr>
            </w:pPr>
          </w:p>
          <w:p w14:paraId="162384BA">
            <w:pPr>
              <w:pStyle w:val="29"/>
              <w:adjustRightInd w:val="0"/>
              <w:snapToGrid w:val="0"/>
              <w:spacing w:before="0" w:beforeAutospacing="0" w:after="0" w:afterAutospacing="0"/>
              <w:jc w:val="center"/>
              <w:rPr>
                <w:rFonts w:cs="宋体"/>
                <w:color w:val="auto"/>
                <w:szCs w:val="24"/>
                <w:highlight w:val="none"/>
              </w:rPr>
            </w:pPr>
          </w:p>
          <w:p w14:paraId="6BA7852C">
            <w:pPr>
              <w:pStyle w:val="29"/>
              <w:adjustRightInd w:val="0"/>
              <w:snapToGrid w:val="0"/>
              <w:spacing w:before="0" w:beforeAutospacing="0" w:after="0" w:afterAutospacing="0"/>
              <w:jc w:val="center"/>
              <w:rPr>
                <w:rFonts w:cs="宋体"/>
                <w:color w:val="auto"/>
                <w:szCs w:val="24"/>
                <w:highlight w:val="none"/>
              </w:rPr>
            </w:pPr>
          </w:p>
          <w:p w14:paraId="14ACCC44">
            <w:pPr>
              <w:pStyle w:val="29"/>
              <w:adjustRightInd w:val="0"/>
              <w:snapToGrid w:val="0"/>
              <w:spacing w:before="0" w:beforeAutospacing="0" w:after="0" w:afterAutospacing="0"/>
              <w:jc w:val="center"/>
              <w:rPr>
                <w:rFonts w:cs="宋体"/>
                <w:color w:val="auto"/>
                <w:szCs w:val="24"/>
                <w:highlight w:val="none"/>
              </w:rPr>
            </w:pPr>
          </w:p>
          <w:p w14:paraId="44251A1B">
            <w:pPr>
              <w:pStyle w:val="29"/>
              <w:adjustRightInd w:val="0"/>
              <w:snapToGrid w:val="0"/>
              <w:spacing w:before="0" w:beforeAutospacing="0" w:after="0" w:afterAutospacing="0"/>
              <w:jc w:val="center"/>
              <w:rPr>
                <w:rFonts w:cs="宋体"/>
                <w:color w:val="auto"/>
                <w:szCs w:val="24"/>
                <w:highlight w:val="none"/>
              </w:rPr>
            </w:pPr>
          </w:p>
          <w:p w14:paraId="5E6749A2">
            <w:pPr>
              <w:pStyle w:val="29"/>
              <w:adjustRightInd w:val="0"/>
              <w:snapToGrid w:val="0"/>
              <w:spacing w:before="0" w:beforeAutospacing="0" w:after="0" w:afterAutospacing="0"/>
              <w:jc w:val="center"/>
              <w:rPr>
                <w:rFonts w:cs="宋体"/>
                <w:color w:val="auto"/>
                <w:szCs w:val="24"/>
                <w:highlight w:val="none"/>
              </w:rPr>
            </w:pPr>
          </w:p>
          <w:p w14:paraId="3B80C529">
            <w:pPr>
              <w:pStyle w:val="29"/>
              <w:adjustRightInd w:val="0"/>
              <w:snapToGrid w:val="0"/>
              <w:spacing w:before="0" w:beforeAutospacing="0" w:after="0" w:afterAutospacing="0"/>
              <w:jc w:val="center"/>
              <w:rPr>
                <w:rFonts w:cs="宋体"/>
                <w:color w:val="auto"/>
                <w:szCs w:val="24"/>
                <w:highlight w:val="none"/>
              </w:rPr>
            </w:pPr>
          </w:p>
          <w:p w14:paraId="561892A8">
            <w:pPr>
              <w:pStyle w:val="29"/>
              <w:adjustRightInd w:val="0"/>
              <w:snapToGrid w:val="0"/>
              <w:spacing w:before="0" w:beforeAutospacing="0" w:after="0" w:afterAutospacing="0"/>
              <w:jc w:val="center"/>
              <w:rPr>
                <w:rFonts w:cs="宋体"/>
                <w:color w:val="auto"/>
                <w:szCs w:val="24"/>
                <w:highlight w:val="none"/>
              </w:rPr>
            </w:pPr>
          </w:p>
          <w:p w14:paraId="07BF0BEE">
            <w:pPr>
              <w:pStyle w:val="29"/>
              <w:adjustRightInd w:val="0"/>
              <w:snapToGrid w:val="0"/>
              <w:spacing w:before="0" w:beforeAutospacing="0" w:after="0" w:afterAutospacing="0"/>
              <w:jc w:val="center"/>
              <w:rPr>
                <w:rFonts w:cs="宋体"/>
                <w:color w:val="auto"/>
                <w:szCs w:val="24"/>
                <w:highlight w:val="none"/>
              </w:rPr>
            </w:pPr>
          </w:p>
          <w:p w14:paraId="47395538">
            <w:pPr>
              <w:pStyle w:val="29"/>
              <w:adjustRightInd w:val="0"/>
              <w:snapToGrid w:val="0"/>
              <w:spacing w:before="0" w:beforeAutospacing="0" w:after="0" w:afterAutospacing="0"/>
              <w:jc w:val="center"/>
              <w:rPr>
                <w:rFonts w:cs="宋体"/>
                <w:color w:val="auto"/>
                <w:szCs w:val="24"/>
                <w:highlight w:val="none"/>
              </w:rPr>
            </w:pPr>
          </w:p>
          <w:p w14:paraId="7D87222D">
            <w:pPr>
              <w:pStyle w:val="29"/>
              <w:adjustRightInd w:val="0"/>
              <w:snapToGrid w:val="0"/>
              <w:spacing w:before="0" w:beforeAutospacing="0" w:after="0" w:afterAutospacing="0"/>
              <w:jc w:val="center"/>
              <w:rPr>
                <w:rFonts w:cs="宋体"/>
                <w:color w:val="auto"/>
                <w:szCs w:val="24"/>
                <w:highlight w:val="none"/>
              </w:rPr>
            </w:pPr>
          </w:p>
          <w:p w14:paraId="44371A93">
            <w:pPr>
              <w:pStyle w:val="29"/>
              <w:adjustRightInd w:val="0"/>
              <w:snapToGrid w:val="0"/>
              <w:spacing w:before="0" w:beforeAutospacing="0" w:after="0" w:afterAutospacing="0"/>
              <w:jc w:val="center"/>
              <w:rPr>
                <w:rFonts w:cs="宋体"/>
                <w:color w:val="auto"/>
                <w:szCs w:val="24"/>
                <w:highlight w:val="none"/>
              </w:rPr>
            </w:pPr>
          </w:p>
          <w:p w14:paraId="1103478E">
            <w:pPr>
              <w:pStyle w:val="29"/>
              <w:adjustRightInd w:val="0"/>
              <w:snapToGrid w:val="0"/>
              <w:spacing w:before="0" w:beforeAutospacing="0" w:after="0" w:afterAutospacing="0"/>
              <w:jc w:val="center"/>
              <w:rPr>
                <w:rFonts w:cs="宋体"/>
                <w:color w:val="auto"/>
                <w:szCs w:val="24"/>
                <w:highlight w:val="none"/>
              </w:rPr>
            </w:pPr>
          </w:p>
          <w:p w14:paraId="45DCD75F">
            <w:pPr>
              <w:pStyle w:val="29"/>
              <w:adjustRightInd w:val="0"/>
              <w:snapToGrid w:val="0"/>
              <w:spacing w:before="0" w:beforeAutospacing="0" w:after="0" w:afterAutospacing="0"/>
              <w:jc w:val="center"/>
              <w:rPr>
                <w:rFonts w:cs="宋体"/>
                <w:color w:val="auto"/>
                <w:szCs w:val="24"/>
                <w:highlight w:val="none"/>
              </w:rPr>
            </w:pPr>
          </w:p>
          <w:p w14:paraId="443F279C">
            <w:pPr>
              <w:pStyle w:val="29"/>
              <w:adjustRightInd w:val="0"/>
              <w:snapToGrid w:val="0"/>
              <w:spacing w:before="0" w:beforeAutospacing="0" w:after="0" w:afterAutospacing="0"/>
              <w:jc w:val="center"/>
              <w:rPr>
                <w:rFonts w:cs="宋体"/>
                <w:color w:val="auto"/>
                <w:szCs w:val="24"/>
                <w:highlight w:val="none"/>
              </w:rPr>
            </w:pPr>
          </w:p>
          <w:p w14:paraId="45DF6C2E">
            <w:pPr>
              <w:pStyle w:val="29"/>
              <w:adjustRightInd w:val="0"/>
              <w:snapToGrid w:val="0"/>
              <w:spacing w:before="0" w:beforeAutospacing="0" w:after="0" w:afterAutospacing="0"/>
              <w:jc w:val="center"/>
              <w:rPr>
                <w:rFonts w:cs="宋体"/>
                <w:color w:val="auto"/>
                <w:szCs w:val="24"/>
                <w:highlight w:val="none"/>
              </w:rPr>
            </w:pPr>
          </w:p>
          <w:p w14:paraId="2745F8C1">
            <w:pPr>
              <w:pStyle w:val="29"/>
              <w:adjustRightInd w:val="0"/>
              <w:snapToGrid w:val="0"/>
              <w:spacing w:before="0" w:beforeAutospacing="0" w:after="0" w:afterAutospacing="0"/>
              <w:jc w:val="both"/>
              <w:rPr>
                <w:rFonts w:cs="宋体"/>
                <w:color w:val="auto"/>
                <w:szCs w:val="24"/>
                <w:highlight w:val="none"/>
              </w:rPr>
            </w:pPr>
          </w:p>
          <w:p w14:paraId="4264C800">
            <w:pPr>
              <w:pStyle w:val="29"/>
              <w:adjustRightInd w:val="0"/>
              <w:snapToGrid w:val="0"/>
              <w:spacing w:before="0" w:beforeAutospacing="0" w:after="0" w:afterAutospacing="0"/>
              <w:jc w:val="center"/>
              <w:rPr>
                <w:rFonts w:cs="宋体"/>
                <w:color w:val="auto"/>
                <w:szCs w:val="24"/>
                <w:highlight w:val="none"/>
              </w:rPr>
            </w:pPr>
          </w:p>
          <w:p w14:paraId="2F597135">
            <w:pPr>
              <w:pStyle w:val="29"/>
              <w:adjustRightInd w:val="0"/>
              <w:snapToGrid w:val="0"/>
              <w:spacing w:before="0" w:beforeAutospacing="0" w:after="0" w:afterAutospacing="0"/>
              <w:jc w:val="center"/>
              <w:rPr>
                <w:rFonts w:cs="宋体"/>
                <w:color w:val="auto"/>
                <w:szCs w:val="24"/>
                <w:highlight w:val="none"/>
              </w:rPr>
            </w:pPr>
          </w:p>
          <w:p w14:paraId="1558C37E">
            <w:pPr>
              <w:pStyle w:val="29"/>
              <w:adjustRightInd w:val="0"/>
              <w:snapToGrid w:val="0"/>
              <w:spacing w:before="0" w:beforeAutospacing="0" w:after="0" w:afterAutospacing="0"/>
              <w:jc w:val="center"/>
              <w:rPr>
                <w:rFonts w:cs="宋体"/>
                <w:color w:val="auto"/>
                <w:szCs w:val="24"/>
                <w:highlight w:val="none"/>
              </w:rPr>
            </w:pPr>
            <w:r>
              <w:rPr>
                <w:rFonts w:hint="eastAsia" w:cs="宋体"/>
                <w:color w:val="auto"/>
                <w:szCs w:val="24"/>
                <w:highlight w:val="none"/>
              </w:rPr>
              <w:t>建设内容</w:t>
            </w:r>
          </w:p>
          <w:p w14:paraId="095065F5">
            <w:pPr>
              <w:pStyle w:val="29"/>
              <w:adjustRightInd w:val="0"/>
              <w:snapToGrid w:val="0"/>
              <w:spacing w:before="0" w:beforeAutospacing="0" w:after="0" w:afterAutospacing="0"/>
              <w:jc w:val="center"/>
              <w:rPr>
                <w:rFonts w:cs="宋体"/>
                <w:color w:val="auto"/>
                <w:szCs w:val="24"/>
                <w:highlight w:val="none"/>
              </w:rPr>
            </w:pPr>
          </w:p>
          <w:p w14:paraId="6C642FC8">
            <w:pPr>
              <w:pStyle w:val="29"/>
              <w:adjustRightInd w:val="0"/>
              <w:snapToGrid w:val="0"/>
              <w:spacing w:before="0" w:beforeAutospacing="0" w:after="0" w:afterAutospacing="0"/>
              <w:jc w:val="center"/>
              <w:rPr>
                <w:rFonts w:cs="宋体"/>
                <w:color w:val="auto"/>
                <w:szCs w:val="24"/>
                <w:highlight w:val="none"/>
              </w:rPr>
            </w:pPr>
          </w:p>
          <w:p w14:paraId="5A8A0C4F">
            <w:pPr>
              <w:pStyle w:val="29"/>
              <w:adjustRightInd w:val="0"/>
              <w:snapToGrid w:val="0"/>
              <w:spacing w:before="0" w:beforeAutospacing="0" w:after="0" w:afterAutospacing="0"/>
              <w:jc w:val="center"/>
              <w:rPr>
                <w:rFonts w:cs="宋体"/>
                <w:color w:val="auto"/>
                <w:szCs w:val="24"/>
                <w:highlight w:val="none"/>
              </w:rPr>
            </w:pPr>
          </w:p>
          <w:p w14:paraId="7D0707E4">
            <w:pPr>
              <w:pStyle w:val="29"/>
              <w:adjustRightInd w:val="0"/>
              <w:snapToGrid w:val="0"/>
              <w:spacing w:before="0" w:beforeAutospacing="0" w:after="0" w:afterAutospacing="0"/>
              <w:jc w:val="center"/>
              <w:rPr>
                <w:rFonts w:cs="宋体"/>
                <w:color w:val="auto"/>
                <w:szCs w:val="24"/>
                <w:highlight w:val="none"/>
              </w:rPr>
            </w:pPr>
          </w:p>
          <w:p w14:paraId="11C6A3D3">
            <w:pPr>
              <w:pStyle w:val="29"/>
              <w:adjustRightInd w:val="0"/>
              <w:snapToGrid w:val="0"/>
              <w:spacing w:before="0" w:beforeAutospacing="0" w:after="0" w:afterAutospacing="0"/>
              <w:jc w:val="center"/>
              <w:rPr>
                <w:rFonts w:cs="宋体"/>
                <w:color w:val="auto"/>
                <w:szCs w:val="24"/>
                <w:highlight w:val="none"/>
              </w:rPr>
            </w:pPr>
          </w:p>
          <w:p w14:paraId="0C87A202">
            <w:pPr>
              <w:pStyle w:val="29"/>
              <w:adjustRightInd w:val="0"/>
              <w:snapToGrid w:val="0"/>
              <w:spacing w:before="0" w:beforeAutospacing="0" w:after="0" w:afterAutospacing="0"/>
              <w:jc w:val="center"/>
              <w:rPr>
                <w:rFonts w:cs="宋体"/>
                <w:color w:val="auto"/>
                <w:szCs w:val="24"/>
                <w:highlight w:val="none"/>
              </w:rPr>
            </w:pPr>
          </w:p>
          <w:p w14:paraId="4A5EDDB9">
            <w:pPr>
              <w:pStyle w:val="29"/>
              <w:adjustRightInd w:val="0"/>
              <w:snapToGrid w:val="0"/>
              <w:spacing w:before="0" w:beforeAutospacing="0" w:after="0" w:afterAutospacing="0"/>
              <w:jc w:val="center"/>
              <w:rPr>
                <w:rFonts w:cs="宋体"/>
                <w:color w:val="auto"/>
                <w:szCs w:val="24"/>
                <w:highlight w:val="none"/>
              </w:rPr>
            </w:pPr>
          </w:p>
          <w:p w14:paraId="346CE87C">
            <w:pPr>
              <w:pStyle w:val="29"/>
              <w:adjustRightInd w:val="0"/>
              <w:snapToGrid w:val="0"/>
              <w:spacing w:before="0" w:beforeAutospacing="0" w:after="0" w:afterAutospacing="0"/>
              <w:jc w:val="center"/>
              <w:rPr>
                <w:rFonts w:cs="宋体"/>
                <w:color w:val="auto"/>
                <w:szCs w:val="24"/>
                <w:highlight w:val="none"/>
              </w:rPr>
            </w:pPr>
          </w:p>
          <w:p w14:paraId="511FB490">
            <w:pPr>
              <w:pStyle w:val="29"/>
              <w:adjustRightInd w:val="0"/>
              <w:snapToGrid w:val="0"/>
              <w:spacing w:before="0" w:beforeAutospacing="0" w:after="0" w:afterAutospacing="0"/>
              <w:jc w:val="center"/>
              <w:rPr>
                <w:rFonts w:cs="宋体"/>
                <w:color w:val="auto"/>
                <w:szCs w:val="24"/>
                <w:highlight w:val="none"/>
              </w:rPr>
            </w:pPr>
          </w:p>
          <w:p w14:paraId="485ED825">
            <w:pPr>
              <w:pStyle w:val="29"/>
              <w:adjustRightInd w:val="0"/>
              <w:snapToGrid w:val="0"/>
              <w:spacing w:before="0" w:beforeAutospacing="0" w:after="0" w:afterAutospacing="0"/>
              <w:jc w:val="center"/>
              <w:rPr>
                <w:rFonts w:cs="宋体"/>
                <w:color w:val="auto"/>
                <w:szCs w:val="24"/>
                <w:highlight w:val="none"/>
              </w:rPr>
            </w:pPr>
          </w:p>
          <w:p w14:paraId="7996E97E">
            <w:pPr>
              <w:pStyle w:val="29"/>
              <w:adjustRightInd w:val="0"/>
              <w:snapToGrid w:val="0"/>
              <w:spacing w:before="0" w:beforeAutospacing="0" w:after="0" w:afterAutospacing="0"/>
              <w:jc w:val="center"/>
              <w:rPr>
                <w:rFonts w:cs="宋体"/>
                <w:color w:val="auto"/>
                <w:szCs w:val="24"/>
                <w:highlight w:val="none"/>
              </w:rPr>
            </w:pPr>
          </w:p>
          <w:p w14:paraId="2D886FC0">
            <w:pPr>
              <w:pStyle w:val="29"/>
              <w:adjustRightInd w:val="0"/>
              <w:snapToGrid w:val="0"/>
              <w:spacing w:before="0" w:beforeAutospacing="0" w:after="0" w:afterAutospacing="0"/>
              <w:jc w:val="center"/>
              <w:rPr>
                <w:rFonts w:cs="宋体"/>
                <w:color w:val="auto"/>
                <w:szCs w:val="24"/>
                <w:highlight w:val="none"/>
              </w:rPr>
            </w:pPr>
          </w:p>
          <w:p w14:paraId="6633DEA8">
            <w:pPr>
              <w:pStyle w:val="29"/>
              <w:adjustRightInd w:val="0"/>
              <w:snapToGrid w:val="0"/>
              <w:spacing w:before="0" w:beforeAutospacing="0" w:after="0" w:afterAutospacing="0"/>
              <w:jc w:val="center"/>
              <w:rPr>
                <w:rFonts w:cs="宋体"/>
                <w:color w:val="auto"/>
                <w:szCs w:val="24"/>
                <w:highlight w:val="none"/>
              </w:rPr>
            </w:pPr>
          </w:p>
          <w:p w14:paraId="6EF1BEED">
            <w:pPr>
              <w:pStyle w:val="29"/>
              <w:adjustRightInd w:val="0"/>
              <w:snapToGrid w:val="0"/>
              <w:spacing w:before="0" w:beforeAutospacing="0" w:after="0" w:afterAutospacing="0"/>
              <w:jc w:val="center"/>
              <w:rPr>
                <w:rFonts w:cs="宋体"/>
                <w:color w:val="auto"/>
                <w:szCs w:val="24"/>
                <w:highlight w:val="none"/>
              </w:rPr>
            </w:pPr>
          </w:p>
          <w:p w14:paraId="4B367984">
            <w:pPr>
              <w:pStyle w:val="29"/>
              <w:adjustRightInd w:val="0"/>
              <w:snapToGrid w:val="0"/>
              <w:spacing w:before="0" w:beforeAutospacing="0" w:after="0" w:afterAutospacing="0"/>
              <w:jc w:val="center"/>
              <w:rPr>
                <w:rFonts w:cs="宋体"/>
                <w:color w:val="auto"/>
                <w:szCs w:val="24"/>
                <w:highlight w:val="none"/>
              </w:rPr>
            </w:pPr>
          </w:p>
          <w:p w14:paraId="03E09AB1">
            <w:pPr>
              <w:pStyle w:val="29"/>
              <w:adjustRightInd w:val="0"/>
              <w:snapToGrid w:val="0"/>
              <w:spacing w:before="0" w:beforeAutospacing="0" w:after="0" w:afterAutospacing="0"/>
              <w:jc w:val="both"/>
              <w:rPr>
                <w:rFonts w:cs="宋体"/>
                <w:color w:val="auto"/>
                <w:szCs w:val="24"/>
                <w:highlight w:val="none"/>
              </w:rPr>
            </w:pPr>
          </w:p>
          <w:p w14:paraId="5A9B34B1">
            <w:pPr>
              <w:pStyle w:val="29"/>
              <w:adjustRightInd w:val="0"/>
              <w:snapToGrid w:val="0"/>
              <w:spacing w:before="0" w:beforeAutospacing="0" w:after="0" w:afterAutospacing="0"/>
              <w:jc w:val="center"/>
              <w:rPr>
                <w:rFonts w:cs="宋体"/>
                <w:color w:val="auto"/>
                <w:szCs w:val="24"/>
                <w:highlight w:val="none"/>
              </w:rPr>
            </w:pPr>
          </w:p>
          <w:p w14:paraId="0F415394">
            <w:pPr>
              <w:pStyle w:val="29"/>
              <w:adjustRightInd w:val="0"/>
              <w:snapToGrid w:val="0"/>
              <w:spacing w:before="0" w:beforeAutospacing="0" w:after="0" w:afterAutospacing="0"/>
              <w:jc w:val="center"/>
              <w:rPr>
                <w:rFonts w:cs="宋体"/>
                <w:color w:val="auto"/>
                <w:szCs w:val="24"/>
                <w:highlight w:val="none"/>
              </w:rPr>
            </w:pPr>
          </w:p>
          <w:p w14:paraId="5830101C">
            <w:pPr>
              <w:pStyle w:val="29"/>
              <w:adjustRightInd w:val="0"/>
              <w:snapToGrid w:val="0"/>
              <w:spacing w:before="0" w:beforeAutospacing="0" w:after="0" w:afterAutospacing="0"/>
              <w:jc w:val="center"/>
              <w:rPr>
                <w:rFonts w:cs="宋体"/>
                <w:color w:val="auto"/>
                <w:szCs w:val="24"/>
                <w:highlight w:val="none"/>
              </w:rPr>
            </w:pPr>
          </w:p>
          <w:p w14:paraId="46E6D69E">
            <w:pPr>
              <w:pStyle w:val="29"/>
              <w:adjustRightInd w:val="0"/>
              <w:snapToGrid w:val="0"/>
              <w:spacing w:before="0" w:beforeAutospacing="0" w:after="0" w:afterAutospacing="0"/>
              <w:jc w:val="center"/>
              <w:rPr>
                <w:rFonts w:cs="宋体"/>
                <w:color w:val="auto"/>
                <w:szCs w:val="24"/>
                <w:highlight w:val="none"/>
              </w:rPr>
            </w:pPr>
          </w:p>
          <w:p w14:paraId="20C43A13">
            <w:pPr>
              <w:pStyle w:val="29"/>
              <w:adjustRightInd w:val="0"/>
              <w:snapToGrid w:val="0"/>
              <w:spacing w:before="0" w:beforeAutospacing="0" w:after="0" w:afterAutospacing="0"/>
              <w:jc w:val="center"/>
              <w:rPr>
                <w:rFonts w:cs="宋体"/>
                <w:color w:val="auto"/>
                <w:szCs w:val="24"/>
                <w:highlight w:val="none"/>
              </w:rPr>
            </w:pPr>
          </w:p>
          <w:p w14:paraId="22F4BA1B">
            <w:pPr>
              <w:pStyle w:val="29"/>
              <w:adjustRightInd w:val="0"/>
              <w:snapToGrid w:val="0"/>
              <w:spacing w:before="0" w:beforeAutospacing="0" w:after="0" w:afterAutospacing="0"/>
              <w:jc w:val="center"/>
              <w:rPr>
                <w:rFonts w:cs="宋体"/>
                <w:color w:val="auto"/>
                <w:szCs w:val="24"/>
                <w:highlight w:val="none"/>
              </w:rPr>
            </w:pPr>
          </w:p>
          <w:p w14:paraId="21945110">
            <w:pPr>
              <w:pStyle w:val="29"/>
              <w:adjustRightInd w:val="0"/>
              <w:snapToGrid w:val="0"/>
              <w:spacing w:before="0" w:beforeAutospacing="0" w:after="0" w:afterAutospacing="0"/>
              <w:jc w:val="center"/>
              <w:rPr>
                <w:rFonts w:cs="宋体"/>
                <w:color w:val="auto"/>
                <w:szCs w:val="24"/>
                <w:highlight w:val="none"/>
              </w:rPr>
            </w:pPr>
          </w:p>
          <w:p w14:paraId="51F68F94">
            <w:pPr>
              <w:pStyle w:val="29"/>
              <w:adjustRightInd w:val="0"/>
              <w:snapToGrid w:val="0"/>
              <w:spacing w:before="0" w:beforeAutospacing="0" w:after="0" w:afterAutospacing="0"/>
              <w:jc w:val="center"/>
              <w:rPr>
                <w:rFonts w:cs="宋体"/>
                <w:color w:val="auto"/>
                <w:szCs w:val="24"/>
                <w:highlight w:val="none"/>
              </w:rPr>
            </w:pPr>
          </w:p>
          <w:p w14:paraId="7AEF0684">
            <w:pPr>
              <w:pStyle w:val="29"/>
              <w:adjustRightInd w:val="0"/>
              <w:snapToGrid w:val="0"/>
              <w:spacing w:before="0" w:beforeAutospacing="0" w:after="0" w:afterAutospacing="0"/>
              <w:jc w:val="center"/>
              <w:rPr>
                <w:rFonts w:cs="宋体"/>
                <w:color w:val="auto"/>
                <w:szCs w:val="24"/>
                <w:highlight w:val="none"/>
              </w:rPr>
            </w:pPr>
          </w:p>
          <w:p w14:paraId="3ED9E96B">
            <w:pPr>
              <w:pStyle w:val="29"/>
              <w:adjustRightInd w:val="0"/>
              <w:snapToGrid w:val="0"/>
              <w:spacing w:before="0" w:beforeAutospacing="0" w:after="0" w:afterAutospacing="0"/>
              <w:jc w:val="center"/>
              <w:rPr>
                <w:rFonts w:cs="宋体"/>
                <w:color w:val="auto"/>
                <w:szCs w:val="24"/>
                <w:highlight w:val="none"/>
              </w:rPr>
            </w:pPr>
          </w:p>
          <w:p w14:paraId="48DC8443">
            <w:pPr>
              <w:pStyle w:val="29"/>
              <w:adjustRightInd w:val="0"/>
              <w:snapToGrid w:val="0"/>
              <w:spacing w:before="0" w:beforeAutospacing="0" w:after="0" w:afterAutospacing="0"/>
              <w:jc w:val="center"/>
              <w:rPr>
                <w:rFonts w:cs="宋体"/>
                <w:color w:val="auto"/>
                <w:szCs w:val="24"/>
                <w:highlight w:val="none"/>
              </w:rPr>
            </w:pPr>
          </w:p>
          <w:p w14:paraId="4ECAE8BD">
            <w:pPr>
              <w:pStyle w:val="29"/>
              <w:adjustRightInd w:val="0"/>
              <w:snapToGrid w:val="0"/>
              <w:spacing w:before="0" w:beforeAutospacing="0" w:after="0" w:afterAutospacing="0"/>
              <w:jc w:val="center"/>
              <w:rPr>
                <w:rFonts w:cs="宋体"/>
                <w:color w:val="auto"/>
                <w:szCs w:val="24"/>
                <w:highlight w:val="none"/>
              </w:rPr>
            </w:pPr>
          </w:p>
          <w:p w14:paraId="594F71CD">
            <w:pPr>
              <w:pStyle w:val="29"/>
              <w:adjustRightInd w:val="0"/>
              <w:snapToGrid w:val="0"/>
              <w:spacing w:before="0" w:beforeAutospacing="0" w:after="0" w:afterAutospacing="0"/>
              <w:jc w:val="center"/>
              <w:rPr>
                <w:rFonts w:cs="宋体"/>
                <w:color w:val="auto"/>
                <w:szCs w:val="24"/>
                <w:highlight w:val="none"/>
              </w:rPr>
            </w:pPr>
          </w:p>
          <w:p w14:paraId="57CDA8D4">
            <w:pPr>
              <w:pStyle w:val="29"/>
              <w:adjustRightInd w:val="0"/>
              <w:snapToGrid w:val="0"/>
              <w:spacing w:before="0" w:beforeAutospacing="0" w:after="0" w:afterAutospacing="0"/>
              <w:jc w:val="center"/>
              <w:rPr>
                <w:rFonts w:cs="宋体"/>
                <w:color w:val="auto"/>
                <w:szCs w:val="24"/>
                <w:highlight w:val="none"/>
              </w:rPr>
            </w:pPr>
          </w:p>
          <w:p w14:paraId="07D2A150">
            <w:pPr>
              <w:pStyle w:val="29"/>
              <w:adjustRightInd w:val="0"/>
              <w:snapToGrid w:val="0"/>
              <w:spacing w:before="0" w:beforeAutospacing="0" w:after="0" w:afterAutospacing="0"/>
              <w:jc w:val="center"/>
              <w:rPr>
                <w:rFonts w:cs="宋体"/>
                <w:color w:val="auto"/>
                <w:szCs w:val="24"/>
                <w:highlight w:val="none"/>
              </w:rPr>
            </w:pPr>
          </w:p>
          <w:p w14:paraId="36833ACD">
            <w:pPr>
              <w:pStyle w:val="29"/>
              <w:adjustRightInd w:val="0"/>
              <w:snapToGrid w:val="0"/>
              <w:spacing w:before="0" w:beforeAutospacing="0" w:after="0" w:afterAutospacing="0"/>
              <w:jc w:val="center"/>
              <w:rPr>
                <w:rFonts w:cs="宋体"/>
                <w:color w:val="auto"/>
                <w:szCs w:val="24"/>
                <w:highlight w:val="none"/>
              </w:rPr>
            </w:pPr>
          </w:p>
          <w:p w14:paraId="6373A1EA">
            <w:pPr>
              <w:pStyle w:val="29"/>
              <w:adjustRightInd w:val="0"/>
              <w:snapToGrid w:val="0"/>
              <w:spacing w:before="0" w:beforeAutospacing="0" w:after="0" w:afterAutospacing="0"/>
              <w:jc w:val="center"/>
              <w:rPr>
                <w:rFonts w:cs="宋体"/>
                <w:color w:val="auto"/>
                <w:szCs w:val="24"/>
                <w:highlight w:val="none"/>
              </w:rPr>
            </w:pPr>
          </w:p>
          <w:p w14:paraId="661766DF">
            <w:pPr>
              <w:pStyle w:val="29"/>
              <w:adjustRightInd w:val="0"/>
              <w:snapToGrid w:val="0"/>
              <w:spacing w:before="0" w:beforeAutospacing="0" w:after="0" w:afterAutospacing="0"/>
              <w:jc w:val="center"/>
              <w:rPr>
                <w:rFonts w:cs="宋体"/>
                <w:color w:val="auto"/>
                <w:szCs w:val="24"/>
                <w:highlight w:val="none"/>
              </w:rPr>
            </w:pPr>
          </w:p>
          <w:p w14:paraId="2AD26330">
            <w:pPr>
              <w:pStyle w:val="29"/>
              <w:adjustRightInd w:val="0"/>
              <w:snapToGrid w:val="0"/>
              <w:spacing w:before="0" w:beforeAutospacing="0" w:after="0" w:afterAutospacing="0"/>
              <w:jc w:val="center"/>
              <w:rPr>
                <w:rFonts w:cs="宋体"/>
                <w:color w:val="auto"/>
                <w:szCs w:val="24"/>
                <w:highlight w:val="none"/>
              </w:rPr>
            </w:pPr>
          </w:p>
          <w:p w14:paraId="6433EAAC">
            <w:pPr>
              <w:pStyle w:val="29"/>
              <w:adjustRightInd w:val="0"/>
              <w:snapToGrid w:val="0"/>
              <w:spacing w:before="0" w:beforeAutospacing="0" w:after="0" w:afterAutospacing="0"/>
              <w:jc w:val="center"/>
              <w:rPr>
                <w:rFonts w:cs="宋体"/>
                <w:color w:val="auto"/>
                <w:szCs w:val="24"/>
                <w:highlight w:val="none"/>
              </w:rPr>
            </w:pPr>
          </w:p>
          <w:p w14:paraId="36BEB834">
            <w:pPr>
              <w:pStyle w:val="29"/>
              <w:adjustRightInd w:val="0"/>
              <w:snapToGrid w:val="0"/>
              <w:spacing w:before="0" w:beforeAutospacing="0" w:after="0" w:afterAutospacing="0"/>
              <w:jc w:val="center"/>
              <w:rPr>
                <w:rFonts w:cs="宋体"/>
                <w:color w:val="auto"/>
                <w:szCs w:val="24"/>
                <w:highlight w:val="none"/>
              </w:rPr>
            </w:pPr>
          </w:p>
          <w:p w14:paraId="4DAD760F">
            <w:pPr>
              <w:pStyle w:val="29"/>
              <w:adjustRightInd w:val="0"/>
              <w:snapToGrid w:val="0"/>
              <w:spacing w:before="0" w:beforeAutospacing="0" w:after="0" w:afterAutospacing="0"/>
              <w:jc w:val="center"/>
              <w:rPr>
                <w:rFonts w:cs="宋体"/>
                <w:color w:val="auto"/>
                <w:szCs w:val="24"/>
                <w:highlight w:val="none"/>
              </w:rPr>
            </w:pPr>
          </w:p>
          <w:p w14:paraId="12970F1E">
            <w:pPr>
              <w:pStyle w:val="29"/>
              <w:adjustRightInd w:val="0"/>
              <w:snapToGrid w:val="0"/>
              <w:spacing w:before="0" w:beforeAutospacing="0" w:after="0" w:afterAutospacing="0"/>
              <w:jc w:val="center"/>
              <w:rPr>
                <w:rFonts w:cs="宋体"/>
                <w:color w:val="auto"/>
                <w:szCs w:val="24"/>
                <w:highlight w:val="none"/>
              </w:rPr>
            </w:pPr>
            <w:r>
              <w:rPr>
                <w:rFonts w:hint="eastAsia" w:cs="宋体"/>
                <w:color w:val="auto"/>
                <w:szCs w:val="24"/>
                <w:highlight w:val="none"/>
              </w:rPr>
              <w:t>建设内容</w:t>
            </w:r>
          </w:p>
          <w:p w14:paraId="482BBA6E">
            <w:pPr>
              <w:pStyle w:val="29"/>
              <w:adjustRightInd w:val="0"/>
              <w:snapToGrid w:val="0"/>
              <w:spacing w:before="0" w:beforeAutospacing="0" w:after="0" w:afterAutospacing="0"/>
              <w:jc w:val="center"/>
              <w:rPr>
                <w:rFonts w:cs="宋体"/>
                <w:color w:val="auto"/>
                <w:szCs w:val="24"/>
                <w:highlight w:val="none"/>
              </w:rPr>
            </w:pPr>
          </w:p>
          <w:p w14:paraId="509BE135">
            <w:pPr>
              <w:pStyle w:val="29"/>
              <w:adjustRightInd w:val="0"/>
              <w:snapToGrid w:val="0"/>
              <w:spacing w:before="0" w:beforeAutospacing="0" w:after="0" w:afterAutospacing="0"/>
              <w:jc w:val="center"/>
              <w:rPr>
                <w:rFonts w:cs="宋体"/>
                <w:color w:val="auto"/>
                <w:szCs w:val="24"/>
                <w:highlight w:val="none"/>
              </w:rPr>
            </w:pPr>
          </w:p>
          <w:p w14:paraId="071B8087">
            <w:pPr>
              <w:pStyle w:val="29"/>
              <w:adjustRightInd w:val="0"/>
              <w:snapToGrid w:val="0"/>
              <w:spacing w:before="0" w:beforeAutospacing="0" w:after="0" w:afterAutospacing="0"/>
              <w:jc w:val="center"/>
              <w:rPr>
                <w:rFonts w:cs="宋体"/>
                <w:color w:val="auto"/>
                <w:szCs w:val="24"/>
                <w:highlight w:val="none"/>
              </w:rPr>
            </w:pPr>
          </w:p>
          <w:p w14:paraId="451E7F74">
            <w:pPr>
              <w:pStyle w:val="29"/>
              <w:adjustRightInd w:val="0"/>
              <w:snapToGrid w:val="0"/>
              <w:spacing w:before="0" w:beforeAutospacing="0" w:after="0" w:afterAutospacing="0"/>
              <w:jc w:val="both"/>
              <w:rPr>
                <w:rFonts w:cs="宋体"/>
                <w:color w:val="auto"/>
                <w:szCs w:val="24"/>
                <w:highlight w:val="none"/>
              </w:rPr>
            </w:pPr>
          </w:p>
          <w:p w14:paraId="3E0C58C3">
            <w:pPr>
              <w:pStyle w:val="29"/>
              <w:adjustRightInd w:val="0"/>
              <w:snapToGrid w:val="0"/>
              <w:spacing w:before="0" w:beforeAutospacing="0" w:after="0" w:afterAutospacing="0"/>
              <w:jc w:val="center"/>
              <w:rPr>
                <w:rFonts w:cs="宋体"/>
                <w:color w:val="auto"/>
                <w:szCs w:val="24"/>
                <w:highlight w:val="none"/>
              </w:rPr>
            </w:pPr>
          </w:p>
        </w:tc>
        <w:tc>
          <w:tcPr>
            <w:tcW w:w="8604" w:type="dxa"/>
          </w:tcPr>
          <w:p w14:paraId="7AB5FF96">
            <w:pPr>
              <w:spacing w:line="360" w:lineRule="auto"/>
              <w:ind w:firstLine="480" w:firstLineChars="200"/>
              <w:rPr>
                <w:color w:val="auto"/>
                <w:sz w:val="24"/>
                <w:szCs w:val="32"/>
                <w:highlight w:val="none"/>
              </w:rPr>
            </w:pPr>
            <w:r>
              <w:rPr>
                <w:rFonts w:hint="eastAsia"/>
                <w:color w:val="auto"/>
                <w:sz w:val="24"/>
                <w:szCs w:val="32"/>
                <w:highlight w:val="none"/>
              </w:rPr>
              <w:t>1、项目由来及组成</w:t>
            </w:r>
          </w:p>
          <w:p w14:paraId="331B1A06">
            <w:pPr>
              <w:spacing w:line="360" w:lineRule="auto"/>
              <w:ind w:firstLine="480" w:firstLineChars="200"/>
              <w:rPr>
                <w:color w:val="auto"/>
                <w:sz w:val="24"/>
                <w:szCs w:val="32"/>
                <w:highlight w:val="none"/>
              </w:rPr>
            </w:pPr>
            <w:r>
              <w:rPr>
                <w:rFonts w:hint="eastAsia"/>
                <w:color w:val="auto"/>
                <w:sz w:val="24"/>
                <w:szCs w:val="32"/>
                <w:highlight w:val="none"/>
              </w:rPr>
              <w:t>陕西大秦鹮农业科技有限公司成立于2018年，主要进行农作物及果蔬种植、食用农产品及农副产品加工生产和销售。</w:t>
            </w:r>
          </w:p>
          <w:p w14:paraId="31C22DD3">
            <w:pPr>
              <w:pStyle w:val="47"/>
              <w:rPr>
                <w:color w:val="auto"/>
                <w:highlight w:val="none"/>
              </w:rPr>
            </w:pPr>
            <w:r>
              <w:rPr>
                <w:rFonts w:hint="eastAsia" w:ascii="Times New Roman" w:hAnsi="Times New Roman"/>
                <w:color w:val="auto"/>
                <w:szCs w:val="32"/>
                <w:highlight w:val="none"/>
              </w:rPr>
              <w:t>为充分利用区域农副产品资源，</w:t>
            </w:r>
            <w:r>
              <w:rPr>
                <w:rFonts w:ascii="Times New Roman" w:hAnsi="Times New Roman"/>
                <w:color w:val="auto"/>
                <w:szCs w:val="32"/>
                <w:highlight w:val="none"/>
              </w:rPr>
              <w:t>陕西大秦鹮农业科技有限公司于2024年5月取得设施农用地备案确认书，</w:t>
            </w:r>
            <w:r>
              <w:rPr>
                <w:rFonts w:hint="eastAsia"/>
                <w:color w:val="auto"/>
                <w:szCs w:val="32"/>
                <w:highlight w:val="none"/>
              </w:rPr>
              <w:t>计划在洋县龙亭镇杨湾村投资建设“净菜、预制菜产业链项目”。</w:t>
            </w:r>
            <w:r>
              <w:rPr>
                <w:rFonts w:hint="eastAsia"/>
                <w:color w:val="auto"/>
                <w:sz w:val="24"/>
                <w:szCs w:val="32"/>
                <w:highlight w:val="none"/>
              </w:rPr>
              <w:t>经与建设单位负责人</w:t>
            </w:r>
            <w:r>
              <w:rPr>
                <w:rFonts w:hint="eastAsia"/>
                <w:color w:val="auto"/>
                <w:sz w:val="24"/>
                <w:szCs w:val="32"/>
                <w:highlight w:val="none"/>
                <w:lang w:eastAsia="zh-CN"/>
              </w:rPr>
              <w:t>核实</w:t>
            </w:r>
            <w:r>
              <w:rPr>
                <w:rFonts w:hint="eastAsia"/>
                <w:color w:val="auto"/>
                <w:sz w:val="24"/>
                <w:szCs w:val="32"/>
                <w:highlight w:val="none"/>
              </w:rPr>
              <w:t>，本次不进行“猕猴桃基地微喷设施建设”评价。</w:t>
            </w:r>
          </w:p>
          <w:p w14:paraId="0164C2BC">
            <w:pPr>
              <w:spacing w:line="360" w:lineRule="auto"/>
              <w:ind w:firstLine="480" w:firstLineChars="200"/>
              <w:rPr>
                <w:color w:val="auto"/>
                <w:sz w:val="24"/>
                <w:szCs w:val="32"/>
                <w:highlight w:val="none"/>
              </w:rPr>
            </w:pPr>
            <w:r>
              <w:rPr>
                <w:rFonts w:hint="eastAsia"/>
                <w:color w:val="auto"/>
                <w:sz w:val="24"/>
                <w:szCs w:val="32"/>
                <w:highlight w:val="none"/>
              </w:rPr>
              <w:t>2、</w:t>
            </w:r>
            <w:r>
              <w:rPr>
                <w:color w:val="auto"/>
                <w:sz w:val="24"/>
                <w:szCs w:val="32"/>
                <w:highlight w:val="none"/>
              </w:rPr>
              <w:t>项目组成</w:t>
            </w:r>
          </w:p>
          <w:p w14:paraId="118F59ED">
            <w:pPr>
              <w:snapToGrid w:val="0"/>
              <w:spacing w:line="360" w:lineRule="auto"/>
              <w:ind w:firstLine="480" w:firstLineChars="200"/>
              <w:rPr>
                <w:b/>
                <w:bCs/>
                <w:color w:val="auto"/>
                <w:szCs w:val="21"/>
                <w:highlight w:val="none"/>
              </w:rPr>
            </w:pPr>
            <w:r>
              <w:rPr>
                <w:rFonts w:hint="eastAsia"/>
                <w:color w:val="auto"/>
                <w:sz w:val="24"/>
                <w:szCs w:val="32"/>
                <w:highlight w:val="none"/>
              </w:rPr>
              <w:t>本项目厂区总占地2978.05m</w:t>
            </w:r>
            <w:r>
              <w:rPr>
                <w:rFonts w:hint="eastAsia"/>
                <w:color w:val="auto"/>
                <w:sz w:val="24"/>
                <w:szCs w:val="32"/>
                <w:highlight w:val="none"/>
                <w:vertAlign w:val="superscript"/>
              </w:rPr>
              <w:t>2</w:t>
            </w:r>
            <w:r>
              <w:rPr>
                <w:rFonts w:hint="eastAsia"/>
                <w:color w:val="auto"/>
                <w:sz w:val="24"/>
                <w:szCs w:val="32"/>
                <w:highlight w:val="none"/>
              </w:rPr>
              <w:t>，内部配套有生产厂房、冷库、成品区及办公生活区等，主要进行果蔬脆片、果蔬干和净菜的生产。</w:t>
            </w:r>
            <w:r>
              <w:rPr>
                <w:color w:val="auto"/>
                <w:sz w:val="24"/>
                <w:szCs w:val="32"/>
                <w:highlight w:val="none"/>
              </w:rPr>
              <w:t>具体组成及建设内容详见表2-</w:t>
            </w:r>
            <w:r>
              <w:rPr>
                <w:rFonts w:hint="eastAsia"/>
                <w:color w:val="auto"/>
                <w:sz w:val="24"/>
                <w:szCs w:val="32"/>
                <w:highlight w:val="none"/>
              </w:rPr>
              <w:t>1</w:t>
            </w:r>
            <w:r>
              <w:rPr>
                <w:color w:val="auto"/>
                <w:sz w:val="24"/>
                <w:szCs w:val="32"/>
                <w:highlight w:val="none"/>
              </w:rPr>
              <w:t>：</w:t>
            </w:r>
          </w:p>
          <w:p w14:paraId="43799258">
            <w:pPr>
              <w:pStyle w:val="46"/>
              <w:jc w:val="center"/>
              <w:rPr>
                <w:color w:val="auto"/>
                <w:sz w:val="21"/>
                <w:szCs w:val="21"/>
                <w:highlight w:val="none"/>
              </w:rPr>
            </w:pPr>
            <w:r>
              <w:rPr>
                <w:b/>
                <w:bCs/>
                <w:color w:val="auto"/>
                <w:sz w:val="21"/>
                <w:szCs w:val="21"/>
                <w:highlight w:val="none"/>
              </w:rPr>
              <w:t>表</w:t>
            </w:r>
            <w:r>
              <w:rPr>
                <w:rFonts w:hint="eastAsia" w:ascii="Times New Roman" w:cs="Times New Roman"/>
                <w:b/>
                <w:bCs/>
                <w:color w:val="auto"/>
                <w:kern w:val="2"/>
                <w:sz w:val="21"/>
                <w:szCs w:val="21"/>
                <w:highlight w:val="none"/>
              </w:rPr>
              <w:t xml:space="preserve">2-1 </w:t>
            </w:r>
            <w:r>
              <w:rPr>
                <w:b/>
                <w:bCs/>
                <w:color w:val="auto"/>
                <w:sz w:val="21"/>
                <w:szCs w:val="21"/>
                <w:highlight w:val="none"/>
              </w:rPr>
              <w:t xml:space="preserve"> 项目建设内容及</w:t>
            </w:r>
            <w:r>
              <w:rPr>
                <w:rFonts w:hint="eastAsia"/>
                <w:b/>
                <w:bCs/>
                <w:color w:val="auto"/>
                <w:sz w:val="21"/>
                <w:szCs w:val="21"/>
                <w:highlight w:val="none"/>
              </w:rPr>
              <w:t>组成情况</w:t>
            </w:r>
            <w:r>
              <w:rPr>
                <w:b/>
                <w:bCs/>
                <w:color w:val="auto"/>
                <w:sz w:val="21"/>
                <w:szCs w:val="21"/>
                <w:highlight w:val="none"/>
              </w:rPr>
              <w:t>一览表</w:t>
            </w:r>
          </w:p>
          <w:tbl>
            <w:tblPr>
              <w:tblStyle w:val="35"/>
              <w:tblW w:w="8462"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757"/>
              <w:gridCol w:w="1098"/>
              <w:gridCol w:w="6607"/>
            </w:tblGrid>
            <w:tr w14:paraId="7BB6E03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447" w:type="pct"/>
                  <w:vAlign w:val="center"/>
                </w:tcPr>
                <w:p w14:paraId="29F0169F">
                  <w:pPr>
                    <w:adjustRightInd w:val="0"/>
                    <w:snapToGrid w:val="0"/>
                    <w:jc w:val="center"/>
                    <w:rPr>
                      <w:bCs/>
                      <w:color w:val="auto"/>
                      <w:szCs w:val="21"/>
                      <w:highlight w:val="none"/>
                    </w:rPr>
                  </w:pPr>
                  <w:r>
                    <w:rPr>
                      <w:bCs/>
                      <w:color w:val="auto"/>
                      <w:szCs w:val="21"/>
                      <w:highlight w:val="none"/>
                      <w:lang w:bidi="ar"/>
                    </w:rPr>
                    <w:t>名称</w:t>
                  </w:r>
                </w:p>
              </w:tc>
              <w:tc>
                <w:tcPr>
                  <w:tcW w:w="4552" w:type="pct"/>
                  <w:gridSpan w:val="2"/>
                  <w:vAlign w:val="center"/>
                </w:tcPr>
                <w:p w14:paraId="7AA0890E">
                  <w:pPr>
                    <w:adjustRightInd w:val="0"/>
                    <w:snapToGrid w:val="0"/>
                    <w:jc w:val="center"/>
                    <w:rPr>
                      <w:bCs/>
                      <w:color w:val="auto"/>
                      <w:szCs w:val="21"/>
                      <w:highlight w:val="none"/>
                    </w:rPr>
                  </w:pPr>
                  <w:r>
                    <w:rPr>
                      <w:bCs/>
                      <w:color w:val="auto"/>
                      <w:szCs w:val="21"/>
                      <w:highlight w:val="none"/>
                      <w:lang w:bidi="ar"/>
                    </w:rPr>
                    <w:t>项目内容及规模</w:t>
                  </w:r>
                </w:p>
              </w:tc>
            </w:tr>
            <w:tr w14:paraId="18DF7BC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447" w:type="pct"/>
                  <w:vMerge w:val="restart"/>
                  <w:vAlign w:val="center"/>
                </w:tcPr>
                <w:p w14:paraId="31C54B45">
                  <w:pPr>
                    <w:adjustRightInd w:val="0"/>
                    <w:snapToGrid w:val="0"/>
                    <w:jc w:val="center"/>
                    <w:rPr>
                      <w:bCs/>
                      <w:color w:val="auto"/>
                      <w:szCs w:val="21"/>
                      <w:highlight w:val="none"/>
                    </w:rPr>
                  </w:pPr>
                  <w:r>
                    <w:rPr>
                      <w:bCs/>
                      <w:color w:val="auto"/>
                      <w:szCs w:val="21"/>
                      <w:highlight w:val="none"/>
                      <w:lang w:bidi="ar"/>
                    </w:rPr>
                    <w:t>主体</w:t>
                  </w:r>
                </w:p>
                <w:p w14:paraId="78E55813">
                  <w:pPr>
                    <w:adjustRightInd w:val="0"/>
                    <w:snapToGrid w:val="0"/>
                    <w:jc w:val="center"/>
                    <w:rPr>
                      <w:bCs/>
                      <w:color w:val="auto"/>
                      <w:szCs w:val="21"/>
                      <w:highlight w:val="none"/>
                    </w:rPr>
                  </w:pPr>
                  <w:r>
                    <w:rPr>
                      <w:bCs/>
                      <w:color w:val="auto"/>
                      <w:szCs w:val="21"/>
                      <w:highlight w:val="none"/>
                      <w:lang w:bidi="ar"/>
                    </w:rPr>
                    <w:t>工程</w:t>
                  </w:r>
                </w:p>
              </w:tc>
              <w:tc>
                <w:tcPr>
                  <w:tcW w:w="649" w:type="pct"/>
                  <w:vAlign w:val="center"/>
                </w:tcPr>
                <w:p w14:paraId="1170D215">
                  <w:pPr>
                    <w:adjustRightInd w:val="0"/>
                    <w:snapToGrid w:val="0"/>
                    <w:jc w:val="center"/>
                    <w:rPr>
                      <w:bCs/>
                      <w:color w:val="auto"/>
                      <w:szCs w:val="21"/>
                      <w:highlight w:val="none"/>
                      <w:lang w:bidi="ar"/>
                    </w:rPr>
                  </w:pPr>
                  <w:r>
                    <w:rPr>
                      <w:rFonts w:hint="eastAsia"/>
                      <w:bCs/>
                      <w:color w:val="auto"/>
                      <w:szCs w:val="21"/>
                      <w:highlight w:val="none"/>
                      <w:lang w:bidi="ar"/>
                    </w:rPr>
                    <w:t>生产</w:t>
                  </w:r>
                </w:p>
                <w:p w14:paraId="303828CD">
                  <w:pPr>
                    <w:adjustRightInd w:val="0"/>
                    <w:snapToGrid w:val="0"/>
                    <w:jc w:val="center"/>
                    <w:rPr>
                      <w:bCs/>
                      <w:color w:val="auto"/>
                      <w:szCs w:val="21"/>
                      <w:highlight w:val="none"/>
                    </w:rPr>
                  </w:pPr>
                  <w:r>
                    <w:rPr>
                      <w:rFonts w:hint="eastAsia"/>
                      <w:bCs/>
                      <w:color w:val="auto"/>
                      <w:szCs w:val="21"/>
                      <w:highlight w:val="none"/>
                      <w:lang w:bidi="ar"/>
                    </w:rPr>
                    <w:t>厂房</w:t>
                  </w:r>
                </w:p>
              </w:tc>
              <w:tc>
                <w:tcPr>
                  <w:tcW w:w="3902" w:type="pct"/>
                  <w:vAlign w:val="center"/>
                </w:tcPr>
                <w:p w14:paraId="75820AA6">
                  <w:pPr>
                    <w:adjustRightInd w:val="0"/>
                    <w:snapToGrid w:val="0"/>
                    <w:rPr>
                      <w:bCs/>
                      <w:color w:val="auto"/>
                      <w:szCs w:val="21"/>
                      <w:highlight w:val="none"/>
                    </w:rPr>
                  </w:pPr>
                  <w:r>
                    <w:rPr>
                      <w:rFonts w:hint="eastAsia"/>
                      <w:bCs/>
                      <w:color w:val="auto"/>
                      <w:szCs w:val="21"/>
                      <w:highlight w:val="none"/>
                      <w:lang w:bidi="ar"/>
                    </w:rPr>
                    <w:t>位于厂区</w:t>
                  </w:r>
                  <w:r>
                    <w:rPr>
                      <w:rFonts w:hint="eastAsia"/>
                      <w:bCs/>
                      <w:color w:val="auto"/>
                      <w:szCs w:val="21"/>
                      <w:highlight w:val="none"/>
                      <w:lang w:eastAsia="zh-CN" w:bidi="ar"/>
                    </w:rPr>
                    <w:t>内</w:t>
                  </w:r>
                  <w:r>
                    <w:rPr>
                      <w:rFonts w:hint="eastAsia"/>
                      <w:bCs/>
                      <w:color w:val="auto"/>
                      <w:szCs w:val="21"/>
                      <w:highlight w:val="none"/>
                      <w:lang w:bidi="ar"/>
                    </w:rPr>
                    <w:t>南侧，占地约1200m</w:t>
                  </w:r>
                  <w:r>
                    <w:rPr>
                      <w:rFonts w:hint="eastAsia"/>
                      <w:bCs/>
                      <w:color w:val="auto"/>
                      <w:szCs w:val="21"/>
                      <w:highlight w:val="none"/>
                      <w:vertAlign w:val="superscript"/>
                      <w:lang w:bidi="ar"/>
                    </w:rPr>
                    <w:t>2</w:t>
                  </w:r>
                  <w:r>
                    <w:rPr>
                      <w:rFonts w:hint="eastAsia"/>
                      <w:bCs/>
                      <w:color w:val="auto"/>
                      <w:szCs w:val="21"/>
                      <w:highlight w:val="none"/>
                      <w:lang w:bidi="ar"/>
                    </w:rPr>
                    <w:t>，1F，封闭钢结构。内部包含果蔬脆片、果蔬干、净菜生产线，配备挑选台、切片机、清洗机、油炸机、摊晾平台等，计划年产果蔬脆片60t/a、果蔬干500t/a、净菜1000t/a。</w:t>
                  </w:r>
                </w:p>
              </w:tc>
            </w:tr>
            <w:tr w14:paraId="4C50C1D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447" w:type="pct"/>
                  <w:vMerge w:val="continue"/>
                  <w:vAlign w:val="center"/>
                </w:tcPr>
                <w:p w14:paraId="509BD29D">
                  <w:pPr>
                    <w:adjustRightInd w:val="0"/>
                    <w:snapToGrid w:val="0"/>
                    <w:jc w:val="center"/>
                    <w:rPr>
                      <w:bCs/>
                      <w:color w:val="auto"/>
                      <w:szCs w:val="21"/>
                      <w:highlight w:val="none"/>
                      <w:lang w:bidi="ar"/>
                    </w:rPr>
                  </w:pPr>
                </w:p>
              </w:tc>
              <w:tc>
                <w:tcPr>
                  <w:tcW w:w="649" w:type="pct"/>
                  <w:vAlign w:val="center"/>
                </w:tcPr>
                <w:p w14:paraId="04EBA4A9">
                  <w:pPr>
                    <w:adjustRightInd w:val="0"/>
                    <w:snapToGrid w:val="0"/>
                    <w:jc w:val="center"/>
                    <w:rPr>
                      <w:bCs/>
                      <w:color w:val="auto"/>
                      <w:szCs w:val="21"/>
                      <w:highlight w:val="none"/>
                      <w:lang w:bidi="ar"/>
                    </w:rPr>
                  </w:pPr>
                  <w:r>
                    <w:rPr>
                      <w:rFonts w:hint="eastAsia"/>
                      <w:bCs/>
                      <w:color w:val="auto"/>
                      <w:szCs w:val="21"/>
                      <w:highlight w:val="none"/>
                      <w:lang w:bidi="ar"/>
                    </w:rPr>
                    <w:t>成品库房</w:t>
                  </w:r>
                </w:p>
              </w:tc>
              <w:tc>
                <w:tcPr>
                  <w:tcW w:w="3902" w:type="pct"/>
                  <w:vAlign w:val="center"/>
                </w:tcPr>
                <w:p w14:paraId="5F188FC8">
                  <w:pPr>
                    <w:adjustRightInd w:val="0"/>
                    <w:snapToGrid w:val="0"/>
                    <w:rPr>
                      <w:bCs/>
                      <w:color w:val="auto"/>
                      <w:szCs w:val="21"/>
                      <w:highlight w:val="none"/>
                      <w:lang w:bidi="ar"/>
                    </w:rPr>
                  </w:pPr>
                  <w:r>
                    <w:rPr>
                      <w:rFonts w:hint="eastAsia"/>
                      <w:bCs/>
                      <w:color w:val="auto"/>
                      <w:szCs w:val="21"/>
                      <w:highlight w:val="none"/>
                      <w:lang w:bidi="ar"/>
                    </w:rPr>
                    <w:t>位于厂区</w:t>
                  </w:r>
                  <w:r>
                    <w:rPr>
                      <w:rFonts w:hint="eastAsia"/>
                      <w:bCs/>
                      <w:color w:val="auto"/>
                      <w:szCs w:val="21"/>
                      <w:highlight w:val="none"/>
                      <w:lang w:eastAsia="zh-CN" w:bidi="ar"/>
                    </w:rPr>
                    <w:t>内北</w:t>
                  </w:r>
                  <w:r>
                    <w:rPr>
                      <w:rFonts w:hint="eastAsia"/>
                      <w:bCs/>
                      <w:color w:val="auto"/>
                      <w:szCs w:val="21"/>
                      <w:highlight w:val="none"/>
                      <w:lang w:bidi="ar"/>
                    </w:rPr>
                    <w:t>侧，占地约200m</w:t>
                  </w:r>
                  <w:r>
                    <w:rPr>
                      <w:rFonts w:hint="eastAsia"/>
                      <w:bCs/>
                      <w:color w:val="auto"/>
                      <w:szCs w:val="21"/>
                      <w:highlight w:val="none"/>
                      <w:vertAlign w:val="superscript"/>
                      <w:lang w:bidi="ar"/>
                    </w:rPr>
                    <w:t>2</w:t>
                  </w:r>
                  <w:r>
                    <w:rPr>
                      <w:rFonts w:hint="eastAsia"/>
                      <w:bCs/>
                      <w:color w:val="auto"/>
                      <w:szCs w:val="21"/>
                      <w:highlight w:val="none"/>
                      <w:lang w:bidi="ar"/>
                    </w:rPr>
                    <w:t>，1F，砖混结构，主要用于成品蔬脆片、果蔬干、净菜的贮存。</w:t>
                  </w:r>
                </w:p>
              </w:tc>
            </w:tr>
            <w:tr w14:paraId="00526B4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447" w:type="pct"/>
                  <w:vMerge w:val="continue"/>
                  <w:vAlign w:val="center"/>
                </w:tcPr>
                <w:p w14:paraId="51289125">
                  <w:pPr>
                    <w:adjustRightInd w:val="0"/>
                    <w:snapToGrid w:val="0"/>
                    <w:jc w:val="center"/>
                    <w:rPr>
                      <w:bCs/>
                      <w:color w:val="auto"/>
                      <w:szCs w:val="21"/>
                      <w:highlight w:val="none"/>
                      <w:lang w:bidi="ar"/>
                    </w:rPr>
                  </w:pPr>
                </w:p>
              </w:tc>
              <w:tc>
                <w:tcPr>
                  <w:tcW w:w="649" w:type="pct"/>
                  <w:vAlign w:val="center"/>
                </w:tcPr>
                <w:p w14:paraId="1C551BF3">
                  <w:pPr>
                    <w:adjustRightInd w:val="0"/>
                    <w:snapToGrid w:val="0"/>
                    <w:jc w:val="center"/>
                    <w:rPr>
                      <w:bCs/>
                      <w:color w:val="auto"/>
                      <w:szCs w:val="21"/>
                      <w:highlight w:val="none"/>
                      <w:lang w:bidi="ar"/>
                    </w:rPr>
                  </w:pPr>
                  <w:r>
                    <w:rPr>
                      <w:rFonts w:hint="eastAsia"/>
                      <w:bCs/>
                      <w:color w:val="auto"/>
                      <w:szCs w:val="21"/>
                      <w:highlight w:val="none"/>
                      <w:lang w:bidi="ar"/>
                    </w:rPr>
                    <w:t>冷库（原料库房）</w:t>
                  </w:r>
                </w:p>
              </w:tc>
              <w:tc>
                <w:tcPr>
                  <w:tcW w:w="3902" w:type="pct"/>
                  <w:vAlign w:val="center"/>
                </w:tcPr>
                <w:p w14:paraId="081DF526">
                  <w:pPr>
                    <w:adjustRightInd w:val="0"/>
                    <w:snapToGrid w:val="0"/>
                    <w:rPr>
                      <w:bCs/>
                      <w:color w:val="auto"/>
                      <w:szCs w:val="21"/>
                      <w:highlight w:val="none"/>
                      <w:lang w:bidi="ar"/>
                    </w:rPr>
                  </w:pPr>
                  <w:r>
                    <w:rPr>
                      <w:rFonts w:hint="eastAsia"/>
                      <w:bCs/>
                      <w:color w:val="auto"/>
                      <w:szCs w:val="21"/>
                      <w:highlight w:val="none"/>
                      <w:lang w:bidi="ar"/>
                    </w:rPr>
                    <w:t>位于厂区</w:t>
                  </w:r>
                  <w:r>
                    <w:rPr>
                      <w:rFonts w:hint="eastAsia"/>
                      <w:bCs/>
                      <w:color w:val="auto"/>
                      <w:szCs w:val="21"/>
                      <w:highlight w:val="none"/>
                      <w:lang w:eastAsia="zh-CN" w:bidi="ar"/>
                    </w:rPr>
                    <w:t>内</w:t>
                  </w:r>
                  <w:r>
                    <w:rPr>
                      <w:rFonts w:hint="eastAsia"/>
                      <w:bCs/>
                      <w:color w:val="auto"/>
                      <w:szCs w:val="21"/>
                      <w:highlight w:val="none"/>
                      <w:lang w:bidi="ar"/>
                    </w:rPr>
                    <w:t>西南角，占地约200m</w:t>
                  </w:r>
                  <w:r>
                    <w:rPr>
                      <w:rFonts w:hint="eastAsia"/>
                      <w:bCs/>
                      <w:color w:val="auto"/>
                      <w:szCs w:val="21"/>
                      <w:highlight w:val="none"/>
                      <w:vertAlign w:val="superscript"/>
                      <w:lang w:bidi="ar"/>
                    </w:rPr>
                    <w:t>2</w:t>
                  </w:r>
                  <w:r>
                    <w:rPr>
                      <w:rFonts w:hint="eastAsia"/>
                      <w:bCs/>
                      <w:color w:val="auto"/>
                      <w:szCs w:val="21"/>
                      <w:highlight w:val="none"/>
                      <w:lang w:bidi="ar"/>
                    </w:rPr>
                    <w:t>，1F，封闭钢结构，主要用于堆存外购的果蔬原料。</w:t>
                  </w:r>
                </w:p>
              </w:tc>
            </w:tr>
            <w:tr w14:paraId="76010C5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447" w:type="pct"/>
                  <w:vMerge w:val="continue"/>
                  <w:tcBorders>
                    <w:bottom w:val="single" w:color="auto" w:sz="4" w:space="0"/>
                  </w:tcBorders>
                  <w:vAlign w:val="center"/>
                </w:tcPr>
                <w:p w14:paraId="74EB4129">
                  <w:pPr>
                    <w:adjustRightInd w:val="0"/>
                    <w:snapToGrid w:val="0"/>
                    <w:jc w:val="center"/>
                    <w:rPr>
                      <w:bCs/>
                      <w:color w:val="auto"/>
                      <w:szCs w:val="21"/>
                      <w:highlight w:val="none"/>
                      <w:lang w:bidi="ar"/>
                    </w:rPr>
                  </w:pPr>
                </w:p>
              </w:tc>
              <w:tc>
                <w:tcPr>
                  <w:tcW w:w="649" w:type="pct"/>
                  <w:tcBorders>
                    <w:bottom w:val="single" w:color="auto" w:sz="4" w:space="0"/>
                  </w:tcBorders>
                  <w:vAlign w:val="center"/>
                </w:tcPr>
                <w:p w14:paraId="002FBA16">
                  <w:pPr>
                    <w:adjustRightInd w:val="0"/>
                    <w:snapToGrid w:val="0"/>
                    <w:jc w:val="center"/>
                    <w:rPr>
                      <w:bCs/>
                      <w:color w:val="auto"/>
                      <w:szCs w:val="21"/>
                      <w:highlight w:val="none"/>
                      <w:lang w:bidi="ar"/>
                    </w:rPr>
                  </w:pPr>
                  <w:r>
                    <w:rPr>
                      <w:rFonts w:hint="eastAsia"/>
                      <w:bCs/>
                      <w:color w:val="auto"/>
                      <w:szCs w:val="21"/>
                      <w:highlight w:val="none"/>
                      <w:lang w:bidi="ar"/>
                    </w:rPr>
                    <w:t>包装区</w:t>
                  </w:r>
                </w:p>
              </w:tc>
              <w:tc>
                <w:tcPr>
                  <w:tcW w:w="3902" w:type="pct"/>
                  <w:vAlign w:val="center"/>
                </w:tcPr>
                <w:p w14:paraId="420286FA">
                  <w:pPr>
                    <w:adjustRightInd w:val="0"/>
                    <w:snapToGrid w:val="0"/>
                    <w:rPr>
                      <w:bCs/>
                      <w:color w:val="auto"/>
                      <w:szCs w:val="21"/>
                      <w:highlight w:val="none"/>
                      <w:lang w:bidi="ar"/>
                    </w:rPr>
                  </w:pPr>
                  <w:r>
                    <w:rPr>
                      <w:rFonts w:hint="eastAsia"/>
                      <w:bCs/>
                      <w:color w:val="auto"/>
                      <w:szCs w:val="21"/>
                      <w:highlight w:val="none"/>
                      <w:lang w:bidi="ar"/>
                    </w:rPr>
                    <w:t>位于厂区</w:t>
                  </w:r>
                  <w:r>
                    <w:rPr>
                      <w:rFonts w:hint="eastAsia"/>
                      <w:bCs/>
                      <w:color w:val="auto"/>
                      <w:szCs w:val="21"/>
                      <w:highlight w:val="none"/>
                      <w:lang w:eastAsia="zh-CN" w:bidi="ar"/>
                    </w:rPr>
                    <w:t>内</w:t>
                  </w:r>
                  <w:r>
                    <w:rPr>
                      <w:rFonts w:hint="eastAsia"/>
                      <w:bCs/>
                      <w:color w:val="auto"/>
                      <w:szCs w:val="21"/>
                      <w:highlight w:val="none"/>
                      <w:lang w:bidi="ar"/>
                    </w:rPr>
                    <w:t>西侧，占地约300m</w:t>
                  </w:r>
                  <w:r>
                    <w:rPr>
                      <w:rFonts w:hint="eastAsia"/>
                      <w:bCs/>
                      <w:color w:val="auto"/>
                      <w:szCs w:val="21"/>
                      <w:highlight w:val="none"/>
                      <w:vertAlign w:val="superscript"/>
                      <w:lang w:bidi="ar"/>
                    </w:rPr>
                    <w:t>2</w:t>
                  </w:r>
                  <w:r>
                    <w:rPr>
                      <w:rFonts w:hint="eastAsia"/>
                      <w:bCs/>
                      <w:color w:val="auto"/>
                      <w:szCs w:val="21"/>
                      <w:highlight w:val="none"/>
                      <w:lang w:bidi="ar"/>
                    </w:rPr>
                    <w:t>，1F，封闭钢结构。分为内包装和外包装区，主要针对检验合格的成品进行包装和暂存。</w:t>
                  </w:r>
                </w:p>
              </w:tc>
            </w:tr>
            <w:tr w14:paraId="14317E6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447" w:type="pct"/>
                  <w:vMerge w:val="restart"/>
                  <w:tcBorders>
                    <w:top w:val="single" w:color="auto" w:sz="4" w:space="0"/>
                  </w:tcBorders>
                  <w:vAlign w:val="center"/>
                </w:tcPr>
                <w:p w14:paraId="214481CA">
                  <w:pPr>
                    <w:jc w:val="center"/>
                    <w:rPr>
                      <w:color w:val="auto"/>
                      <w:szCs w:val="21"/>
                      <w:highlight w:val="none"/>
                    </w:rPr>
                  </w:pPr>
                  <w:r>
                    <w:rPr>
                      <w:rFonts w:hint="eastAsia"/>
                      <w:color w:val="auto"/>
                      <w:szCs w:val="21"/>
                      <w:highlight w:val="none"/>
                    </w:rPr>
                    <w:t>辅助工程</w:t>
                  </w:r>
                </w:p>
              </w:tc>
              <w:tc>
                <w:tcPr>
                  <w:tcW w:w="649" w:type="pct"/>
                  <w:tcBorders>
                    <w:top w:val="single" w:color="auto" w:sz="4" w:space="0"/>
                  </w:tcBorders>
                  <w:vAlign w:val="center"/>
                </w:tcPr>
                <w:p w14:paraId="5C33DDCD">
                  <w:pPr>
                    <w:adjustRightInd w:val="0"/>
                    <w:snapToGrid w:val="0"/>
                    <w:jc w:val="center"/>
                    <w:rPr>
                      <w:bCs/>
                      <w:color w:val="auto"/>
                      <w:szCs w:val="21"/>
                      <w:highlight w:val="none"/>
                      <w:lang w:bidi="ar"/>
                    </w:rPr>
                  </w:pPr>
                  <w:r>
                    <w:rPr>
                      <w:rFonts w:hint="eastAsia"/>
                      <w:bCs/>
                      <w:color w:val="auto"/>
                      <w:szCs w:val="21"/>
                      <w:highlight w:val="none"/>
                      <w:lang w:bidi="ar"/>
                    </w:rPr>
                    <w:t>生活</w:t>
                  </w:r>
                </w:p>
                <w:p w14:paraId="4CD0DCE2">
                  <w:pPr>
                    <w:adjustRightInd w:val="0"/>
                    <w:snapToGrid w:val="0"/>
                    <w:jc w:val="center"/>
                    <w:rPr>
                      <w:bCs/>
                      <w:color w:val="auto"/>
                      <w:szCs w:val="21"/>
                      <w:highlight w:val="none"/>
                      <w:lang w:bidi="ar"/>
                    </w:rPr>
                  </w:pPr>
                  <w:r>
                    <w:rPr>
                      <w:rFonts w:hint="eastAsia"/>
                      <w:bCs/>
                      <w:color w:val="auto"/>
                      <w:szCs w:val="21"/>
                      <w:highlight w:val="none"/>
                      <w:lang w:bidi="ar"/>
                    </w:rPr>
                    <w:t>休息区</w:t>
                  </w:r>
                </w:p>
              </w:tc>
              <w:tc>
                <w:tcPr>
                  <w:tcW w:w="3902" w:type="pct"/>
                  <w:vAlign w:val="center"/>
                </w:tcPr>
                <w:p w14:paraId="03B6BB06">
                  <w:pPr>
                    <w:adjustRightInd w:val="0"/>
                    <w:snapToGrid w:val="0"/>
                    <w:rPr>
                      <w:bCs/>
                      <w:color w:val="auto"/>
                      <w:szCs w:val="21"/>
                      <w:highlight w:val="none"/>
                    </w:rPr>
                  </w:pPr>
                  <w:r>
                    <w:rPr>
                      <w:rFonts w:hint="eastAsia"/>
                      <w:bCs/>
                      <w:color w:val="auto"/>
                      <w:szCs w:val="21"/>
                      <w:highlight w:val="none"/>
                      <w:lang w:bidi="ar"/>
                    </w:rPr>
                    <w:t>位于厂区</w:t>
                  </w:r>
                  <w:r>
                    <w:rPr>
                      <w:rFonts w:hint="eastAsia"/>
                      <w:bCs/>
                      <w:color w:val="auto"/>
                      <w:szCs w:val="21"/>
                      <w:highlight w:val="none"/>
                      <w:lang w:eastAsia="zh-CN" w:bidi="ar"/>
                    </w:rPr>
                    <w:t>内</w:t>
                  </w:r>
                  <w:r>
                    <w:rPr>
                      <w:rFonts w:hint="eastAsia"/>
                      <w:bCs/>
                      <w:color w:val="auto"/>
                      <w:szCs w:val="21"/>
                      <w:highlight w:val="none"/>
                      <w:lang w:bidi="ar"/>
                    </w:rPr>
                    <w:t>北侧，占地约100</w:t>
                  </w:r>
                  <w:r>
                    <w:rPr>
                      <w:bCs/>
                      <w:color w:val="auto"/>
                      <w:szCs w:val="21"/>
                      <w:highlight w:val="none"/>
                      <w:lang w:bidi="ar"/>
                    </w:rPr>
                    <w:t>m</w:t>
                  </w:r>
                  <w:r>
                    <w:rPr>
                      <w:bCs/>
                      <w:color w:val="auto"/>
                      <w:szCs w:val="21"/>
                      <w:highlight w:val="none"/>
                      <w:vertAlign w:val="superscript"/>
                      <w:lang w:bidi="ar"/>
                    </w:rPr>
                    <w:t>2</w:t>
                  </w:r>
                  <w:r>
                    <w:rPr>
                      <w:rFonts w:hint="eastAsia"/>
                      <w:bCs/>
                      <w:color w:val="auto"/>
                      <w:szCs w:val="21"/>
                      <w:highlight w:val="none"/>
                      <w:lang w:bidi="ar"/>
                    </w:rPr>
                    <w:t>，砖混结构，1F，主要用于员工日常生活和休息。</w:t>
                  </w:r>
                </w:p>
              </w:tc>
            </w:tr>
            <w:tr w14:paraId="27AD366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04" w:hRule="atLeast"/>
                <w:jc w:val="center"/>
              </w:trPr>
              <w:tc>
                <w:tcPr>
                  <w:tcW w:w="447" w:type="pct"/>
                  <w:vMerge w:val="continue"/>
                  <w:vAlign w:val="center"/>
                </w:tcPr>
                <w:p w14:paraId="49CA986C">
                  <w:pPr>
                    <w:rPr>
                      <w:color w:val="auto"/>
                      <w:sz w:val="20"/>
                      <w:szCs w:val="20"/>
                      <w:highlight w:val="none"/>
                    </w:rPr>
                  </w:pPr>
                </w:p>
              </w:tc>
              <w:tc>
                <w:tcPr>
                  <w:tcW w:w="649" w:type="pct"/>
                  <w:vAlign w:val="center"/>
                </w:tcPr>
                <w:p w14:paraId="7C4635C2">
                  <w:pPr>
                    <w:adjustRightInd w:val="0"/>
                    <w:snapToGrid w:val="0"/>
                    <w:jc w:val="center"/>
                    <w:rPr>
                      <w:bCs/>
                      <w:color w:val="auto"/>
                      <w:szCs w:val="21"/>
                      <w:highlight w:val="none"/>
                    </w:rPr>
                  </w:pPr>
                  <w:r>
                    <w:rPr>
                      <w:rFonts w:hint="eastAsia"/>
                      <w:bCs/>
                      <w:color w:val="auto"/>
                      <w:szCs w:val="21"/>
                      <w:highlight w:val="none"/>
                      <w:lang w:bidi="ar"/>
                    </w:rPr>
                    <w:t>食堂</w:t>
                  </w:r>
                </w:p>
              </w:tc>
              <w:tc>
                <w:tcPr>
                  <w:tcW w:w="3902" w:type="pct"/>
                  <w:vAlign w:val="center"/>
                </w:tcPr>
                <w:p w14:paraId="2C893B1B">
                  <w:pPr>
                    <w:adjustRightInd w:val="0"/>
                    <w:snapToGrid w:val="0"/>
                    <w:jc w:val="left"/>
                    <w:rPr>
                      <w:bCs/>
                      <w:color w:val="auto"/>
                      <w:szCs w:val="21"/>
                      <w:highlight w:val="none"/>
                    </w:rPr>
                  </w:pPr>
                  <w:r>
                    <w:rPr>
                      <w:rFonts w:hint="eastAsia"/>
                      <w:bCs/>
                      <w:color w:val="auto"/>
                      <w:szCs w:val="21"/>
                      <w:highlight w:val="none"/>
                      <w:lang w:bidi="ar"/>
                    </w:rPr>
                    <w:t>位于生活办公区西侧，占地约10</w:t>
                  </w:r>
                  <w:r>
                    <w:rPr>
                      <w:bCs/>
                      <w:color w:val="auto"/>
                      <w:szCs w:val="21"/>
                      <w:highlight w:val="none"/>
                      <w:lang w:bidi="ar"/>
                    </w:rPr>
                    <w:t>m</w:t>
                  </w:r>
                  <w:r>
                    <w:rPr>
                      <w:bCs/>
                      <w:color w:val="auto"/>
                      <w:szCs w:val="21"/>
                      <w:highlight w:val="none"/>
                      <w:vertAlign w:val="superscript"/>
                      <w:lang w:bidi="ar"/>
                    </w:rPr>
                    <w:t>2</w:t>
                  </w:r>
                  <w:r>
                    <w:rPr>
                      <w:rFonts w:hint="eastAsia"/>
                      <w:bCs/>
                      <w:color w:val="auto"/>
                      <w:szCs w:val="21"/>
                      <w:highlight w:val="none"/>
                      <w:lang w:bidi="ar"/>
                    </w:rPr>
                    <w:t>，砖混结构，1F，用于员工就餐</w:t>
                  </w:r>
                  <w:r>
                    <w:rPr>
                      <w:rFonts w:hint="eastAsia"/>
                      <w:bCs/>
                      <w:color w:val="auto"/>
                      <w:szCs w:val="21"/>
                      <w:highlight w:val="none"/>
                    </w:rPr>
                    <w:t>。</w:t>
                  </w:r>
                </w:p>
              </w:tc>
            </w:tr>
            <w:tr w14:paraId="506FA47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447" w:type="pct"/>
                  <w:vMerge w:val="continue"/>
                  <w:vAlign w:val="center"/>
                </w:tcPr>
                <w:p w14:paraId="3B0BEA3A">
                  <w:pPr>
                    <w:rPr>
                      <w:color w:val="auto"/>
                      <w:sz w:val="20"/>
                      <w:szCs w:val="20"/>
                      <w:highlight w:val="none"/>
                    </w:rPr>
                  </w:pPr>
                </w:p>
              </w:tc>
              <w:tc>
                <w:tcPr>
                  <w:tcW w:w="649" w:type="pct"/>
                  <w:vAlign w:val="center"/>
                </w:tcPr>
                <w:p w14:paraId="53257562">
                  <w:pPr>
                    <w:adjustRightInd w:val="0"/>
                    <w:snapToGrid w:val="0"/>
                    <w:jc w:val="center"/>
                    <w:rPr>
                      <w:bCs/>
                      <w:color w:val="auto"/>
                      <w:szCs w:val="21"/>
                      <w:highlight w:val="none"/>
                      <w:lang w:bidi="ar"/>
                    </w:rPr>
                  </w:pPr>
                  <w:r>
                    <w:rPr>
                      <w:rFonts w:hint="eastAsia"/>
                      <w:bCs/>
                      <w:color w:val="auto"/>
                      <w:szCs w:val="21"/>
                      <w:highlight w:val="none"/>
                      <w:lang w:bidi="ar"/>
                    </w:rPr>
                    <w:t>材料</w:t>
                  </w:r>
                </w:p>
                <w:p w14:paraId="5F1500EC">
                  <w:pPr>
                    <w:adjustRightInd w:val="0"/>
                    <w:snapToGrid w:val="0"/>
                    <w:jc w:val="center"/>
                    <w:rPr>
                      <w:bCs/>
                      <w:color w:val="auto"/>
                      <w:szCs w:val="21"/>
                      <w:highlight w:val="none"/>
                      <w:lang w:bidi="ar"/>
                    </w:rPr>
                  </w:pPr>
                  <w:r>
                    <w:rPr>
                      <w:rFonts w:hint="eastAsia"/>
                      <w:bCs/>
                      <w:color w:val="auto"/>
                      <w:szCs w:val="21"/>
                      <w:highlight w:val="none"/>
                      <w:lang w:bidi="ar"/>
                    </w:rPr>
                    <w:t>暂存区</w:t>
                  </w:r>
                </w:p>
              </w:tc>
              <w:tc>
                <w:tcPr>
                  <w:tcW w:w="3902" w:type="pct"/>
                  <w:vAlign w:val="center"/>
                </w:tcPr>
                <w:p w14:paraId="43D15326">
                  <w:pPr>
                    <w:adjustRightInd w:val="0"/>
                    <w:snapToGrid w:val="0"/>
                    <w:jc w:val="left"/>
                    <w:rPr>
                      <w:bCs/>
                      <w:color w:val="auto"/>
                      <w:szCs w:val="21"/>
                      <w:highlight w:val="none"/>
                      <w:lang w:bidi="ar"/>
                    </w:rPr>
                  </w:pPr>
                  <w:r>
                    <w:rPr>
                      <w:rFonts w:hint="eastAsia"/>
                      <w:bCs/>
                      <w:color w:val="auto"/>
                      <w:szCs w:val="21"/>
                      <w:highlight w:val="none"/>
                      <w:lang w:bidi="ar"/>
                    </w:rPr>
                    <w:t>位于食堂西侧，砖混结构，1F，主要暂存包装辅材和废弃包装袋</w:t>
                  </w:r>
                  <w:r>
                    <w:rPr>
                      <w:rFonts w:hint="eastAsia"/>
                      <w:bCs/>
                      <w:color w:val="auto"/>
                      <w:szCs w:val="21"/>
                      <w:highlight w:val="none"/>
                    </w:rPr>
                    <w:t>。</w:t>
                  </w:r>
                </w:p>
              </w:tc>
            </w:tr>
            <w:tr w14:paraId="399C1E7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71" w:hRule="atLeast"/>
                <w:jc w:val="center"/>
              </w:trPr>
              <w:tc>
                <w:tcPr>
                  <w:tcW w:w="447" w:type="pct"/>
                  <w:vMerge w:val="restart"/>
                  <w:vAlign w:val="center"/>
                </w:tcPr>
                <w:p w14:paraId="6605EE0E">
                  <w:pPr>
                    <w:adjustRightInd w:val="0"/>
                    <w:snapToGrid w:val="0"/>
                    <w:jc w:val="center"/>
                    <w:rPr>
                      <w:bCs/>
                      <w:color w:val="auto"/>
                      <w:szCs w:val="21"/>
                      <w:highlight w:val="none"/>
                    </w:rPr>
                  </w:pPr>
                  <w:r>
                    <w:rPr>
                      <w:bCs/>
                      <w:color w:val="auto"/>
                      <w:szCs w:val="21"/>
                      <w:highlight w:val="none"/>
                      <w:lang w:bidi="ar"/>
                    </w:rPr>
                    <w:t>公用</w:t>
                  </w:r>
                </w:p>
                <w:p w14:paraId="0C8A7418">
                  <w:pPr>
                    <w:adjustRightInd w:val="0"/>
                    <w:snapToGrid w:val="0"/>
                    <w:jc w:val="center"/>
                    <w:rPr>
                      <w:bCs/>
                      <w:color w:val="auto"/>
                      <w:szCs w:val="21"/>
                      <w:highlight w:val="none"/>
                    </w:rPr>
                  </w:pPr>
                  <w:r>
                    <w:rPr>
                      <w:bCs/>
                      <w:color w:val="auto"/>
                      <w:szCs w:val="21"/>
                      <w:highlight w:val="none"/>
                      <w:lang w:bidi="ar"/>
                    </w:rPr>
                    <w:t>工程</w:t>
                  </w:r>
                </w:p>
              </w:tc>
              <w:tc>
                <w:tcPr>
                  <w:tcW w:w="649" w:type="pct"/>
                  <w:vAlign w:val="center"/>
                </w:tcPr>
                <w:p w14:paraId="36946A80">
                  <w:pPr>
                    <w:adjustRightInd w:val="0"/>
                    <w:snapToGrid w:val="0"/>
                    <w:jc w:val="center"/>
                    <w:rPr>
                      <w:bCs/>
                      <w:color w:val="auto"/>
                      <w:szCs w:val="21"/>
                      <w:highlight w:val="none"/>
                      <w:lang w:bidi="ar"/>
                    </w:rPr>
                  </w:pPr>
                  <w:r>
                    <w:rPr>
                      <w:rFonts w:hint="eastAsia"/>
                      <w:bCs/>
                      <w:color w:val="auto"/>
                      <w:szCs w:val="21"/>
                      <w:highlight w:val="none"/>
                      <w:lang w:bidi="ar"/>
                    </w:rPr>
                    <w:t>供热</w:t>
                  </w:r>
                </w:p>
              </w:tc>
              <w:tc>
                <w:tcPr>
                  <w:tcW w:w="3902" w:type="pct"/>
                  <w:vAlign w:val="center"/>
                </w:tcPr>
                <w:p w14:paraId="76C689A9">
                  <w:pPr>
                    <w:pStyle w:val="29"/>
                    <w:widowControl w:val="0"/>
                    <w:spacing w:before="0" w:beforeAutospacing="0" w:after="0" w:afterAutospacing="0"/>
                    <w:rPr>
                      <w:rFonts w:ascii="Times New Roman" w:hAnsi="Times New Roman"/>
                      <w:bCs/>
                      <w:color w:val="auto"/>
                      <w:sz w:val="21"/>
                      <w:szCs w:val="18"/>
                      <w:highlight w:val="none"/>
                      <w:lang w:bidi="ar"/>
                    </w:rPr>
                  </w:pPr>
                  <w:r>
                    <w:rPr>
                      <w:rFonts w:hint="eastAsia" w:ascii="Times New Roman" w:hAnsi="Times New Roman"/>
                      <w:bCs/>
                      <w:color w:val="auto"/>
                      <w:sz w:val="21"/>
                      <w:szCs w:val="18"/>
                      <w:highlight w:val="none"/>
                      <w:lang w:bidi="ar"/>
                    </w:rPr>
                    <w:t>本项目利用</w:t>
                  </w:r>
                  <w:r>
                    <w:rPr>
                      <w:rFonts w:hint="eastAsia" w:ascii="Times New Roman" w:hAnsi="Times New Roman"/>
                      <w:bCs/>
                      <w:color w:val="auto"/>
                      <w:sz w:val="21"/>
                      <w:szCs w:val="18"/>
                      <w:highlight w:val="none"/>
                      <w:lang w:eastAsia="zh-CN" w:bidi="ar"/>
                    </w:rPr>
                    <w:t>两台</w:t>
                  </w:r>
                  <w:r>
                    <w:rPr>
                      <w:rFonts w:hint="eastAsia" w:ascii="Times New Roman" w:hAnsi="Times New Roman"/>
                      <w:bCs/>
                      <w:color w:val="auto"/>
                      <w:sz w:val="21"/>
                      <w:szCs w:val="18"/>
                      <w:highlight w:val="none"/>
                      <w:lang w:bidi="ar"/>
                    </w:rPr>
                    <w:t>生物质锅炉</w:t>
                  </w:r>
                  <w:r>
                    <w:rPr>
                      <w:rStyle w:val="41"/>
                      <w:rFonts w:hint="eastAsia" w:ascii="Times New Roman" w:hAnsi="Times New Roman"/>
                      <w:color w:val="auto"/>
                      <w:highlight w:val="none"/>
                      <w:lang w:eastAsia="zh-CN"/>
                    </w:rPr>
                    <w:t>（规格分别为</w:t>
                  </w:r>
                  <w:r>
                    <w:rPr>
                      <w:rStyle w:val="41"/>
                      <w:rFonts w:hint="eastAsia" w:ascii="Times New Roman" w:hAnsi="Times New Roman"/>
                      <w:color w:val="auto"/>
                      <w:highlight w:val="none"/>
                      <w:lang w:val="en-US" w:eastAsia="zh-CN"/>
                    </w:rPr>
                    <w:t>4t/h、6t/h</w:t>
                  </w:r>
                  <w:r>
                    <w:rPr>
                      <w:rStyle w:val="41"/>
                      <w:rFonts w:hint="eastAsia" w:ascii="Times New Roman" w:hAnsi="Times New Roman"/>
                      <w:color w:val="auto"/>
                      <w:highlight w:val="none"/>
                      <w:lang w:eastAsia="zh-CN"/>
                    </w:rPr>
                    <w:t>）</w:t>
                  </w:r>
                  <w:r>
                    <w:rPr>
                      <w:rFonts w:hint="eastAsia" w:ascii="Times New Roman" w:hAnsi="Times New Roman"/>
                      <w:bCs/>
                      <w:color w:val="auto"/>
                      <w:sz w:val="21"/>
                      <w:szCs w:val="18"/>
                      <w:highlight w:val="none"/>
                      <w:lang w:bidi="ar"/>
                    </w:rPr>
                    <w:t>运行产生的热量对生产加工环节供热。</w:t>
                  </w:r>
                </w:p>
              </w:tc>
            </w:tr>
            <w:tr w14:paraId="3697E19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447" w:type="pct"/>
                  <w:vMerge w:val="continue"/>
                  <w:vAlign w:val="center"/>
                </w:tcPr>
                <w:p w14:paraId="3548AD3E">
                  <w:pPr>
                    <w:adjustRightInd w:val="0"/>
                    <w:snapToGrid w:val="0"/>
                    <w:jc w:val="center"/>
                    <w:rPr>
                      <w:bCs/>
                      <w:color w:val="auto"/>
                      <w:szCs w:val="21"/>
                      <w:highlight w:val="none"/>
                    </w:rPr>
                  </w:pPr>
                </w:p>
              </w:tc>
              <w:tc>
                <w:tcPr>
                  <w:tcW w:w="649" w:type="pct"/>
                  <w:vAlign w:val="center"/>
                </w:tcPr>
                <w:p w14:paraId="402AF558">
                  <w:pPr>
                    <w:adjustRightInd w:val="0"/>
                    <w:snapToGrid w:val="0"/>
                    <w:jc w:val="center"/>
                    <w:rPr>
                      <w:bCs/>
                      <w:color w:val="auto"/>
                      <w:szCs w:val="21"/>
                      <w:highlight w:val="none"/>
                    </w:rPr>
                  </w:pPr>
                  <w:r>
                    <w:rPr>
                      <w:bCs/>
                      <w:color w:val="auto"/>
                      <w:szCs w:val="21"/>
                      <w:highlight w:val="none"/>
                      <w:lang w:bidi="ar"/>
                    </w:rPr>
                    <w:t>供水</w:t>
                  </w:r>
                </w:p>
              </w:tc>
              <w:tc>
                <w:tcPr>
                  <w:tcW w:w="3902" w:type="pct"/>
                  <w:vAlign w:val="center"/>
                </w:tcPr>
                <w:p w14:paraId="4B13184B">
                  <w:pPr>
                    <w:pStyle w:val="29"/>
                    <w:widowControl w:val="0"/>
                    <w:spacing w:before="0" w:beforeAutospacing="0" w:after="0" w:afterAutospacing="0"/>
                    <w:rPr>
                      <w:rFonts w:ascii="Times New Roman" w:hAnsi="Times New Roman"/>
                      <w:bCs/>
                      <w:color w:val="auto"/>
                      <w:szCs w:val="21"/>
                      <w:highlight w:val="none"/>
                    </w:rPr>
                  </w:pPr>
                  <w:r>
                    <w:rPr>
                      <w:rFonts w:hint="eastAsia" w:ascii="Times New Roman" w:hAnsi="Times New Roman"/>
                      <w:bCs/>
                      <w:color w:val="auto"/>
                      <w:sz w:val="21"/>
                      <w:szCs w:val="18"/>
                      <w:highlight w:val="none"/>
                      <w:lang w:bidi="ar"/>
                    </w:rPr>
                    <w:t>生产用水及生活用水均来自厂区水井。</w:t>
                  </w:r>
                </w:p>
              </w:tc>
            </w:tr>
            <w:tr w14:paraId="385B878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447" w:type="pct"/>
                  <w:vMerge w:val="continue"/>
                  <w:vAlign w:val="center"/>
                </w:tcPr>
                <w:p w14:paraId="7BB650B8">
                  <w:pPr>
                    <w:rPr>
                      <w:color w:val="auto"/>
                      <w:sz w:val="20"/>
                      <w:szCs w:val="20"/>
                      <w:highlight w:val="none"/>
                    </w:rPr>
                  </w:pPr>
                </w:p>
              </w:tc>
              <w:tc>
                <w:tcPr>
                  <w:tcW w:w="649" w:type="pct"/>
                  <w:vAlign w:val="center"/>
                </w:tcPr>
                <w:p w14:paraId="1C438E25">
                  <w:pPr>
                    <w:adjustRightInd w:val="0"/>
                    <w:snapToGrid w:val="0"/>
                    <w:jc w:val="center"/>
                    <w:rPr>
                      <w:bCs/>
                      <w:color w:val="auto"/>
                      <w:szCs w:val="21"/>
                      <w:highlight w:val="none"/>
                    </w:rPr>
                  </w:pPr>
                  <w:r>
                    <w:rPr>
                      <w:bCs/>
                      <w:color w:val="auto"/>
                      <w:szCs w:val="21"/>
                      <w:highlight w:val="none"/>
                      <w:lang w:bidi="ar"/>
                    </w:rPr>
                    <w:t>排水</w:t>
                  </w:r>
                </w:p>
              </w:tc>
              <w:tc>
                <w:tcPr>
                  <w:tcW w:w="3902" w:type="pct"/>
                  <w:vAlign w:val="center"/>
                </w:tcPr>
                <w:p w14:paraId="66B0D91C">
                  <w:pPr>
                    <w:pStyle w:val="104"/>
                    <w:snapToGrid w:val="0"/>
                    <w:spacing w:before="12" w:beforeLines="5" w:after="12" w:afterLines="5"/>
                    <w:jc w:val="both"/>
                    <w:rPr>
                      <w:rFonts w:hint="default" w:ascii="Times New Roman" w:hAnsi="Times New Roman"/>
                      <w:color w:val="auto"/>
                      <w:sz w:val="21"/>
                      <w:szCs w:val="21"/>
                      <w:highlight w:val="none"/>
                    </w:rPr>
                  </w:pPr>
                  <w:r>
                    <w:rPr>
                      <w:rFonts w:cs="宋体"/>
                      <w:color w:val="auto"/>
                      <w:sz w:val="21"/>
                      <w:szCs w:val="21"/>
                      <w:highlight w:val="none"/>
                    </w:rPr>
                    <w:t>①</w:t>
                  </w:r>
                  <w:r>
                    <w:rPr>
                      <w:rFonts w:hint="default" w:ascii="Times New Roman" w:hAnsi="Times New Roman"/>
                      <w:color w:val="auto"/>
                      <w:sz w:val="21"/>
                      <w:szCs w:val="21"/>
                      <w:highlight w:val="none"/>
                    </w:rPr>
                    <w:t>采取雨污分流。雨水设雨水</w:t>
                  </w:r>
                  <w:r>
                    <w:rPr>
                      <w:rFonts w:ascii="Times New Roman" w:hAnsi="Times New Roman"/>
                      <w:color w:val="auto"/>
                      <w:sz w:val="21"/>
                      <w:szCs w:val="21"/>
                      <w:highlight w:val="none"/>
                    </w:rPr>
                    <w:t>渠</w:t>
                  </w:r>
                  <w:r>
                    <w:rPr>
                      <w:rFonts w:hint="default" w:ascii="Times New Roman" w:hAnsi="Times New Roman"/>
                      <w:color w:val="auto"/>
                      <w:sz w:val="21"/>
                      <w:szCs w:val="21"/>
                      <w:highlight w:val="none"/>
                    </w:rPr>
                    <w:t>外排；</w:t>
                  </w:r>
                </w:p>
                <w:p w14:paraId="298605CD">
                  <w:pPr>
                    <w:pStyle w:val="104"/>
                    <w:snapToGrid w:val="0"/>
                    <w:spacing w:before="12" w:beforeLines="5" w:after="12" w:afterLines="5"/>
                    <w:jc w:val="both"/>
                    <w:rPr>
                      <w:rFonts w:hint="default" w:ascii="Times New Roman" w:hAnsi="Times New Roman"/>
                      <w:color w:val="auto"/>
                      <w:sz w:val="21"/>
                      <w:szCs w:val="21"/>
                      <w:highlight w:val="none"/>
                    </w:rPr>
                  </w:pPr>
                  <w:r>
                    <w:rPr>
                      <w:rFonts w:cs="宋体"/>
                      <w:color w:val="auto"/>
                      <w:sz w:val="21"/>
                      <w:szCs w:val="21"/>
                      <w:highlight w:val="none"/>
                    </w:rPr>
                    <w:t>②餐饮废水经油水分离器处理后与</w:t>
                  </w:r>
                  <w:r>
                    <w:rPr>
                      <w:rFonts w:hint="default" w:ascii="Times New Roman" w:hAnsi="Times New Roman"/>
                      <w:color w:val="auto"/>
                      <w:sz w:val="21"/>
                      <w:szCs w:val="21"/>
                      <w:highlight w:val="none"/>
                    </w:rPr>
                    <w:t>生活污水</w:t>
                  </w:r>
                  <w:r>
                    <w:rPr>
                      <w:rFonts w:ascii="Times New Roman" w:hAnsi="Times New Roman"/>
                      <w:color w:val="auto"/>
                      <w:sz w:val="21"/>
                      <w:szCs w:val="21"/>
                      <w:highlight w:val="none"/>
                    </w:rPr>
                    <w:t>一同进入化粪池处理后用于周边农田施肥；</w:t>
                  </w:r>
                </w:p>
                <w:p w14:paraId="15996244">
                  <w:pPr>
                    <w:pStyle w:val="104"/>
                    <w:snapToGrid w:val="0"/>
                    <w:spacing w:before="12" w:beforeLines="5" w:after="12" w:afterLines="5"/>
                    <w:jc w:val="both"/>
                    <w:rPr>
                      <w:rFonts w:hint="default" w:ascii="Times New Roman" w:hAnsi="Times New Roman"/>
                      <w:color w:val="auto"/>
                      <w:highlight w:val="none"/>
                    </w:rPr>
                  </w:pPr>
                  <w:r>
                    <w:rPr>
                      <w:rFonts w:cs="宋体"/>
                      <w:color w:val="auto"/>
                      <w:sz w:val="21"/>
                      <w:szCs w:val="21"/>
                      <w:highlight w:val="none"/>
                    </w:rPr>
                    <w:t>③</w:t>
                  </w:r>
                  <w:r>
                    <w:rPr>
                      <w:rFonts w:hint="default" w:ascii="Times New Roman" w:hAnsi="Times New Roman"/>
                      <w:color w:val="auto"/>
                      <w:sz w:val="21"/>
                      <w:szCs w:val="21"/>
                      <w:highlight w:val="none"/>
                    </w:rPr>
                    <w:t>生产废水经厂内污水处理站处理达到《农田灌溉水质标准》（GB5084-2021）</w:t>
                  </w:r>
                  <w:r>
                    <w:rPr>
                      <w:rFonts w:hint="eastAsia" w:ascii="Times New Roman" w:cs="Times New Roman"/>
                      <w:color w:val="auto"/>
                      <w:sz w:val="21"/>
                      <w:szCs w:val="21"/>
                      <w:highlight w:val="none"/>
                    </w:rPr>
                    <w:t>后</w:t>
                  </w:r>
                  <w:r>
                    <w:rPr>
                      <w:rFonts w:hint="eastAsia" w:ascii="Times New Roman" w:cs="Times New Roman"/>
                      <w:color w:val="auto"/>
                      <w:sz w:val="21"/>
                      <w:szCs w:val="21"/>
                      <w:highlight w:val="none"/>
                      <w:lang w:eastAsia="zh-CN"/>
                    </w:rPr>
                    <w:t>作为</w:t>
                  </w:r>
                  <w:r>
                    <w:rPr>
                      <w:rFonts w:hint="eastAsia" w:ascii="Times New Roman" w:cs="Times New Roman"/>
                      <w:color w:val="auto"/>
                      <w:sz w:val="21"/>
                      <w:szCs w:val="21"/>
                      <w:highlight w:val="none"/>
                    </w:rPr>
                    <w:t>周边果园</w:t>
                  </w:r>
                  <w:r>
                    <w:rPr>
                      <w:rFonts w:hint="eastAsia" w:ascii="Times New Roman" w:cs="Times New Roman"/>
                      <w:color w:val="auto"/>
                      <w:sz w:val="21"/>
                      <w:szCs w:val="21"/>
                      <w:highlight w:val="none"/>
                      <w:lang w:eastAsia="zh-CN"/>
                    </w:rPr>
                    <w:t>灌溉用水</w:t>
                  </w:r>
                  <w:r>
                    <w:rPr>
                      <w:rFonts w:hint="default" w:ascii="Times New Roman" w:hAnsi="Times New Roman"/>
                      <w:color w:val="auto"/>
                      <w:sz w:val="21"/>
                      <w:szCs w:val="21"/>
                      <w:highlight w:val="none"/>
                    </w:rPr>
                    <w:t>。</w:t>
                  </w:r>
                </w:p>
              </w:tc>
            </w:tr>
            <w:tr w14:paraId="5C13FD6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447" w:type="pct"/>
                  <w:vMerge w:val="continue"/>
                  <w:vAlign w:val="center"/>
                </w:tcPr>
                <w:p w14:paraId="2A6BCC38">
                  <w:pPr>
                    <w:rPr>
                      <w:color w:val="auto"/>
                      <w:sz w:val="20"/>
                      <w:szCs w:val="20"/>
                      <w:highlight w:val="none"/>
                    </w:rPr>
                  </w:pPr>
                </w:p>
              </w:tc>
              <w:tc>
                <w:tcPr>
                  <w:tcW w:w="649" w:type="pct"/>
                  <w:vAlign w:val="center"/>
                </w:tcPr>
                <w:p w14:paraId="04864954">
                  <w:pPr>
                    <w:adjustRightInd w:val="0"/>
                    <w:snapToGrid w:val="0"/>
                    <w:jc w:val="center"/>
                    <w:rPr>
                      <w:bCs/>
                      <w:color w:val="auto"/>
                      <w:szCs w:val="21"/>
                      <w:highlight w:val="none"/>
                    </w:rPr>
                  </w:pPr>
                  <w:r>
                    <w:rPr>
                      <w:bCs/>
                      <w:color w:val="auto"/>
                      <w:szCs w:val="21"/>
                      <w:highlight w:val="none"/>
                      <w:lang w:bidi="ar"/>
                    </w:rPr>
                    <w:t>供电</w:t>
                  </w:r>
                </w:p>
              </w:tc>
              <w:tc>
                <w:tcPr>
                  <w:tcW w:w="3902" w:type="pct"/>
                  <w:vAlign w:val="center"/>
                </w:tcPr>
                <w:p w14:paraId="2EB7CBD9">
                  <w:pPr>
                    <w:adjustRightInd w:val="0"/>
                    <w:snapToGrid w:val="0"/>
                    <w:jc w:val="left"/>
                    <w:rPr>
                      <w:bCs/>
                      <w:color w:val="auto"/>
                      <w:szCs w:val="21"/>
                      <w:highlight w:val="none"/>
                    </w:rPr>
                  </w:pPr>
                  <w:r>
                    <w:rPr>
                      <w:bCs/>
                      <w:color w:val="auto"/>
                      <w:szCs w:val="21"/>
                      <w:highlight w:val="none"/>
                      <w:lang w:bidi="ar"/>
                    </w:rPr>
                    <w:t>接入</w:t>
                  </w:r>
                  <w:r>
                    <w:rPr>
                      <w:rFonts w:hint="eastAsia"/>
                      <w:bCs/>
                      <w:color w:val="auto"/>
                      <w:szCs w:val="21"/>
                      <w:highlight w:val="none"/>
                      <w:lang w:bidi="ar"/>
                    </w:rPr>
                    <w:t>当地供电系统</w:t>
                  </w:r>
                  <w:r>
                    <w:rPr>
                      <w:bCs/>
                      <w:color w:val="auto"/>
                      <w:szCs w:val="21"/>
                      <w:highlight w:val="none"/>
                      <w:lang w:bidi="ar"/>
                    </w:rPr>
                    <w:t>，厂区</w:t>
                  </w:r>
                  <w:r>
                    <w:rPr>
                      <w:rFonts w:hint="eastAsia"/>
                      <w:bCs/>
                      <w:color w:val="auto"/>
                      <w:szCs w:val="21"/>
                      <w:highlight w:val="none"/>
                      <w:lang w:bidi="ar"/>
                    </w:rPr>
                    <w:t>内设置</w:t>
                  </w:r>
                  <w:r>
                    <w:rPr>
                      <w:bCs/>
                      <w:color w:val="auto"/>
                      <w:szCs w:val="21"/>
                      <w:highlight w:val="none"/>
                      <w:lang w:bidi="ar"/>
                    </w:rPr>
                    <w:t>配电室</w:t>
                  </w:r>
                  <w:r>
                    <w:rPr>
                      <w:rFonts w:hint="eastAsia"/>
                      <w:bCs/>
                      <w:color w:val="auto"/>
                      <w:szCs w:val="21"/>
                      <w:highlight w:val="none"/>
                      <w:lang w:bidi="ar"/>
                    </w:rPr>
                    <w:t>。</w:t>
                  </w:r>
                </w:p>
              </w:tc>
            </w:tr>
            <w:tr w14:paraId="1F5A8EA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447" w:type="pct"/>
                  <w:vMerge w:val="restart"/>
                  <w:vAlign w:val="center"/>
                </w:tcPr>
                <w:p w14:paraId="15ECA27B">
                  <w:pPr>
                    <w:adjustRightInd w:val="0"/>
                    <w:snapToGrid w:val="0"/>
                    <w:jc w:val="center"/>
                    <w:rPr>
                      <w:bCs/>
                      <w:color w:val="auto"/>
                      <w:szCs w:val="21"/>
                      <w:highlight w:val="none"/>
                      <w:lang w:bidi="ar"/>
                    </w:rPr>
                  </w:pPr>
                </w:p>
                <w:p w14:paraId="647FE5F9">
                  <w:pPr>
                    <w:adjustRightInd w:val="0"/>
                    <w:snapToGrid w:val="0"/>
                    <w:jc w:val="center"/>
                    <w:rPr>
                      <w:bCs/>
                      <w:color w:val="auto"/>
                      <w:szCs w:val="21"/>
                      <w:highlight w:val="none"/>
                      <w:lang w:bidi="ar"/>
                    </w:rPr>
                  </w:pPr>
                </w:p>
                <w:p w14:paraId="4BE2339D">
                  <w:pPr>
                    <w:adjustRightInd w:val="0"/>
                    <w:snapToGrid w:val="0"/>
                    <w:jc w:val="center"/>
                    <w:rPr>
                      <w:bCs/>
                      <w:color w:val="auto"/>
                      <w:szCs w:val="21"/>
                      <w:highlight w:val="none"/>
                      <w:lang w:bidi="ar"/>
                    </w:rPr>
                  </w:pPr>
                </w:p>
                <w:p w14:paraId="73A27E8B">
                  <w:pPr>
                    <w:adjustRightInd w:val="0"/>
                    <w:snapToGrid w:val="0"/>
                    <w:jc w:val="center"/>
                    <w:rPr>
                      <w:bCs/>
                      <w:color w:val="auto"/>
                      <w:szCs w:val="21"/>
                      <w:highlight w:val="none"/>
                      <w:lang w:bidi="ar"/>
                    </w:rPr>
                  </w:pPr>
                </w:p>
                <w:p w14:paraId="05CB8712">
                  <w:pPr>
                    <w:adjustRightInd w:val="0"/>
                    <w:snapToGrid w:val="0"/>
                    <w:jc w:val="center"/>
                    <w:rPr>
                      <w:bCs/>
                      <w:color w:val="auto"/>
                      <w:szCs w:val="21"/>
                      <w:highlight w:val="none"/>
                      <w:lang w:bidi="ar"/>
                    </w:rPr>
                  </w:pPr>
                </w:p>
                <w:p w14:paraId="3AF681C7">
                  <w:pPr>
                    <w:adjustRightInd w:val="0"/>
                    <w:snapToGrid w:val="0"/>
                    <w:jc w:val="center"/>
                    <w:rPr>
                      <w:bCs/>
                      <w:color w:val="auto"/>
                      <w:szCs w:val="21"/>
                      <w:highlight w:val="none"/>
                      <w:lang w:bidi="ar"/>
                    </w:rPr>
                  </w:pPr>
                </w:p>
                <w:p w14:paraId="5E299523">
                  <w:pPr>
                    <w:adjustRightInd w:val="0"/>
                    <w:snapToGrid w:val="0"/>
                    <w:jc w:val="center"/>
                    <w:rPr>
                      <w:bCs/>
                      <w:color w:val="auto"/>
                      <w:szCs w:val="21"/>
                      <w:highlight w:val="none"/>
                      <w:lang w:bidi="ar"/>
                    </w:rPr>
                  </w:pPr>
                </w:p>
                <w:p w14:paraId="083A7B60">
                  <w:pPr>
                    <w:adjustRightInd w:val="0"/>
                    <w:snapToGrid w:val="0"/>
                    <w:jc w:val="center"/>
                    <w:rPr>
                      <w:bCs/>
                      <w:color w:val="auto"/>
                      <w:szCs w:val="21"/>
                      <w:highlight w:val="none"/>
                      <w:lang w:bidi="ar"/>
                    </w:rPr>
                  </w:pPr>
                </w:p>
                <w:p w14:paraId="4D47FA02">
                  <w:pPr>
                    <w:adjustRightInd w:val="0"/>
                    <w:snapToGrid w:val="0"/>
                    <w:jc w:val="center"/>
                    <w:rPr>
                      <w:bCs/>
                      <w:color w:val="auto"/>
                      <w:szCs w:val="21"/>
                      <w:highlight w:val="none"/>
                      <w:lang w:bidi="ar"/>
                    </w:rPr>
                  </w:pPr>
                </w:p>
                <w:p w14:paraId="051DDFFA">
                  <w:pPr>
                    <w:adjustRightInd w:val="0"/>
                    <w:snapToGrid w:val="0"/>
                    <w:jc w:val="center"/>
                    <w:rPr>
                      <w:bCs/>
                      <w:color w:val="auto"/>
                      <w:szCs w:val="21"/>
                      <w:highlight w:val="none"/>
                      <w:lang w:bidi="ar"/>
                    </w:rPr>
                  </w:pPr>
                </w:p>
                <w:p w14:paraId="05EC38E6">
                  <w:pPr>
                    <w:adjustRightInd w:val="0"/>
                    <w:snapToGrid w:val="0"/>
                    <w:jc w:val="center"/>
                    <w:rPr>
                      <w:bCs/>
                      <w:color w:val="auto"/>
                      <w:szCs w:val="21"/>
                      <w:highlight w:val="none"/>
                    </w:rPr>
                  </w:pPr>
                  <w:r>
                    <w:rPr>
                      <w:bCs/>
                      <w:color w:val="auto"/>
                      <w:szCs w:val="21"/>
                      <w:highlight w:val="none"/>
                      <w:lang w:bidi="ar"/>
                    </w:rPr>
                    <w:t>环保</w:t>
                  </w:r>
                </w:p>
                <w:p w14:paraId="524F8E0B">
                  <w:pPr>
                    <w:adjustRightInd w:val="0"/>
                    <w:snapToGrid w:val="0"/>
                    <w:jc w:val="center"/>
                    <w:rPr>
                      <w:bCs/>
                      <w:color w:val="auto"/>
                      <w:szCs w:val="21"/>
                      <w:highlight w:val="none"/>
                    </w:rPr>
                  </w:pPr>
                  <w:r>
                    <w:rPr>
                      <w:bCs/>
                      <w:color w:val="auto"/>
                      <w:szCs w:val="21"/>
                      <w:highlight w:val="none"/>
                      <w:lang w:bidi="ar"/>
                    </w:rPr>
                    <w:t>工程</w:t>
                  </w:r>
                </w:p>
              </w:tc>
              <w:tc>
                <w:tcPr>
                  <w:tcW w:w="649" w:type="pct"/>
                  <w:vAlign w:val="center"/>
                </w:tcPr>
                <w:p w14:paraId="51092891">
                  <w:pPr>
                    <w:adjustRightInd w:val="0"/>
                    <w:snapToGrid w:val="0"/>
                    <w:jc w:val="center"/>
                    <w:rPr>
                      <w:bCs/>
                      <w:color w:val="auto"/>
                      <w:szCs w:val="21"/>
                      <w:highlight w:val="none"/>
                    </w:rPr>
                  </w:pPr>
                  <w:r>
                    <w:rPr>
                      <w:bCs/>
                      <w:color w:val="auto"/>
                      <w:szCs w:val="21"/>
                      <w:highlight w:val="none"/>
                      <w:lang w:bidi="ar"/>
                    </w:rPr>
                    <w:t>废水</w:t>
                  </w:r>
                </w:p>
                <w:p w14:paraId="67662415">
                  <w:pPr>
                    <w:adjustRightInd w:val="0"/>
                    <w:snapToGrid w:val="0"/>
                    <w:jc w:val="center"/>
                    <w:rPr>
                      <w:bCs/>
                      <w:color w:val="auto"/>
                      <w:szCs w:val="21"/>
                      <w:highlight w:val="none"/>
                    </w:rPr>
                  </w:pPr>
                  <w:r>
                    <w:rPr>
                      <w:bCs/>
                      <w:color w:val="auto"/>
                      <w:szCs w:val="21"/>
                      <w:highlight w:val="none"/>
                      <w:lang w:bidi="ar"/>
                    </w:rPr>
                    <w:t>治理</w:t>
                  </w:r>
                </w:p>
              </w:tc>
              <w:tc>
                <w:tcPr>
                  <w:tcW w:w="3902" w:type="pct"/>
                  <w:vAlign w:val="center"/>
                </w:tcPr>
                <w:p w14:paraId="54831890">
                  <w:pPr>
                    <w:adjustRightInd w:val="0"/>
                    <w:snapToGrid w:val="0"/>
                    <w:rPr>
                      <w:bCs/>
                      <w:color w:val="auto"/>
                      <w:szCs w:val="21"/>
                      <w:highlight w:val="none"/>
                    </w:rPr>
                  </w:pPr>
                  <w:r>
                    <w:rPr>
                      <w:rFonts w:hint="eastAsia" w:ascii="宋体" w:hAnsi="宋体" w:cs="宋体"/>
                      <w:bCs/>
                      <w:color w:val="auto"/>
                      <w:szCs w:val="21"/>
                      <w:highlight w:val="none"/>
                    </w:rPr>
                    <w:t>①</w:t>
                  </w:r>
                  <w:r>
                    <w:rPr>
                      <w:rFonts w:hint="eastAsia" w:ascii="宋体" w:hAnsi="宋体" w:cs="宋体"/>
                      <w:color w:val="auto"/>
                      <w:highlight w:val="none"/>
                    </w:rPr>
                    <w:t>餐饮废水</w:t>
                  </w:r>
                  <w:r>
                    <w:rPr>
                      <w:rFonts w:hint="eastAsia" w:cs="宋体"/>
                      <w:color w:val="auto"/>
                      <w:highlight w:val="none"/>
                    </w:rPr>
                    <w:t>经油水分离器处理后与</w:t>
                  </w:r>
                  <w:r>
                    <w:rPr>
                      <w:color w:val="auto"/>
                      <w:highlight w:val="none"/>
                    </w:rPr>
                    <w:t>生活污水</w:t>
                  </w:r>
                  <w:r>
                    <w:rPr>
                      <w:rFonts w:hint="eastAsia"/>
                      <w:color w:val="auto"/>
                      <w:highlight w:val="none"/>
                    </w:rPr>
                    <w:t>一同进入</w:t>
                  </w:r>
                  <w:r>
                    <w:rPr>
                      <w:color w:val="auto"/>
                      <w:highlight w:val="none"/>
                    </w:rPr>
                    <w:t>化粪池处理后</w:t>
                  </w:r>
                  <w:r>
                    <w:rPr>
                      <w:rFonts w:hint="eastAsia"/>
                      <w:color w:val="auto"/>
                      <w:highlight w:val="none"/>
                    </w:rPr>
                    <w:t>用于周边农田施肥，综合利用</w:t>
                  </w:r>
                  <w:r>
                    <w:rPr>
                      <w:rFonts w:hint="eastAsia"/>
                      <w:bCs/>
                      <w:color w:val="auto"/>
                      <w:szCs w:val="21"/>
                      <w:highlight w:val="none"/>
                    </w:rPr>
                    <w:t>；</w:t>
                  </w:r>
                </w:p>
                <w:p w14:paraId="44522B79">
                  <w:pPr>
                    <w:adjustRightInd w:val="0"/>
                    <w:snapToGrid w:val="0"/>
                    <w:rPr>
                      <w:bCs/>
                      <w:color w:val="auto"/>
                      <w:szCs w:val="21"/>
                      <w:highlight w:val="none"/>
                    </w:rPr>
                  </w:pPr>
                  <w:r>
                    <w:rPr>
                      <w:rFonts w:hint="eastAsia" w:ascii="宋体" w:hAnsi="宋体" w:cs="宋体"/>
                      <w:bCs/>
                      <w:color w:val="auto"/>
                      <w:szCs w:val="21"/>
                      <w:highlight w:val="none"/>
                      <w:lang w:bidi="ar"/>
                    </w:rPr>
                    <w:t>②</w:t>
                  </w:r>
                  <w:r>
                    <w:rPr>
                      <w:color w:val="auto"/>
                      <w:szCs w:val="21"/>
                      <w:highlight w:val="none"/>
                    </w:rPr>
                    <w:t>生产废水经厂内污水处理站处理达到《农田灌溉水质标准》（GB5084-2021）</w:t>
                  </w:r>
                  <w:r>
                    <w:rPr>
                      <w:rFonts w:hint="eastAsia" w:ascii="Times New Roman" w:cs="Times New Roman"/>
                      <w:color w:val="auto"/>
                      <w:sz w:val="21"/>
                      <w:szCs w:val="21"/>
                      <w:highlight w:val="none"/>
                    </w:rPr>
                    <w:t>后</w:t>
                  </w:r>
                  <w:r>
                    <w:rPr>
                      <w:rFonts w:hint="eastAsia" w:ascii="Times New Roman" w:cs="Times New Roman"/>
                      <w:color w:val="auto"/>
                      <w:sz w:val="21"/>
                      <w:szCs w:val="21"/>
                      <w:highlight w:val="none"/>
                      <w:lang w:eastAsia="zh-CN"/>
                    </w:rPr>
                    <w:t>作为</w:t>
                  </w:r>
                  <w:r>
                    <w:rPr>
                      <w:rFonts w:hint="eastAsia" w:ascii="Times New Roman" w:cs="Times New Roman"/>
                      <w:color w:val="auto"/>
                      <w:sz w:val="21"/>
                      <w:szCs w:val="21"/>
                      <w:highlight w:val="none"/>
                    </w:rPr>
                    <w:t>周边果园</w:t>
                  </w:r>
                  <w:r>
                    <w:rPr>
                      <w:rFonts w:hint="eastAsia" w:ascii="Times New Roman" w:cs="Times New Roman"/>
                      <w:color w:val="auto"/>
                      <w:sz w:val="21"/>
                      <w:szCs w:val="21"/>
                      <w:highlight w:val="none"/>
                      <w:lang w:eastAsia="zh-CN"/>
                    </w:rPr>
                    <w:t>灌溉用水</w:t>
                  </w:r>
                  <w:r>
                    <w:rPr>
                      <w:rFonts w:hint="eastAsia"/>
                      <w:bCs/>
                      <w:color w:val="auto"/>
                      <w:szCs w:val="21"/>
                      <w:highlight w:val="none"/>
                    </w:rPr>
                    <w:t>。</w:t>
                  </w:r>
                </w:p>
              </w:tc>
            </w:tr>
            <w:tr w14:paraId="7B2B167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447" w:type="pct"/>
                  <w:vMerge w:val="continue"/>
                  <w:vAlign w:val="center"/>
                </w:tcPr>
                <w:p w14:paraId="701FAABB">
                  <w:pPr>
                    <w:rPr>
                      <w:color w:val="auto"/>
                      <w:sz w:val="20"/>
                      <w:szCs w:val="20"/>
                      <w:highlight w:val="none"/>
                    </w:rPr>
                  </w:pPr>
                </w:p>
              </w:tc>
              <w:tc>
                <w:tcPr>
                  <w:tcW w:w="649" w:type="pct"/>
                  <w:vAlign w:val="center"/>
                </w:tcPr>
                <w:p w14:paraId="09E5B0C3">
                  <w:pPr>
                    <w:adjustRightInd w:val="0"/>
                    <w:snapToGrid w:val="0"/>
                    <w:jc w:val="center"/>
                    <w:rPr>
                      <w:bCs/>
                      <w:color w:val="auto"/>
                      <w:szCs w:val="21"/>
                      <w:highlight w:val="none"/>
                    </w:rPr>
                  </w:pPr>
                  <w:r>
                    <w:rPr>
                      <w:bCs/>
                      <w:color w:val="auto"/>
                      <w:szCs w:val="21"/>
                      <w:highlight w:val="none"/>
                      <w:lang w:bidi="ar"/>
                    </w:rPr>
                    <w:t>废气</w:t>
                  </w:r>
                </w:p>
                <w:p w14:paraId="4BBAE0D0">
                  <w:pPr>
                    <w:adjustRightInd w:val="0"/>
                    <w:snapToGrid w:val="0"/>
                    <w:jc w:val="center"/>
                    <w:rPr>
                      <w:bCs/>
                      <w:color w:val="auto"/>
                      <w:szCs w:val="21"/>
                      <w:highlight w:val="none"/>
                    </w:rPr>
                  </w:pPr>
                  <w:r>
                    <w:rPr>
                      <w:bCs/>
                      <w:color w:val="auto"/>
                      <w:szCs w:val="21"/>
                      <w:highlight w:val="none"/>
                      <w:lang w:bidi="ar"/>
                    </w:rPr>
                    <w:t>治理</w:t>
                  </w:r>
                </w:p>
              </w:tc>
              <w:tc>
                <w:tcPr>
                  <w:tcW w:w="3902" w:type="pct"/>
                  <w:vAlign w:val="center"/>
                </w:tcPr>
                <w:p w14:paraId="5B4F5956">
                  <w:pPr>
                    <w:adjustRightInd w:val="0"/>
                    <w:snapToGrid w:val="0"/>
                    <w:rPr>
                      <w:bCs/>
                      <w:color w:val="auto"/>
                      <w:szCs w:val="21"/>
                      <w:highlight w:val="none"/>
                      <w:lang w:bidi="ar"/>
                    </w:rPr>
                  </w:pPr>
                  <w:r>
                    <w:rPr>
                      <w:rFonts w:hint="eastAsia" w:ascii="宋体" w:hAnsi="宋体" w:cs="宋体"/>
                      <w:bCs/>
                      <w:color w:val="auto"/>
                      <w:szCs w:val="21"/>
                      <w:highlight w:val="none"/>
                      <w:lang w:bidi="ar"/>
                    </w:rPr>
                    <w:t>①</w:t>
                  </w:r>
                  <w:r>
                    <w:rPr>
                      <w:rFonts w:hint="eastAsia"/>
                      <w:bCs/>
                      <w:color w:val="auto"/>
                      <w:szCs w:val="21"/>
                      <w:highlight w:val="none"/>
                      <w:lang w:bidi="ar"/>
                    </w:rPr>
                    <w:t>生物质锅炉燃烧废气采用“低氮燃烧+</w:t>
                  </w:r>
                  <w:r>
                    <w:rPr>
                      <w:rFonts w:hint="eastAsia"/>
                      <w:bCs/>
                      <w:color w:val="auto"/>
                      <w:szCs w:val="21"/>
                      <w:highlight w:val="none"/>
                      <w:lang w:eastAsia="zh-CN" w:bidi="ar"/>
                    </w:rPr>
                    <w:t>袋式</w:t>
                  </w:r>
                  <w:r>
                    <w:rPr>
                      <w:rFonts w:hint="eastAsia"/>
                      <w:bCs/>
                      <w:color w:val="auto"/>
                      <w:szCs w:val="21"/>
                      <w:highlight w:val="none"/>
                      <w:lang w:bidi="ar"/>
                    </w:rPr>
                    <w:t>除尘”处理达标后</w:t>
                  </w:r>
                  <w:r>
                    <w:rPr>
                      <w:rFonts w:hint="eastAsia"/>
                      <w:bCs/>
                      <w:color w:val="auto"/>
                      <w:szCs w:val="21"/>
                      <w:highlight w:val="none"/>
                      <w:lang w:eastAsia="zh-CN" w:bidi="ar"/>
                    </w:rPr>
                    <w:t>通过</w:t>
                  </w:r>
                  <w:r>
                    <w:rPr>
                      <w:rFonts w:hint="eastAsia"/>
                      <w:bCs/>
                      <w:color w:val="auto"/>
                      <w:szCs w:val="21"/>
                      <w:highlight w:val="none"/>
                      <w:lang w:val="en-US" w:eastAsia="zh-CN" w:bidi="ar"/>
                    </w:rPr>
                    <w:t>40m高排气筒排放</w:t>
                  </w:r>
                  <w:r>
                    <w:rPr>
                      <w:rFonts w:hint="eastAsia"/>
                      <w:bCs/>
                      <w:color w:val="auto"/>
                      <w:szCs w:val="21"/>
                      <w:highlight w:val="none"/>
                      <w:lang w:bidi="ar"/>
                    </w:rPr>
                    <w:t>；</w:t>
                  </w:r>
                </w:p>
                <w:p w14:paraId="0E2326EA">
                  <w:pPr>
                    <w:adjustRightInd w:val="0"/>
                    <w:snapToGrid w:val="0"/>
                    <w:rPr>
                      <w:bCs/>
                      <w:color w:val="auto"/>
                      <w:szCs w:val="21"/>
                      <w:highlight w:val="none"/>
                      <w:lang w:bidi="ar"/>
                    </w:rPr>
                  </w:pPr>
                  <w:r>
                    <w:rPr>
                      <w:rFonts w:hint="eastAsia" w:ascii="宋体" w:hAnsi="宋体" w:cs="宋体"/>
                      <w:bCs/>
                      <w:color w:val="auto"/>
                      <w:szCs w:val="21"/>
                      <w:highlight w:val="none"/>
                      <w:lang w:bidi="ar"/>
                    </w:rPr>
                    <w:t>②</w:t>
                  </w:r>
                  <w:r>
                    <w:rPr>
                      <w:rFonts w:hint="eastAsia"/>
                      <w:bCs/>
                      <w:color w:val="auto"/>
                      <w:szCs w:val="21"/>
                      <w:highlight w:val="none"/>
                      <w:lang w:bidi="ar"/>
                    </w:rPr>
                    <w:t>油炸脱水时，产生的油烟采用油烟净化器处理达标后引至</w:t>
                  </w:r>
                  <w:r>
                    <w:rPr>
                      <w:rFonts w:hint="eastAsia"/>
                      <w:bCs/>
                      <w:color w:val="auto"/>
                      <w:szCs w:val="21"/>
                      <w:highlight w:val="none"/>
                      <w:lang w:eastAsia="zh-CN" w:bidi="ar"/>
                    </w:rPr>
                    <w:t>厂房顶部</w:t>
                  </w:r>
                  <w:r>
                    <w:rPr>
                      <w:rFonts w:hint="eastAsia"/>
                      <w:bCs/>
                      <w:color w:val="auto"/>
                      <w:szCs w:val="21"/>
                      <w:highlight w:val="none"/>
                      <w:lang w:bidi="ar"/>
                    </w:rPr>
                    <w:t>排放；</w:t>
                  </w:r>
                </w:p>
                <w:p w14:paraId="75989D58">
                  <w:pPr>
                    <w:adjustRightInd w:val="0"/>
                    <w:snapToGrid w:val="0"/>
                    <w:rPr>
                      <w:bCs/>
                      <w:color w:val="auto"/>
                      <w:szCs w:val="21"/>
                      <w:highlight w:val="none"/>
                      <w:lang w:bidi="ar"/>
                    </w:rPr>
                  </w:pPr>
                  <w:r>
                    <w:rPr>
                      <w:rFonts w:hint="eastAsia" w:ascii="宋体" w:hAnsi="宋体" w:cs="宋体"/>
                      <w:bCs/>
                      <w:color w:val="auto"/>
                      <w:szCs w:val="21"/>
                      <w:highlight w:val="none"/>
                      <w:lang w:bidi="ar"/>
                    </w:rPr>
                    <w:t>③</w:t>
                  </w:r>
                  <w:r>
                    <w:rPr>
                      <w:rFonts w:hint="eastAsia"/>
                      <w:bCs/>
                      <w:color w:val="auto"/>
                      <w:szCs w:val="21"/>
                      <w:highlight w:val="none"/>
                      <w:lang w:bidi="ar"/>
                    </w:rPr>
                    <w:t>食堂油烟采用抽油烟机引至</w:t>
                  </w:r>
                  <w:r>
                    <w:rPr>
                      <w:rFonts w:hint="eastAsia"/>
                      <w:bCs/>
                      <w:color w:val="auto"/>
                      <w:szCs w:val="21"/>
                      <w:highlight w:val="none"/>
                      <w:lang w:eastAsia="zh-CN" w:bidi="ar"/>
                    </w:rPr>
                    <w:t>楼顶</w:t>
                  </w:r>
                  <w:r>
                    <w:rPr>
                      <w:rFonts w:hint="eastAsia"/>
                      <w:bCs/>
                      <w:color w:val="auto"/>
                      <w:szCs w:val="21"/>
                      <w:highlight w:val="none"/>
                      <w:lang w:bidi="ar"/>
                    </w:rPr>
                    <w:t>排放；</w:t>
                  </w:r>
                </w:p>
                <w:p w14:paraId="7AD93DF7">
                  <w:pPr>
                    <w:adjustRightInd w:val="0"/>
                    <w:snapToGrid w:val="0"/>
                    <w:rPr>
                      <w:bCs/>
                      <w:color w:val="auto"/>
                      <w:szCs w:val="21"/>
                      <w:highlight w:val="none"/>
                    </w:rPr>
                  </w:pPr>
                  <w:r>
                    <w:rPr>
                      <w:rFonts w:hint="eastAsia" w:ascii="宋体" w:hAnsi="宋体" w:cs="宋体"/>
                      <w:bCs/>
                      <w:color w:val="auto"/>
                      <w:szCs w:val="21"/>
                      <w:highlight w:val="none"/>
                      <w:lang w:bidi="ar"/>
                    </w:rPr>
                    <w:t>④</w:t>
                  </w:r>
                  <w:r>
                    <w:rPr>
                      <w:rFonts w:hint="eastAsia"/>
                      <w:bCs/>
                      <w:color w:val="auto"/>
                      <w:szCs w:val="21"/>
                      <w:highlight w:val="none"/>
                      <w:lang w:bidi="ar"/>
                    </w:rPr>
                    <w:t>污水处理站区域</w:t>
                  </w:r>
                  <w:r>
                    <w:rPr>
                      <w:rFonts w:hint="eastAsia"/>
                      <w:bCs/>
                      <w:color w:val="auto"/>
                      <w:szCs w:val="21"/>
                      <w:highlight w:val="none"/>
                      <w:lang w:eastAsia="zh-CN" w:bidi="ar"/>
                    </w:rPr>
                    <w:t>自然</w:t>
                  </w:r>
                  <w:r>
                    <w:rPr>
                      <w:rFonts w:hint="eastAsia"/>
                      <w:bCs/>
                      <w:color w:val="auto"/>
                      <w:szCs w:val="21"/>
                      <w:highlight w:val="none"/>
                      <w:lang w:bidi="ar"/>
                    </w:rPr>
                    <w:t>通风。</w:t>
                  </w:r>
                </w:p>
              </w:tc>
            </w:tr>
            <w:tr w14:paraId="04DCD1E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447" w:type="pct"/>
                  <w:vMerge w:val="continue"/>
                  <w:vAlign w:val="center"/>
                </w:tcPr>
                <w:p w14:paraId="3F09455E">
                  <w:pPr>
                    <w:rPr>
                      <w:color w:val="auto"/>
                      <w:sz w:val="20"/>
                      <w:szCs w:val="20"/>
                      <w:highlight w:val="none"/>
                    </w:rPr>
                  </w:pPr>
                </w:p>
              </w:tc>
              <w:tc>
                <w:tcPr>
                  <w:tcW w:w="649" w:type="pct"/>
                  <w:vAlign w:val="center"/>
                </w:tcPr>
                <w:p w14:paraId="61B71045">
                  <w:pPr>
                    <w:adjustRightInd w:val="0"/>
                    <w:snapToGrid w:val="0"/>
                    <w:jc w:val="center"/>
                    <w:rPr>
                      <w:bCs/>
                      <w:color w:val="auto"/>
                      <w:szCs w:val="21"/>
                      <w:highlight w:val="none"/>
                    </w:rPr>
                  </w:pPr>
                  <w:r>
                    <w:rPr>
                      <w:bCs/>
                      <w:color w:val="auto"/>
                      <w:szCs w:val="21"/>
                      <w:highlight w:val="none"/>
                      <w:lang w:bidi="ar"/>
                    </w:rPr>
                    <w:t>噪声</w:t>
                  </w:r>
                </w:p>
                <w:p w14:paraId="46F82133">
                  <w:pPr>
                    <w:adjustRightInd w:val="0"/>
                    <w:snapToGrid w:val="0"/>
                    <w:jc w:val="center"/>
                    <w:rPr>
                      <w:bCs/>
                      <w:color w:val="auto"/>
                      <w:szCs w:val="21"/>
                      <w:highlight w:val="none"/>
                    </w:rPr>
                  </w:pPr>
                  <w:r>
                    <w:rPr>
                      <w:bCs/>
                      <w:color w:val="auto"/>
                      <w:szCs w:val="21"/>
                      <w:highlight w:val="none"/>
                      <w:lang w:bidi="ar"/>
                    </w:rPr>
                    <w:t>控制</w:t>
                  </w:r>
                </w:p>
              </w:tc>
              <w:tc>
                <w:tcPr>
                  <w:tcW w:w="3902" w:type="pct"/>
                  <w:vAlign w:val="center"/>
                </w:tcPr>
                <w:p w14:paraId="381E7E37">
                  <w:pPr>
                    <w:adjustRightInd w:val="0"/>
                    <w:snapToGrid w:val="0"/>
                    <w:rPr>
                      <w:bCs/>
                      <w:color w:val="auto"/>
                      <w:szCs w:val="21"/>
                      <w:highlight w:val="none"/>
                    </w:rPr>
                  </w:pPr>
                  <w:r>
                    <w:rPr>
                      <w:bCs/>
                      <w:color w:val="auto"/>
                      <w:szCs w:val="21"/>
                      <w:highlight w:val="none"/>
                      <w:lang w:bidi="ar"/>
                    </w:rPr>
                    <w:t>采用低噪声设备；</w:t>
                  </w:r>
                  <w:r>
                    <w:rPr>
                      <w:rFonts w:hint="eastAsia"/>
                      <w:bCs/>
                      <w:color w:val="auto"/>
                      <w:szCs w:val="21"/>
                      <w:highlight w:val="none"/>
                      <w:lang w:bidi="ar"/>
                    </w:rPr>
                    <w:t>生产</w:t>
                  </w:r>
                  <w:r>
                    <w:rPr>
                      <w:color w:val="auto"/>
                      <w:szCs w:val="21"/>
                      <w:highlight w:val="none"/>
                      <w:lang w:bidi="ar"/>
                    </w:rPr>
                    <w:t>设备</w:t>
                  </w:r>
                  <w:r>
                    <w:rPr>
                      <w:rFonts w:hint="eastAsia"/>
                      <w:color w:val="auto"/>
                      <w:szCs w:val="21"/>
                      <w:highlight w:val="none"/>
                      <w:lang w:bidi="ar"/>
                    </w:rPr>
                    <w:t>均</w:t>
                  </w:r>
                  <w:r>
                    <w:rPr>
                      <w:color w:val="auto"/>
                      <w:szCs w:val="21"/>
                      <w:highlight w:val="none"/>
                      <w:lang w:bidi="ar"/>
                    </w:rPr>
                    <w:t>置于封闭</w:t>
                  </w:r>
                  <w:r>
                    <w:rPr>
                      <w:rFonts w:hint="eastAsia"/>
                      <w:color w:val="auto"/>
                      <w:szCs w:val="21"/>
                      <w:highlight w:val="none"/>
                      <w:lang w:bidi="ar"/>
                    </w:rPr>
                    <w:t>厂房</w:t>
                  </w:r>
                  <w:r>
                    <w:rPr>
                      <w:color w:val="auto"/>
                      <w:szCs w:val="21"/>
                      <w:highlight w:val="none"/>
                      <w:lang w:bidi="ar"/>
                    </w:rPr>
                    <w:t>内</w:t>
                  </w:r>
                  <w:r>
                    <w:rPr>
                      <w:rFonts w:hint="eastAsia"/>
                      <w:color w:val="auto"/>
                      <w:szCs w:val="21"/>
                      <w:highlight w:val="none"/>
                      <w:lang w:bidi="ar"/>
                    </w:rPr>
                    <w:t>、</w:t>
                  </w:r>
                  <w:r>
                    <w:rPr>
                      <w:bCs/>
                      <w:color w:val="auto"/>
                      <w:szCs w:val="21"/>
                      <w:highlight w:val="none"/>
                      <w:lang w:bidi="ar"/>
                    </w:rPr>
                    <w:t>合理安排运行时间</w:t>
                  </w:r>
                  <w:r>
                    <w:rPr>
                      <w:rFonts w:hint="eastAsia"/>
                      <w:bCs/>
                      <w:color w:val="auto"/>
                      <w:szCs w:val="21"/>
                      <w:highlight w:val="none"/>
                      <w:lang w:bidi="ar"/>
                    </w:rPr>
                    <w:t>、</w:t>
                  </w:r>
                  <w:r>
                    <w:rPr>
                      <w:bCs/>
                      <w:color w:val="auto"/>
                      <w:szCs w:val="21"/>
                      <w:highlight w:val="none"/>
                      <w:lang w:bidi="ar"/>
                    </w:rPr>
                    <w:t>采取隔声减</w:t>
                  </w:r>
                  <w:r>
                    <w:rPr>
                      <w:rFonts w:hint="eastAsia"/>
                      <w:bCs/>
                      <w:color w:val="auto"/>
                      <w:szCs w:val="21"/>
                      <w:highlight w:val="none"/>
                      <w:lang w:bidi="ar"/>
                    </w:rPr>
                    <w:t>振</w:t>
                  </w:r>
                  <w:r>
                    <w:rPr>
                      <w:bCs/>
                      <w:color w:val="auto"/>
                      <w:szCs w:val="21"/>
                      <w:highlight w:val="none"/>
                      <w:lang w:bidi="ar"/>
                    </w:rPr>
                    <w:t>措施</w:t>
                  </w:r>
                  <w:r>
                    <w:rPr>
                      <w:rFonts w:hint="eastAsia"/>
                      <w:bCs/>
                      <w:color w:val="auto"/>
                      <w:szCs w:val="21"/>
                      <w:highlight w:val="none"/>
                      <w:lang w:bidi="ar"/>
                    </w:rPr>
                    <w:t>、</w:t>
                  </w:r>
                  <w:r>
                    <w:rPr>
                      <w:bCs/>
                      <w:color w:val="auto"/>
                      <w:szCs w:val="21"/>
                      <w:highlight w:val="none"/>
                      <w:lang w:bidi="ar"/>
                    </w:rPr>
                    <w:t>加强机械维护工作</w:t>
                  </w:r>
                  <w:r>
                    <w:rPr>
                      <w:rFonts w:hint="eastAsia"/>
                      <w:bCs/>
                      <w:color w:val="auto"/>
                      <w:szCs w:val="21"/>
                      <w:highlight w:val="none"/>
                      <w:lang w:bidi="ar"/>
                    </w:rPr>
                    <w:t>。</w:t>
                  </w:r>
                </w:p>
              </w:tc>
            </w:tr>
            <w:tr w14:paraId="7B9453F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447" w:type="pct"/>
                  <w:vMerge w:val="continue"/>
                  <w:vAlign w:val="center"/>
                </w:tcPr>
                <w:p w14:paraId="266D8787">
                  <w:pPr>
                    <w:rPr>
                      <w:color w:val="auto"/>
                      <w:sz w:val="20"/>
                      <w:szCs w:val="20"/>
                      <w:highlight w:val="none"/>
                    </w:rPr>
                  </w:pPr>
                </w:p>
              </w:tc>
              <w:tc>
                <w:tcPr>
                  <w:tcW w:w="649" w:type="pct"/>
                  <w:vAlign w:val="center"/>
                </w:tcPr>
                <w:p w14:paraId="52F4FC24">
                  <w:pPr>
                    <w:adjustRightInd w:val="0"/>
                    <w:snapToGrid w:val="0"/>
                    <w:jc w:val="center"/>
                    <w:rPr>
                      <w:bCs/>
                      <w:color w:val="auto"/>
                      <w:szCs w:val="21"/>
                      <w:highlight w:val="none"/>
                    </w:rPr>
                  </w:pPr>
                  <w:r>
                    <w:rPr>
                      <w:bCs/>
                      <w:color w:val="auto"/>
                      <w:szCs w:val="21"/>
                      <w:highlight w:val="none"/>
                      <w:lang w:bidi="ar"/>
                    </w:rPr>
                    <w:t>固废</w:t>
                  </w:r>
                </w:p>
                <w:p w14:paraId="1B79D077">
                  <w:pPr>
                    <w:adjustRightInd w:val="0"/>
                    <w:snapToGrid w:val="0"/>
                    <w:jc w:val="center"/>
                    <w:rPr>
                      <w:bCs/>
                      <w:color w:val="auto"/>
                      <w:szCs w:val="21"/>
                      <w:highlight w:val="none"/>
                    </w:rPr>
                  </w:pPr>
                  <w:r>
                    <w:rPr>
                      <w:bCs/>
                      <w:color w:val="auto"/>
                      <w:szCs w:val="21"/>
                      <w:highlight w:val="none"/>
                      <w:lang w:bidi="ar"/>
                    </w:rPr>
                    <w:t>处置</w:t>
                  </w:r>
                </w:p>
              </w:tc>
              <w:tc>
                <w:tcPr>
                  <w:tcW w:w="3902" w:type="pct"/>
                  <w:vAlign w:val="center"/>
                </w:tcPr>
                <w:p w14:paraId="2B3F2179">
                  <w:pPr>
                    <w:rPr>
                      <w:color w:val="auto"/>
                      <w:szCs w:val="21"/>
                      <w:highlight w:val="none"/>
                    </w:rPr>
                  </w:pPr>
                  <w:r>
                    <w:rPr>
                      <w:rFonts w:hint="eastAsia" w:ascii="宋体" w:hAnsi="宋体" w:cs="宋体"/>
                      <w:color w:val="auto"/>
                      <w:szCs w:val="21"/>
                      <w:highlight w:val="none"/>
                    </w:rPr>
                    <w:t>①</w:t>
                  </w:r>
                  <w:r>
                    <w:rPr>
                      <w:rFonts w:hint="eastAsia" w:ascii="宋体" w:hAnsi="宋体"/>
                      <w:bCs/>
                      <w:color w:val="auto"/>
                      <w:kern w:val="0"/>
                      <w:szCs w:val="21"/>
                      <w:highlight w:val="none"/>
                    </w:rPr>
                    <w:t>生活垃圾经垃圾桶收集后交由环卫部门处置</w:t>
                  </w:r>
                  <w:r>
                    <w:rPr>
                      <w:color w:val="auto"/>
                      <w:szCs w:val="21"/>
                      <w:highlight w:val="none"/>
                    </w:rPr>
                    <w:t>；</w:t>
                  </w:r>
                </w:p>
                <w:p w14:paraId="2FF3FA4C">
                  <w:pPr>
                    <w:pStyle w:val="11"/>
                    <w:ind w:left="0" w:leftChars="0"/>
                    <w:rPr>
                      <w:color w:val="auto"/>
                      <w:highlight w:val="none"/>
                    </w:rPr>
                  </w:pPr>
                  <w:r>
                    <w:rPr>
                      <w:rFonts w:hint="eastAsia" w:ascii="宋体" w:hAnsi="宋体" w:cs="宋体"/>
                      <w:color w:val="auto"/>
                      <w:highlight w:val="none"/>
                    </w:rPr>
                    <w:t>②果蔬表皮</w:t>
                  </w:r>
                  <w:r>
                    <w:rPr>
                      <w:rFonts w:hint="eastAsia" w:ascii="宋体" w:hAnsi="宋体" w:cs="宋体"/>
                      <w:color w:val="auto"/>
                      <w:highlight w:val="none"/>
                      <w:lang w:eastAsia="zh-CN"/>
                    </w:rPr>
                    <w:t>和不合格品</w:t>
                  </w:r>
                  <w:r>
                    <w:rPr>
                      <w:rFonts w:hint="eastAsia" w:ascii="宋体" w:hAnsi="宋体" w:cs="宋体"/>
                      <w:color w:val="auto"/>
                      <w:highlight w:val="none"/>
                    </w:rPr>
                    <w:t>桶装收集后暂存于厂房闲置区，</w:t>
                  </w:r>
                  <w:r>
                    <w:rPr>
                      <w:rFonts w:hint="eastAsia" w:ascii="宋体" w:hAnsi="宋体" w:cs="宋体"/>
                      <w:color w:val="auto"/>
                      <w:highlight w:val="none"/>
                      <w:lang w:eastAsia="zh-CN"/>
                    </w:rPr>
                    <w:t>后期用于果园堆肥处理</w:t>
                  </w:r>
                  <w:r>
                    <w:rPr>
                      <w:rFonts w:hint="eastAsia"/>
                      <w:color w:val="auto"/>
                      <w:highlight w:val="none"/>
                    </w:rPr>
                    <w:t>；</w:t>
                  </w:r>
                </w:p>
                <w:p w14:paraId="3DD5F932">
                  <w:pPr>
                    <w:rPr>
                      <w:rFonts w:hAnsi="宋体"/>
                      <w:snapToGrid w:val="0"/>
                      <w:color w:val="auto"/>
                      <w:spacing w:val="-6"/>
                      <w:kern w:val="21"/>
                      <w:szCs w:val="21"/>
                      <w:highlight w:val="none"/>
                    </w:rPr>
                  </w:pPr>
                  <w:r>
                    <w:rPr>
                      <w:rFonts w:hint="eastAsia" w:ascii="宋体" w:hAnsi="宋体" w:cs="宋体"/>
                      <w:color w:val="auto"/>
                      <w:szCs w:val="21"/>
                      <w:highlight w:val="none"/>
                    </w:rPr>
                    <w:t>③废油脂采用带盖容器收集后暂存于厂房闲置区，定期交由废油脂回收公司进行回收处理</w:t>
                  </w:r>
                  <w:r>
                    <w:rPr>
                      <w:rFonts w:hint="eastAsia" w:hAnsi="宋体"/>
                      <w:snapToGrid w:val="0"/>
                      <w:color w:val="auto"/>
                      <w:spacing w:val="-6"/>
                      <w:kern w:val="21"/>
                      <w:szCs w:val="21"/>
                      <w:highlight w:val="none"/>
                    </w:rPr>
                    <w:t>；</w:t>
                  </w:r>
                </w:p>
                <w:p w14:paraId="54C5C6DC">
                  <w:pPr>
                    <w:rPr>
                      <w:color w:val="auto"/>
                      <w:szCs w:val="21"/>
                      <w:highlight w:val="none"/>
                    </w:rPr>
                  </w:pPr>
                  <w:r>
                    <w:rPr>
                      <w:rFonts w:hint="eastAsia" w:ascii="宋体" w:hAnsi="宋体" w:cs="宋体"/>
                      <w:color w:val="auto"/>
                      <w:szCs w:val="21"/>
                      <w:highlight w:val="none"/>
                    </w:rPr>
                    <w:t>④废弃包装袋统一收集后暂存于材料区，外售至废品回收站处置</w:t>
                  </w:r>
                  <w:r>
                    <w:rPr>
                      <w:color w:val="auto"/>
                      <w:szCs w:val="21"/>
                      <w:highlight w:val="none"/>
                    </w:rPr>
                    <w:t>；</w:t>
                  </w:r>
                </w:p>
                <w:p w14:paraId="426ABBA4">
                  <w:pPr>
                    <w:rPr>
                      <w:color w:val="auto"/>
                      <w:szCs w:val="21"/>
                      <w:highlight w:val="none"/>
                    </w:rPr>
                  </w:pPr>
                  <w:r>
                    <w:rPr>
                      <w:rFonts w:hint="eastAsia" w:ascii="宋体" w:hAnsi="宋体" w:cs="宋体"/>
                      <w:color w:val="auto"/>
                      <w:szCs w:val="21"/>
                      <w:highlight w:val="none"/>
                    </w:rPr>
                    <w:t>⑤</w:t>
                  </w:r>
                  <w:r>
                    <w:rPr>
                      <w:rFonts w:hint="eastAsia"/>
                      <w:color w:val="auto"/>
                      <w:szCs w:val="21"/>
                      <w:highlight w:val="none"/>
                    </w:rPr>
                    <w:t>灰渣</w:t>
                  </w:r>
                  <w:r>
                    <w:rPr>
                      <w:rFonts w:hint="eastAsia" w:ascii="宋体" w:hAnsi="宋体" w:cs="宋体"/>
                      <w:color w:val="auto"/>
                      <w:szCs w:val="21"/>
                      <w:highlight w:val="none"/>
                      <w:lang w:bidi="ar"/>
                    </w:rPr>
                    <w:t>装袋保存后暂存于厂区闲置区域，定期交由周边农户，用作自家农田肥料</w:t>
                  </w:r>
                  <w:r>
                    <w:rPr>
                      <w:rFonts w:hint="eastAsia"/>
                      <w:color w:val="auto"/>
                      <w:szCs w:val="21"/>
                      <w:highlight w:val="none"/>
                    </w:rPr>
                    <w:t>；</w:t>
                  </w:r>
                </w:p>
                <w:p w14:paraId="13AD54A1">
                  <w:pPr>
                    <w:adjustRightInd w:val="0"/>
                    <w:snapToGrid w:val="0"/>
                    <w:rPr>
                      <w:bCs/>
                      <w:color w:val="auto"/>
                      <w:szCs w:val="21"/>
                      <w:highlight w:val="none"/>
                      <w:lang w:bidi="ar"/>
                    </w:rPr>
                  </w:pPr>
                  <w:r>
                    <w:rPr>
                      <w:rFonts w:hint="eastAsia" w:ascii="宋体" w:hAnsi="宋体" w:cs="宋体"/>
                      <w:color w:val="auto"/>
                      <w:szCs w:val="21"/>
                      <w:highlight w:val="none"/>
                    </w:rPr>
                    <w:t>⑥污泥</w:t>
                  </w:r>
                  <w:r>
                    <w:rPr>
                      <w:rFonts w:hint="eastAsia"/>
                      <w:bCs/>
                      <w:color w:val="auto"/>
                      <w:szCs w:val="21"/>
                      <w:highlight w:val="none"/>
                      <w:lang w:bidi="ar"/>
                    </w:rPr>
                    <w:t>浓缩压滤后暂存于污泥池，定期外运至洋县生活垃圾焚烧发电</w:t>
                  </w:r>
                  <w:r>
                    <w:rPr>
                      <w:rFonts w:hint="eastAsia"/>
                      <w:bCs/>
                      <w:color w:val="auto"/>
                      <w:szCs w:val="21"/>
                      <w:highlight w:val="none"/>
                      <w:lang w:eastAsia="zh-CN" w:bidi="ar"/>
                    </w:rPr>
                    <w:t>厂</w:t>
                  </w:r>
                  <w:r>
                    <w:rPr>
                      <w:rFonts w:hint="eastAsia"/>
                      <w:bCs/>
                      <w:color w:val="auto"/>
                      <w:szCs w:val="21"/>
                      <w:highlight w:val="none"/>
                      <w:lang w:bidi="ar"/>
                    </w:rPr>
                    <w:t>处置。</w:t>
                  </w:r>
                </w:p>
              </w:tc>
            </w:tr>
          </w:tbl>
          <w:p w14:paraId="04671743">
            <w:pPr>
              <w:numPr>
                <w:ilvl w:val="255"/>
                <w:numId w:val="0"/>
              </w:numPr>
              <w:spacing w:line="360" w:lineRule="auto"/>
              <w:ind w:firstLine="480" w:firstLineChars="200"/>
              <w:rPr>
                <w:color w:val="auto"/>
                <w:sz w:val="24"/>
                <w:szCs w:val="32"/>
                <w:highlight w:val="none"/>
              </w:rPr>
            </w:pPr>
            <w:r>
              <w:rPr>
                <w:rFonts w:hint="eastAsia"/>
                <w:color w:val="auto"/>
                <w:sz w:val="24"/>
                <w:szCs w:val="32"/>
                <w:highlight w:val="none"/>
              </w:rPr>
              <w:t>3、产品方案</w:t>
            </w:r>
          </w:p>
          <w:p w14:paraId="01F40CAE">
            <w:pPr>
              <w:pStyle w:val="46"/>
              <w:numPr>
                <w:ilvl w:val="255"/>
                <w:numId w:val="0"/>
              </w:numPr>
              <w:spacing w:line="360" w:lineRule="auto"/>
              <w:ind w:firstLine="480" w:firstLineChars="200"/>
              <w:rPr>
                <w:rFonts w:ascii="Times New Roman" w:cs="Times New Roman"/>
                <w:color w:val="auto"/>
                <w:szCs w:val="32"/>
                <w:highlight w:val="none"/>
              </w:rPr>
            </w:pPr>
            <w:r>
              <w:rPr>
                <w:rFonts w:hint="eastAsia" w:ascii="Times New Roman" w:cs="Times New Roman"/>
                <w:color w:val="auto"/>
                <w:szCs w:val="32"/>
                <w:highlight w:val="none"/>
              </w:rPr>
              <w:t>本项目产品方案见下表：</w:t>
            </w:r>
          </w:p>
          <w:p w14:paraId="0A97308D">
            <w:pPr>
              <w:adjustRightInd w:val="0"/>
              <w:snapToGrid w:val="0"/>
              <w:jc w:val="center"/>
              <w:rPr>
                <w:b/>
                <w:bCs/>
                <w:color w:val="auto"/>
                <w:highlight w:val="none"/>
              </w:rPr>
            </w:pPr>
            <w:r>
              <w:rPr>
                <w:rFonts w:hint="eastAsia"/>
                <w:b/>
                <w:bCs/>
                <w:color w:val="auto"/>
                <w:highlight w:val="none"/>
              </w:rPr>
              <w:t>表2-2  产品方案一览表</w:t>
            </w:r>
          </w:p>
          <w:tbl>
            <w:tblPr>
              <w:tblStyle w:val="35"/>
              <w:tblW w:w="8304"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6" w:space="0"/>
              </w:tblBorders>
              <w:tblLayout w:type="fixed"/>
              <w:tblCellMar>
                <w:top w:w="0" w:type="dxa"/>
                <w:left w:w="108" w:type="dxa"/>
                <w:bottom w:w="0" w:type="dxa"/>
                <w:right w:w="108" w:type="dxa"/>
              </w:tblCellMar>
            </w:tblPr>
            <w:tblGrid>
              <w:gridCol w:w="756"/>
              <w:gridCol w:w="1333"/>
              <w:gridCol w:w="4834"/>
              <w:gridCol w:w="1381"/>
            </w:tblGrid>
            <w:tr w14:paraId="3906E826">
              <w:tblPrEx>
                <w:tblBorders>
                  <w:top w:val="single" w:color="000000" w:sz="12" w:space="0"/>
                  <w:left w:val="none" w:color="auto" w:sz="0" w:space="0"/>
                  <w:bottom w:val="single" w:color="000000" w:sz="12" w:space="0"/>
                  <w:right w:val="none" w:color="auto" w:sz="0" w:space="0"/>
                  <w:insideH w:val="single" w:color="000000" w:sz="4" w:space="0"/>
                  <w:insideV w:val="single" w:color="000000" w:sz="6" w:space="0"/>
                </w:tblBorders>
                <w:tblCellMar>
                  <w:top w:w="0" w:type="dxa"/>
                  <w:left w:w="108" w:type="dxa"/>
                  <w:bottom w:w="0" w:type="dxa"/>
                  <w:right w:w="108" w:type="dxa"/>
                </w:tblCellMar>
              </w:tblPrEx>
              <w:trPr>
                <w:trHeight w:val="353" w:hRule="atLeast"/>
                <w:tblHeader/>
                <w:jc w:val="center"/>
              </w:trPr>
              <w:tc>
                <w:tcPr>
                  <w:tcW w:w="756" w:type="dxa"/>
                  <w:tcBorders>
                    <w:tl2br w:val="nil"/>
                    <w:tr2bl w:val="nil"/>
                  </w:tcBorders>
                  <w:vAlign w:val="center"/>
                </w:tcPr>
                <w:p w14:paraId="652E53AF">
                  <w:pPr>
                    <w:snapToGrid w:val="0"/>
                    <w:jc w:val="center"/>
                    <w:rPr>
                      <w:color w:val="auto"/>
                      <w:szCs w:val="21"/>
                      <w:highlight w:val="none"/>
                    </w:rPr>
                  </w:pPr>
                  <w:r>
                    <w:rPr>
                      <w:rFonts w:hint="eastAsia"/>
                      <w:color w:val="auto"/>
                      <w:szCs w:val="21"/>
                      <w:highlight w:val="none"/>
                    </w:rPr>
                    <w:t>序号</w:t>
                  </w:r>
                </w:p>
              </w:tc>
              <w:tc>
                <w:tcPr>
                  <w:tcW w:w="1333" w:type="dxa"/>
                  <w:tcBorders>
                    <w:tl2br w:val="nil"/>
                    <w:tr2bl w:val="nil"/>
                  </w:tcBorders>
                  <w:vAlign w:val="center"/>
                </w:tcPr>
                <w:p w14:paraId="3D4D55D4">
                  <w:pPr>
                    <w:snapToGrid w:val="0"/>
                    <w:jc w:val="center"/>
                    <w:rPr>
                      <w:color w:val="auto"/>
                      <w:szCs w:val="21"/>
                      <w:highlight w:val="none"/>
                    </w:rPr>
                  </w:pPr>
                  <w:r>
                    <w:rPr>
                      <w:rFonts w:hint="eastAsia"/>
                      <w:color w:val="auto"/>
                      <w:szCs w:val="21"/>
                      <w:highlight w:val="none"/>
                    </w:rPr>
                    <w:t>产品类型</w:t>
                  </w:r>
                </w:p>
              </w:tc>
              <w:tc>
                <w:tcPr>
                  <w:tcW w:w="4834" w:type="dxa"/>
                  <w:tcBorders>
                    <w:tl2br w:val="nil"/>
                    <w:tr2bl w:val="nil"/>
                  </w:tcBorders>
                  <w:vAlign w:val="center"/>
                </w:tcPr>
                <w:p w14:paraId="5AE27AD5">
                  <w:pPr>
                    <w:snapToGrid w:val="0"/>
                    <w:jc w:val="center"/>
                    <w:rPr>
                      <w:color w:val="auto"/>
                      <w:szCs w:val="21"/>
                      <w:highlight w:val="none"/>
                    </w:rPr>
                  </w:pPr>
                  <w:r>
                    <w:rPr>
                      <w:rFonts w:hint="eastAsia"/>
                      <w:color w:val="auto"/>
                      <w:szCs w:val="21"/>
                      <w:highlight w:val="none"/>
                    </w:rPr>
                    <w:t>种类</w:t>
                  </w:r>
                </w:p>
              </w:tc>
              <w:tc>
                <w:tcPr>
                  <w:tcW w:w="1381" w:type="dxa"/>
                  <w:tcBorders>
                    <w:tl2br w:val="nil"/>
                    <w:tr2bl w:val="nil"/>
                  </w:tcBorders>
                  <w:vAlign w:val="center"/>
                </w:tcPr>
                <w:p w14:paraId="3D8F2EE5">
                  <w:pPr>
                    <w:snapToGrid w:val="0"/>
                    <w:jc w:val="center"/>
                    <w:rPr>
                      <w:color w:val="auto"/>
                      <w:szCs w:val="21"/>
                      <w:highlight w:val="none"/>
                    </w:rPr>
                  </w:pPr>
                  <w:r>
                    <w:rPr>
                      <w:rFonts w:hint="eastAsia"/>
                      <w:color w:val="auto"/>
                      <w:szCs w:val="21"/>
                      <w:highlight w:val="none"/>
                    </w:rPr>
                    <w:t>产品规模</w:t>
                  </w:r>
                </w:p>
              </w:tc>
            </w:tr>
            <w:tr w14:paraId="0F5EFD87">
              <w:tblPrEx>
                <w:tblBorders>
                  <w:top w:val="single" w:color="000000" w:sz="12" w:space="0"/>
                  <w:left w:val="none" w:color="auto" w:sz="0" w:space="0"/>
                  <w:bottom w:val="single" w:color="000000" w:sz="12" w:space="0"/>
                  <w:right w:val="none" w:color="auto" w:sz="0" w:space="0"/>
                  <w:insideH w:val="single" w:color="000000" w:sz="4" w:space="0"/>
                  <w:insideV w:val="single" w:color="000000" w:sz="6" w:space="0"/>
                </w:tblBorders>
                <w:tblCellMar>
                  <w:top w:w="0" w:type="dxa"/>
                  <w:left w:w="108" w:type="dxa"/>
                  <w:bottom w:w="0" w:type="dxa"/>
                  <w:right w:w="108" w:type="dxa"/>
                </w:tblCellMar>
              </w:tblPrEx>
              <w:trPr>
                <w:trHeight w:val="313" w:hRule="atLeast"/>
                <w:tblHeader/>
                <w:jc w:val="center"/>
              </w:trPr>
              <w:tc>
                <w:tcPr>
                  <w:tcW w:w="756" w:type="dxa"/>
                  <w:tcBorders>
                    <w:tl2br w:val="nil"/>
                    <w:tr2bl w:val="nil"/>
                  </w:tcBorders>
                  <w:vAlign w:val="center"/>
                </w:tcPr>
                <w:p w14:paraId="5904D54A">
                  <w:pPr>
                    <w:jc w:val="center"/>
                    <w:rPr>
                      <w:color w:val="auto"/>
                      <w:szCs w:val="21"/>
                      <w:highlight w:val="none"/>
                    </w:rPr>
                  </w:pPr>
                  <w:r>
                    <w:rPr>
                      <w:rFonts w:hint="eastAsia"/>
                      <w:color w:val="auto"/>
                      <w:szCs w:val="21"/>
                      <w:highlight w:val="none"/>
                    </w:rPr>
                    <w:t>1</w:t>
                  </w:r>
                </w:p>
              </w:tc>
              <w:tc>
                <w:tcPr>
                  <w:tcW w:w="1333" w:type="dxa"/>
                  <w:tcBorders>
                    <w:tl2br w:val="nil"/>
                    <w:tr2bl w:val="nil"/>
                  </w:tcBorders>
                  <w:vAlign w:val="center"/>
                </w:tcPr>
                <w:p w14:paraId="29776FC5">
                  <w:pPr>
                    <w:jc w:val="center"/>
                    <w:rPr>
                      <w:color w:val="auto"/>
                      <w:szCs w:val="21"/>
                      <w:highlight w:val="none"/>
                    </w:rPr>
                  </w:pPr>
                  <w:r>
                    <w:rPr>
                      <w:rFonts w:hint="eastAsia"/>
                      <w:color w:val="auto"/>
                      <w:szCs w:val="21"/>
                      <w:highlight w:val="none"/>
                    </w:rPr>
                    <w:t>果蔬脆片</w:t>
                  </w:r>
                </w:p>
              </w:tc>
              <w:tc>
                <w:tcPr>
                  <w:tcW w:w="4834" w:type="dxa"/>
                  <w:tcBorders>
                    <w:tl2br w:val="nil"/>
                    <w:tr2bl w:val="nil"/>
                  </w:tcBorders>
                  <w:vAlign w:val="center"/>
                </w:tcPr>
                <w:p w14:paraId="6607A404">
                  <w:pPr>
                    <w:jc w:val="center"/>
                    <w:rPr>
                      <w:color w:val="auto"/>
                      <w:szCs w:val="21"/>
                      <w:highlight w:val="none"/>
                    </w:rPr>
                  </w:pPr>
                  <w:r>
                    <w:rPr>
                      <w:rFonts w:hint="eastAsia"/>
                      <w:color w:val="auto"/>
                      <w:szCs w:val="21"/>
                      <w:highlight w:val="none"/>
                    </w:rPr>
                    <w:t>猕猴桃、苹果、秋葵、萝卜、土豆、红薯、紫薯、南瓜、松茸、山楂等</w:t>
                  </w:r>
                </w:p>
              </w:tc>
              <w:tc>
                <w:tcPr>
                  <w:tcW w:w="1381" w:type="dxa"/>
                  <w:tcBorders>
                    <w:tl2br w:val="nil"/>
                    <w:tr2bl w:val="nil"/>
                  </w:tcBorders>
                  <w:vAlign w:val="center"/>
                </w:tcPr>
                <w:p w14:paraId="4E2C2A48">
                  <w:pPr>
                    <w:jc w:val="center"/>
                    <w:rPr>
                      <w:color w:val="auto"/>
                      <w:szCs w:val="21"/>
                      <w:highlight w:val="none"/>
                    </w:rPr>
                  </w:pPr>
                  <w:r>
                    <w:rPr>
                      <w:rFonts w:hint="eastAsia"/>
                      <w:color w:val="auto"/>
                      <w:szCs w:val="21"/>
                      <w:highlight w:val="none"/>
                    </w:rPr>
                    <w:t>60t/a</w:t>
                  </w:r>
                </w:p>
              </w:tc>
            </w:tr>
            <w:tr w14:paraId="28DE36B4">
              <w:tblPrEx>
                <w:tblBorders>
                  <w:top w:val="single" w:color="000000" w:sz="12" w:space="0"/>
                  <w:left w:val="none" w:color="auto" w:sz="0" w:space="0"/>
                  <w:bottom w:val="single" w:color="000000" w:sz="12" w:space="0"/>
                  <w:right w:val="none" w:color="auto" w:sz="0" w:space="0"/>
                  <w:insideH w:val="single" w:color="000000" w:sz="4" w:space="0"/>
                  <w:insideV w:val="single" w:color="000000" w:sz="6" w:space="0"/>
                </w:tblBorders>
                <w:tblCellMar>
                  <w:top w:w="0" w:type="dxa"/>
                  <w:left w:w="108" w:type="dxa"/>
                  <w:bottom w:w="0" w:type="dxa"/>
                  <w:right w:w="108" w:type="dxa"/>
                </w:tblCellMar>
              </w:tblPrEx>
              <w:trPr>
                <w:trHeight w:val="313" w:hRule="atLeast"/>
                <w:tblHeader/>
                <w:jc w:val="center"/>
              </w:trPr>
              <w:tc>
                <w:tcPr>
                  <w:tcW w:w="756" w:type="dxa"/>
                  <w:tcBorders>
                    <w:tl2br w:val="nil"/>
                    <w:tr2bl w:val="nil"/>
                  </w:tcBorders>
                  <w:vAlign w:val="center"/>
                </w:tcPr>
                <w:p w14:paraId="4A30D0B3">
                  <w:pPr>
                    <w:jc w:val="center"/>
                    <w:rPr>
                      <w:color w:val="auto"/>
                      <w:szCs w:val="21"/>
                      <w:highlight w:val="none"/>
                    </w:rPr>
                  </w:pPr>
                  <w:r>
                    <w:rPr>
                      <w:rFonts w:hint="eastAsia"/>
                      <w:color w:val="auto"/>
                      <w:szCs w:val="21"/>
                      <w:highlight w:val="none"/>
                    </w:rPr>
                    <w:t>2</w:t>
                  </w:r>
                </w:p>
              </w:tc>
              <w:tc>
                <w:tcPr>
                  <w:tcW w:w="1333" w:type="dxa"/>
                  <w:tcBorders>
                    <w:tl2br w:val="nil"/>
                    <w:tr2bl w:val="nil"/>
                  </w:tcBorders>
                  <w:vAlign w:val="center"/>
                </w:tcPr>
                <w:p w14:paraId="4DC346C2">
                  <w:pPr>
                    <w:jc w:val="center"/>
                    <w:rPr>
                      <w:color w:val="auto"/>
                      <w:szCs w:val="21"/>
                      <w:highlight w:val="none"/>
                    </w:rPr>
                  </w:pPr>
                  <w:r>
                    <w:rPr>
                      <w:rFonts w:hint="eastAsia"/>
                      <w:color w:val="auto"/>
                      <w:szCs w:val="21"/>
                      <w:highlight w:val="none"/>
                    </w:rPr>
                    <w:t>果蔬干</w:t>
                  </w:r>
                </w:p>
              </w:tc>
              <w:tc>
                <w:tcPr>
                  <w:tcW w:w="4834" w:type="dxa"/>
                  <w:tcBorders>
                    <w:tl2br w:val="nil"/>
                    <w:tr2bl w:val="nil"/>
                  </w:tcBorders>
                  <w:vAlign w:val="center"/>
                </w:tcPr>
                <w:p w14:paraId="577E5140">
                  <w:pPr>
                    <w:jc w:val="center"/>
                    <w:rPr>
                      <w:color w:val="auto"/>
                      <w:szCs w:val="21"/>
                      <w:highlight w:val="none"/>
                    </w:rPr>
                  </w:pPr>
                  <w:r>
                    <w:rPr>
                      <w:rFonts w:hint="eastAsia"/>
                      <w:color w:val="auto"/>
                      <w:szCs w:val="21"/>
                      <w:highlight w:val="none"/>
                    </w:rPr>
                    <w:t>豇豆、土豆、食用菌（香菇、木耳）等</w:t>
                  </w:r>
                </w:p>
              </w:tc>
              <w:tc>
                <w:tcPr>
                  <w:tcW w:w="1381" w:type="dxa"/>
                  <w:tcBorders>
                    <w:tl2br w:val="nil"/>
                    <w:tr2bl w:val="nil"/>
                  </w:tcBorders>
                  <w:vAlign w:val="center"/>
                </w:tcPr>
                <w:p w14:paraId="23FFD6C0">
                  <w:pPr>
                    <w:jc w:val="center"/>
                    <w:rPr>
                      <w:color w:val="auto"/>
                      <w:szCs w:val="21"/>
                      <w:highlight w:val="none"/>
                    </w:rPr>
                  </w:pPr>
                  <w:r>
                    <w:rPr>
                      <w:rFonts w:hint="eastAsia"/>
                      <w:color w:val="auto"/>
                      <w:szCs w:val="21"/>
                      <w:highlight w:val="none"/>
                    </w:rPr>
                    <w:t>500t/a</w:t>
                  </w:r>
                </w:p>
              </w:tc>
            </w:tr>
            <w:tr w14:paraId="08D0AD24">
              <w:tblPrEx>
                <w:tblBorders>
                  <w:top w:val="single" w:color="000000" w:sz="12" w:space="0"/>
                  <w:left w:val="none" w:color="auto" w:sz="0" w:space="0"/>
                  <w:bottom w:val="single" w:color="000000" w:sz="12" w:space="0"/>
                  <w:right w:val="none" w:color="auto" w:sz="0" w:space="0"/>
                  <w:insideH w:val="single" w:color="000000" w:sz="4" w:space="0"/>
                  <w:insideV w:val="single" w:color="000000" w:sz="6" w:space="0"/>
                </w:tblBorders>
                <w:tblCellMar>
                  <w:top w:w="0" w:type="dxa"/>
                  <w:left w:w="108" w:type="dxa"/>
                  <w:bottom w:w="0" w:type="dxa"/>
                  <w:right w:w="108" w:type="dxa"/>
                </w:tblCellMar>
              </w:tblPrEx>
              <w:trPr>
                <w:trHeight w:val="298" w:hRule="atLeast"/>
                <w:tblHeader/>
                <w:jc w:val="center"/>
              </w:trPr>
              <w:tc>
                <w:tcPr>
                  <w:tcW w:w="756" w:type="dxa"/>
                  <w:tcBorders>
                    <w:tl2br w:val="nil"/>
                    <w:tr2bl w:val="nil"/>
                  </w:tcBorders>
                  <w:vAlign w:val="center"/>
                </w:tcPr>
                <w:p w14:paraId="6FE55EA5">
                  <w:pPr>
                    <w:snapToGrid w:val="0"/>
                    <w:jc w:val="center"/>
                    <w:rPr>
                      <w:color w:val="auto"/>
                      <w:szCs w:val="21"/>
                      <w:highlight w:val="none"/>
                    </w:rPr>
                  </w:pPr>
                  <w:r>
                    <w:rPr>
                      <w:rFonts w:hint="eastAsia"/>
                      <w:color w:val="auto"/>
                      <w:szCs w:val="21"/>
                      <w:highlight w:val="none"/>
                    </w:rPr>
                    <w:t>3</w:t>
                  </w:r>
                </w:p>
              </w:tc>
              <w:tc>
                <w:tcPr>
                  <w:tcW w:w="1333" w:type="dxa"/>
                  <w:tcBorders>
                    <w:tl2br w:val="nil"/>
                    <w:tr2bl w:val="nil"/>
                  </w:tcBorders>
                  <w:vAlign w:val="center"/>
                </w:tcPr>
                <w:p w14:paraId="4D6CD62E">
                  <w:pPr>
                    <w:snapToGrid w:val="0"/>
                    <w:jc w:val="center"/>
                    <w:rPr>
                      <w:color w:val="auto"/>
                      <w:szCs w:val="21"/>
                      <w:highlight w:val="none"/>
                    </w:rPr>
                  </w:pPr>
                  <w:r>
                    <w:rPr>
                      <w:rFonts w:hint="eastAsia"/>
                      <w:color w:val="auto"/>
                      <w:szCs w:val="21"/>
                      <w:highlight w:val="none"/>
                    </w:rPr>
                    <w:t>净菜</w:t>
                  </w:r>
                </w:p>
              </w:tc>
              <w:tc>
                <w:tcPr>
                  <w:tcW w:w="4834" w:type="dxa"/>
                  <w:tcBorders>
                    <w:tl2br w:val="nil"/>
                    <w:tr2bl w:val="nil"/>
                  </w:tcBorders>
                  <w:vAlign w:val="center"/>
                </w:tcPr>
                <w:p w14:paraId="63616E76">
                  <w:pPr>
                    <w:snapToGrid w:val="0"/>
                    <w:jc w:val="center"/>
                    <w:rPr>
                      <w:color w:val="auto"/>
                      <w:szCs w:val="21"/>
                      <w:highlight w:val="none"/>
                    </w:rPr>
                  </w:pPr>
                  <w:r>
                    <w:rPr>
                      <w:rFonts w:hint="eastAsia"/>
                      <w:color w:val="auto"/>
                      <w:szCs w:val="21"/>
                      <w:highlight w:val="none"/>
                    </w:rPr>
                    <w:t>莴笋、土豆、豇豆、香菇、萝卜等</w:t>
                  </w:r>
                </w:p>
              </w:tc>
              <w:tc>
                <w:tcPr>
                  <w:tcW w:w="1381" w:type="dxa"/>
                  <w:tcBorders>
                    <w:tl2br w:val="nil"/>
                    <w:tr2bl w:val="nil"/>
                  </w:tcBorders>
                  <w:vAlign w:val="center"/>
                </w:tcPr>
                <w:p w14:paraId="2BD79736">
                  <w:pPr>
                    <w:snapToGrid w:val="0"/>
                    <w:jc w:val="center"/>
                    <w:rPr>
                      <w:color w:val="auto"/>
                      <w:szCs w:val="21"/>
                      <w:highlight w:val="none"/>
                    </w:rPr>
                  </w:pPr>
                  <w:r>
                    <w:rPr>
                      <w:rFonts w:hint="eastAsia"/>
                      <w:color w:val="auto"/>
                      <w:szCs w:val="21"/>
                      <w:highlight w:val="none"/>
                    </w:rPr>
                    <w:t>1000t/a</w:t>
                  </w:r>
                </w:p>
              </w:tc>
            </w:tr>
          </w:tbl>
          <w:p w14:paraId="488EEC3C">
            <w:pPr>
              <w:adjustRightInd w:val="0"/>
              <w:snapToGrid w:val="0"/>
              <w:spacing w:line="360" w:lineRule="auto"/>
              <w:ind w:firstLine="480" w:firstLineChars="200"/>
              <w:rPr>
                <w:color w:val="auto"/>
                <w:sz w:val="24"/>
                <w:szCs w:val="32"/>
                <w:highlight w:val="none"/>
              </w:rPr>
            </w:pPr>
            <w:r>
              <w:rPr>
                <w:rFonts w:hint="eastAsia"/>
                <w:color w:val="auto"/>
                <w:sz w:val="24"/>
                <w:szCs w:val="32"/>
                <w:highlight w:val="none"/>
              </w:rPr>
              <w:t>4、</w:t>
            </w:r>
            <w:r>
              <w:rPr>
                <w:color w:val="auto"/>
                <w:sz w:val="24"/>
                <w:szCs w:val="32"/>
                <w:highlight w:val="none"/>
              </w:rPr>
              <w:t>主要设备</w:t>
            </w:r>
          </w:p>
          <w:p w14:paraId="2E098F71">
            <w:pPr>
              <w:spacing w:line="360" w:lineRule="auto"/>
              <w:ind w:firstLine="480" w:firstLineChars="200"/>
              <w:rPr>
                <w:color w:val="auto"/>
                <w:sz w:val="24"/>
                <w:szCs w:val="32"/>
                <w:highlight w:val="none"/>
              </w:rPr>
            </w:pPr>
            <w:r>
              <w:rPr>
                <w:rFonts w:hint="eastAsia"/>
                <w:color w:val="auto"/>
                <w:sz w:val="24"/>
                <w:szCs w:val="32"/>
                <w:highlight w:val="none"/>
              </w:rPr>
              <w:t>本项目主要设备</w:t>
            </w:r>
            <w:r>
              <w:rPr>
                <w:rFonts w:hint="eastAsia"/>
                <w:color w:val="auto"/>
                <w:sz w:val="24"/>
                <w:szCs w:val="32"/>
                <w:highlight w:val="none"/>
                <w:lang w:eastAsia="zh-CN"/>
              </w:rPr>
              <w:t>（设施）</w:t>
            </w:r>
            <w:r>
              <w:rPr>
                <w:rFonts w:hint="eastAsia"/>
                <w:color w:val="auto"/>
                <w:sz w:val="24"/>
                <w:szCs w:val="32"/>
                <w:highlight w:val="none"/>
              </w:rPr>
              <w:t>情况见下表</w:t>
            </w:r>
            <w:r>
              <w:rPr>
                <w:color w:val="auto"/>
                <w:sz w:val="24"/>
                <w:szCs w:val="32"/>
                <w:highlight w:val="none"/>
              </w:rPr>
              <w:t>：</w:t>
            </w:r>
          </w:p>
          <w:p w14:paraId="3FD0AD21">
            <w:pPr>
              <w:adjustRightInd w:val="0"/>
              <w:snapToGrid w:val="0"/>
              <w:jc w:val="center"/>
              <w:rPr>
                <w:b/>
                <w:bCs/>
                <w:color w:val="auto"/>
                <w:highlight w:val="none"/>
              </w:rPr>
            </w:pPr>
            <w:r>
              <w:rPr>
                <w:b/>
                <w:bCs/>
                <w:color w:val="auto"/>
                <w:highlight w:val="none"/>
              </w:rPr>
              <w:t>表2-</w:t>
            </w:r>
            <w:r>
              <w:rPr>
                <w:rFonts w:hint="eastAsia"/>
                <w:b/>
                <w:bCs/>
                <w:color w:val="auto"/>
                <w:highlight w:val="none"/>
              </w:rPr>
              <w:t>3</w:t>
            </w:r>
            <w:r>
              <w:rPr>
                <w:b/>
                <w:bCs/>
                <w:color w:val="auto"/>
                <w:highlight w:val="none"/>
              </w:rPr>
              <w:t xml:space="preserve">  </w:t>
            </w:r>
            <w:r>
              <w:rPr>
                <w:rFonts w:hint="eastAsia"/>
                <w:b/>
                <w:bCs/>
                <w:color w:val="auto"/>
                <w:highlight w:val="none"/>
              </w:rPr>
              <w:t>主要设备（设施）</w:t>
            </w:r>
            <w:r>
              <w:rPr>
                <w:b/>
                <w:bCs/>
                <w:color w:val="auto"/>
                <w:highlight w:val="none"/>
              </w:rPr>
              <w:t>一览表</w:t>
            </w:r>
          </w:p>
          <w:tbl>
            <w:tblPr>
              <w:tblStyle w:val="35"/>
              <w:tblW w:w="5057" w:type="pct"/>
              <w:tblInd w:w="15"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858"/>
              <w:gridCol w:w="4692"/>
              <w:gridCol w:w="1549"/>
              <w:gridCol w:w="1385"/>
            </w:tblGrid>
            <w:tr w14:paraId="1DDBDA8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0" w:hRule="atLeast"/>
                <w:tblHeader/>
              </w:trPr>
              <w:tc>
                <w:tcPr>
                  <w:tcW w:w="505" w:type="pct"/>
                  <w:tcBorders>
                    <w:tl2br w:val="nil"/>
                    <w:tr2bl w:val="nil"/>
                  </w:tcBorders>
                  <w:noWrap/>
                  <w:vAlign w:val="center"/>
                </w:tcPr>
                <w:p w14:paraId="438EA4FA">
                  <w:pPr>
                    <w:widowControl/>
                    <w:adjustRightInd w:val="0"/>
                    <w:snapToGrid w:val="0"/>
                    <w:jc w:val="center"/>
                    <w:rPr>
                      <w:b/>
                      <w:bCs/>
                      <w:color w:val="auto"/>
                      <w:kern w:val="0"/>
                      <w:szCs w:val="21"/>
                      <w:highlight w:val="none"/>
                    </w:rPr>
                  </w:pPr>
                  <w:r>
                    <w:rPr>
                      <w:b/>
                      <w:bCs/>
                      <w:color w:val="auto"/>
                      <w:kern w:val="0"/>
                      <w:szCs w:val="21"/>
                      <w:highlight w:val="none"/>
                    </w:rPr>
                    <w:t>序号</w:t>
                  </w:r>
                </w:p>
              </w:tc>
              <w:tc>
                <w:tcPr>
                  <w:tcW w:w="2765" w:type="pct"/>
                  <w:tcBorders>
                    <w:tl2br w:val="nil"/>
                    <w:tr2bl w:val="nil"/>
                  </w:tcBorders>
                  <w:noWrap/>
                  <w:vAlign w:val="center"/>
                </w:tcPr>
                <w:p w14:paraId="525BEA6E">
                  <w:pPr>
                    <w:widowControl/>
                    <w:adjustRightInd w:val="0"/>
                    <w:snapToGrid w:val="0"/>
                    <w:jc w:val="center"/>
                    <w:rPr>
                      <w:b/>
                      <w:bCs/>
                      <w:color w:val="auto"/>
                      <w:kern w:val="0"/>
                      <w:szCs w:val="21"/>
                      <w:highlight w:val="none"/>
                    </w:rPr>
                  </w:pPr>
                  <w:r>
                    <w:rPr>
                      <w:b/>
                      <w:bCs/>
                      <w:color w:val="auto"/>
                      <w:kern w:val="0"/>
                      <w:szCs w:val="21"/>
                      <w:highlight w:val="none"/>
                    </w:rPr>
                    <w:t>设备名称</w:t>
                  </w:r>
                </w:p>
              </w:tc>
              <w:tc>
                <w:tcPr>
                  <w:tcW w:w="912" w:type="pct"/>
                  <w:tcBorders>
                    <w:tl2br w:val="nil"/>
                    <w:tr2bl w:val="nil"/>
                  </w:tcBorders>
                  <w:noWrap/>
                  <w:vAlign w:val="center"/>
                </w:tcPr>
                <w:p w14:paraId="2B3D4F1C">
                  <w:pPr>
                    <w:widowControl/>
                    <w:adjustRightInd w:val="0"/>
                    <w:snapToGrid w:val="0"/>
                    <w:jc w:val="center"/>
                    <w:rPr>
                      <w:b/>
                      <w:bCs/>
                      <w:color w:val="auto"/>
                      <w:kern w:val="0"/>
                      <w:szCs w:val="21"/>
                      <w:highlight w:val="none"/>
                    </w:rPr>
                  </w:pPr>
                  <w:r>
                    <w:rPr>
                      <w:b/>
                      <w:bCs/>
                      <w:color w:val="auto"/>
                      <w:kern w:val="0"/>
                      <w:szCs w:val="21"/>
                      <w:highlight w:val="none"/>
                    </w:rPr>
                    <w:t>数量</w:t>
                  </w:r>
                </w:p>
              </w:tc>
              <w:tc>
                <w:tcPr>
                  <w:tcW w:w="816" w:type="pct"/>
                  <w:tcBorders>
                    <w:tl2br w:val="nil"/>
                    <w:tr2bl w:val="nil"/>
                  </w:tcBorders>
                  <w:noWrap/>
                  <w:vAlign w:val="center"/>
                </w:tcPr>
                <w:p w14:paraId="6A10B425">
                  <w:pPr>
                    <w:widowControl/>
                    <w:adjustRightInd w:val="0"/>
                    <w:snapToGrid w:val="0"/>
                    <w:jc w:val="center"/>
                    <w:rPr>
                      <w:b/>
                      <w:bCs/>
                      <w:color w:val="auto"/>
                      <w:kern w:val="0"/>
                      <w:szCs w:val="21"/>
                      <w:highlight w:val="none"/>
                    </w:rPr>
                  </w:pPr>
                  <w:r>
                    <w:rPr>
                      <w:b/>
                      <w:bCs/>
                      <w:color w:val="auto"/>
                      <w:kern w:val="0"/>
                      <w:szCs w:val="21"/>
                      <w:highlight w:val="none"/>
                    </w:rPr>
                    <w:t>单位</w:t>
                  </w:r>
                </w:p>
              </w:tc>
            </w:tr>
            <w:tr w14:paraId="0C76492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65" w:hRule="atLeast"/>
              </w:trPr>
              <w:tc>
                <w:tcPr>
                  <w:tcW w:w="505" w:type="pct"/>
                  <w:tcBorders>
                    <w:tl2br w:val="nil"/>
                    <w:tr2bl w:val="nil"/>
                  </w:tcBorders>
                  <w:noWrap/>
                  <w:vAlign w:val="center"/>
                </w:tcPr>
                <w:p w14:paraId="165AC316">
                  <w:pPr>
                    <w:widowControl/>
                    <w:adjustRightInd w:val="0"/>
                    <w:snapToGrid w:val="0"/>
                    <w:jc w:val="center"/>
                    <w:rPr>
                      <w:color w:val="auto"/>
                      <w:kern w:val="0"/>
                      <w:szCs w:val="21"/>
                      <w:highlight w:val="none"/>
                    </w:rPr>
                  </w:pPr>
                  <w:r>
                    <w:rPr>
                      <w:color w:val="auto"/>
                      <w:kern w:val="0"/>
                      <w:szCs w:val="21"/>
                      <w:highlight w:val="none"/>
                    </w:rPr>
                    <w:t>1</w:t>
                  </w:r>
                </w:p>
              </w:tc>
              <w:tc>
                <w:tcPr>
                  <w:tcW w:w="2765" w:type="pct"/>
                  <w:tcBorders>
                    <w:tl2br w:val="nil"/>
                    <w:tr2bl w:val="nil"/>
                  </w:tcBorders>
                  <w:noWrap/>
                  <w:vAlign w:val="center"/>
                </w:tcPr>
                <w:p w14:paraId="32FAE142">
                  <w:pPr>
                    <w:widowControl/>
                    <w:adjustRightInd w:val="0"/>
                    <w:snapToGrid w:val="0"/>
                    <w:jc w:val="center"/>
                    <w:rPr>
                      <w:color w:val="auto"/>
                      <w:kern w:val="0"/>
                      <w:szCs w:val="21"/>
                      <w:highlight w:val="none"/>
                    </w:rPr>
                  </w:pPr>
                  <w:r>
                    <w:rPr>
                      <w:color w:val="auto"/>
                      <w:kern w:val="0"/>
                      <w:szCs w:val="21"/>
                      <w:highlight w:val="none"/>
                    </w:rPr>
                    <w:t>双排挑选台</w:t>
                  </w:r>
                  <w:r>
                    <w:rPr>
                      <w:rFonts w:hint="eastAsia"/>
                      <w:color w:val="auto"/>
                      <w:kern w:val="0"/>
                      <w:szCs w:val="21"/>
                      <w:highlight w:val="none"/>
                    </w:rPr>
                    <w:t>（3000*1400*1000mm）</w:t>
                  </w:r>
                </w:p>
              </w:tc>
              <w:tc>
                <w:tcPr>
                  <w:tcW w:w="912" w:type="pct"/>
                  <w:tcBorders>
                    <w:tl2br w:val="nil"/>
                    <w:tr2bl w:val="nil"/>
                  </w:tcBorders>
                  <w:noWrap/>
                  <w:vAlign w:val="center"/>
                </w:tcPr>
                <w:p w14:paraId="5DA078A4">
                  <w:pPr>
                    <w:widowControl/>
                    <w:adjustRightInd w:val="0"/>
                    <w:snapToGrid w:val="0"/>
                    <w:jc w:val="center"/>
                    <w:rPr>
                      <w:rFonts w:eastAsiaTheme="minorEastAsia"/>
                      <w:color w:val="auto"/>
                      <w:kern w:val="0"/>
                      <w:szCs w:val="21"/>
                      <w:highlight w:val="none"/>
                    </w:rPr>
                  </w:pPr>
                  <w:r>
                    <w:rPr>
                      <w:rFonts w:hint="eastAsia"/>
                      <w:color w:val="auto"/>
                      <w:kern w:val="0"/>
                      <w:szCs w:val="21"/>
                      <w:highlight w:val="none"/>
                    </w:rPr>
                    <w:t>1</w:t>
                  </w:r>
                </w:p>
              </w:tc>
              <w:tc>
                <w:tcPr>
                  <w:tcW w:w="816" w:type="pct"/>
                  <w:tcBorders>
                    <w:tl2br w:val="nil"/>
                    <w:tr2bl w:val="nil"/>
                  </w:tcBorders>
                  <w:noWrap/>
                  <w:vAlign w:val="center"/>
                </w:tcPr>
                <w:p w14:paraId="70411958">
                  <w:pPr>
                    <w:widowControl/>
                    <w:adjustRightInd w:val="0"/>
                    <w:snapToGrid w:val="0"/>
                    <w:jc w:val="center"/>
                    <w:rPr>
                      <w:color w:val="auto"/>
                      <w:kern w:val="0"/>
                      <w:szCs w:val="21"/>
                      <w:highlight w:val="none"/>
                    </w:rPr>
                  </w:pPr>
                  <w:r>
                    <w:rPr>
                      <w:color w:val="auto"/>
                      <w:kern w:val="0"/>
                      <w:szCs w:val="21"/>
                      <w:highlight w:val="none"/>
                    </w:rPr>
                    <w:t>台</w:t>
                  </w:r>
                </w:p>
              </w:tc>
            </w:tr>
            <w:tr w14:paraId="6EBA28C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65" w:hRule="atLeast"/>
              </w:trPr>
              <w:tc>
                <w:tcPr>
                  <w:tcW w:w="505" w:type="pct"/>
                  <w:tcBorders>
                    <w:tl2br w:val="nil"/>
                    <w:tr2bl w:val="nil"/>
                  </w:tcBorders>
                  <w:noWrap/>
                  <w:vAlign w:val="center"/>
                </w:tcPr>
                <w:p w14:paraId="30E0D3CE">
                  <w:pPr>
                    <w:widowControl/>
                    <w:adjustRightInd w:val="0"/>
                    <w:snapToGrid w:val="0"/>
                    <w:jc w:val="center"/>
                    <w:rPr>
                      <w:color w:val="auto"/>
                      <w:kern w:val="0"/>
                      <w:szCs w:val="21"/>
                      <w:highlight w:val="none"/>
                    </w:rPr>
                  </w:pPr>
                  <w:r>
                    <w:rPr>
                      <w:color w:val="auto"/>
                      <w:kern w:val="0"/>
                      <w:szCs w:val="21"/>
                      <w:highlight w:val="none"/>
                    </w:rPr>
                    <w:t>2</w:t>
                  </w:r>
                </w:p>
              </w:tc>
              <w:tc>
                <w:tcPr>
                  <w:tcW w:w="2765" w:type="pct"/>
                  <w:tcBorders>
                    <w:tl2br w:val="nil"/>
                    <w:tr2bl w:val="nil"/>
                  </w:tcBorders>
                  <w:noWrap/>
                  <w:vAlign w:val="center"/>
                </w:tcPr>
                <w:p w14:paraId="3C2A44A0">
                  <w:pPr>
                    <w:widowControl/>
                    <w:adjustRightInd w:val="0"/>
                    <w:snapToGrid w:val="0"/>
                    <w:jc w:val="center"/>
                    <w:rPr>
                      <w:color w:val="auto"/>
                      <w:kern w:val="0"/>
                      <w:szCs w:val="21"/>
                      <w:highlight w:val="none"/>
                    </w:rPr>
                  </w:pPr>
                  <w:r>
                    <w:rPr>
                      <w:color w:val="auto"/>
                      <w:kern w:val="0"/>
                      <w:szCs w:val="21"/>
                      <w:highlight w:val="none"/>
                    </w:rPr>
                    <w:t>多功能切片机</w:t>
                  </w:r>
                </w:p>
              </w:tc>
              <w:tc>
                <w:tcPr>
                  <w:tcW w:w="912" w:type="pct"/>
                  <w:tcBorders>
                    <w:tl2br w:val="nil"/>
                    <w:tr2bl w:val="nil"/>
                  </w:tcBorders>
                  <w:noWrap/>
                  <w:vAlign w:val="center"/>
                </w:tcPr>
                <w:p w14:paraId="3C979035">
                  <w:pPr>
                    <w:widowControl/>
                    <w:adjustRightInd w:val="0"/>
                    <w:snapToGrid w:val="0"/>
                    <w:jc w:val="center"/>
                    <w:rPr>
                      <w:color w:val="auto"/>
                      <w:kern w:val="0"/>
                      <w:szCs w:val="21"/>
                      <w:highlight w:val="none"/>
                    </w:rPr>
                  </w:pPr>
                  <w:r>
                    <w:rPr>
                      <w:rFonts w:hint="eastAsia"/>
                      <w:color w:val="auto"/>
                      <w:kern w:val="0"/>
                      <w:szCs w:val="21"/>
                      <w:highlight w:val="none"/>
                    </w:rPr>
                    <w:t>2</w:t>
                  </w:r>
                </w:p>
              </w:tc>
              <w:tc>
                <w:tcPr>
                  <w:tcW w:w="816" w:type="pct"/>
                  <w:tcBorders>
                    <w:tl2br w:val="nil"/>
                    <w:tr2bl w:val="nil"/>
                  </w:tcBorders>
                  <w:noWrap/>
                  <w:vAlign w:val="center"/>
                </w:tcPr>
                <w:p w14:paraId="1D84122E">
                  <w:pPr>
                    <w:widowControl/>
                    <w:adjustRightInd w:val="0"/>
                    <w:snapToGrid w:val="0"/>
                    <w:jc w:val="center"/>
                    <w:rPr>
                      <w:color w:val="auto"/>
                      <w:kern w:val="0"/>
                      <w:szCs w:val="21"/>
                      <w:highlight w:val="none"/>
                    </w:rPr>
                  </w:pPr>
                  <w:r>
                    <w:rPr>
                      <w:color w:val="auto"/>
                      <w:kern w:val="0"/>
                      <w:szCs w:val="21"/>
                      <w:highlight w:val="none"/>
                    </w:rPr>
                    <w:t>台</w:t>
                  </w:r>
                </w:p>
              </w:tc>
            </w:tr>
            <w:tr w14:paraId="556EE5A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65" w:hRule="atLeast"/>
              </w:trPr>
              <w:tc>
                <w:tcPr>
                  <w:tcW w:w="505" w:type="pct"/>
                  <w:tcBorders>
                    <w:tl2br w:val="nil"/>
                    <w:tr2bl w:val="nil"/>
                  </w:tcBorders>
                  <w:noWrap/>
                  <w:vAlign w:val="center"/>
                </w:tcPr>
                <w:p w14:paraId="76BB51BA">
                  <w:pPr>
                    <w:widowControl/>
                    <w:adjustRightInd w:val="0"/>
                    <w:snapToGrid w:val="0"/>
                    <w:jc w:val="center"/>
                    <w:rPr>
                      <w:color w:val="auto"/>
                      <w:kern w:val="0"/>
                      <w:szCs w:val="21"/>
                      <w:highlight w:val="none"/>
                    </w:rPr>
                  </w:pPr>
                  <w:r>
                    <w:rPr>
                      <w:color w:val="auto"/>
                      <w:kern w:val="0"/>
                      <w:szCs w:val="21"/>
                      <w:highlight w:val="none"/>
                    </w:rPr>
                    <w:t>3</w:t>
                  </w:r>
                </w:p>
              </w:tc>
              <w:tc>
                <w:tcPr>
                  <w:tcW w:w="2765" w:type="pct"/>
                  <w:tcBorders>
                    <w:tl2br w:val="nil"/>
                    <w:tr2bl w:val="nil"/>
                  </w:tcBorders>
                  <w:noWrap/>
                  <w:vAlign w:val="center"/>
                </w:tcPr>
                <w:p w14:paraId="0B3B3B18">
                  <w:pPr>
                    <w:widowControl/>
                    <w:adjustRightInd w:val="0"/>
                    <w:snapToGrid w:val="0"/>
                    <w:jc w:val="center"/>
                    <w:rPr>
                      <w:color w:val="auto"/>
                      <w:kern w:val="0"/>
                      <w:szCs w:val="21"/>
                      <w:highlight w:val="none"/>
                    </w:rPr>
                  </w:pPr>
                  <w:r>
                    <w:rPr>
                      <w:color w:val="auto"/>
                      <w:kern w:val="0"/>
                      <w:szCs w:val="21"/>
                      <w:highlight w:val="none"/>
                    </w:rPr>
                    <w:t>提升机</w:t>
                  </w:r>
                  <w:r>
                    <w:rPr>
                      <w:rFonts w:hint="eastAsia"/>
                      <w:color w:val="auto"/>
                      <w:kern w:val="0"/>
                      <w:szCs w:val="21"/>
                      <w:highlight w:val="none"/>
                    </w:rPr>
                    <w:t>（BYTSJ-3500）</w:t>
                  </w:r>
                </w:p>
              </w:tc>
              <w:tc>
                <w:tcPr>
                  <w:tcW w:w="912" w:type="pct"/>
                  <w:tcBorders>
                    <w:tl2br w:val="nil"/>
                    <w:tr2bl w:val="nil"/>
                  </w:tcBorders>
                  <w:noWrap/>
                  <w:vAlign w:val="center"/>
                </w:tcPr>
                <w:p w14:paraId="7A56B832">
                  <w:pPr>
                    <w:widowControl/>
                    <w:adjustRightInd w:val="0"/>
                    <w:snapToGrid w:val="0"/>
                    <w:jc w:val="center"/>
                    <w:rPr>
                      <w:color w:val="auto"/>
                      <w:kern w:val="0"/>
                      <w:szCs w:val="21"/>
                      <w:highlight w:val="none"/>
                    </w:rPr>
                  </w:pPr>
                  <w:r>
                    <w:rPr>
                      <w:rFonts w:hint="eastAsia"/>
                      <w:color w:val="auto"/>
                      <w:kern w:val="0"/>
                      <w:szCs w:val="21"/>
                      <w:highlight w:val="none"/>
                    </w:rPr>
                    <w:t>2</w:t>
                  </w:r>
                </w:p>
              </w:tc>
              <w:tc>
                <w:tcPr>
                  <w:tcW w:w="816" w:type="pct"/>
                  <w:tcBorders>
                    <w:tl2br w:val="nil"/>
                    <w:tr2bl w:val="nil"/>
                  </w:tcBorders>
                  <w:noWrap/>
                  <w:vAlign w:val="center"/>
                </w:tcPr>
                <w:p w14:paraId="6BE54402">
                  <w:pPr>
                    <w:widowControl/>
                    <w:adjustRightInd w:val="0"/>
                    <w:snapToGrid w:val="0"/>
                    <w:jc w:val="center"/>
                    <w:rPr>
                      <w:color w:val="auto"/>
                      <w:kern w:val="0"/>
                      <w:szCs w:val="21"/>
                      <w:highlight w:val="none"/>
                    </w:rPr>
                  </w:pPr>
                  <w:r>
                    <w:rPr>
                      <w:color w:val="auto"/>
                      <w:kern w:val="0"/>
                      <w:szCs w:val="21"/>
                      <w:highlight w:val="none"/>
                    </w:rPr>
                    <w:t>台</w:t>
                  </w:r>
                </w:p>
              </w:tc>
            </w:tr>
            <w:tr w14:paraId="1ECC4EC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65" w:hRule="atLeast"/>
              </w:trPr>
              <w:tc>
                <w:tcPr>
                  <w:tcW w:w="505" w:type="pct"/>
                  <w:tcBorders>
                    <w:tl2br w:val="nil"/>
                    <w:tr2bl w:val="nil"/>
                  </w:tcBorders>
                  <w:noWrap/>
                  <w:vAlign w:val="center"/>
                </w:tcPr>
                <w:p w14:paraId="1A6D2B49">
                  <w:pPr>
                    <w:widowControl/>
                    <w:adjustRightInd w:val="0"/>
                    <w:snapToGrid w:val="0"/>
                    <w:jc w:val="center"/>
                    <w:rPr>
                      <w:color w:val="auto"/>
                      <w:kern w:val="0"/>
                      <w:szCs w:val="21"/>
                      <w:highlight w:val="none"/>
                    </w:rPr>
                  </w:pPr>
                  <w:r>
                    <w:rPr>
                      <w:color w:val="auto"/>
                      <w:kern w:val="0"/>
                      <w:szCs w:val="21"/>
                      <w:highlight w:val="none"/>
                    </w:rPr>
                    <w:t>4</w:t>
                  </w:r>
                </w:p>
              </w:tc>
              <w:tc>
                <w:tcPr>
                  <w:tcW w:w="2765" w:type="pct"/>
                  <w:tcBorders>
                    <w:tl2br w:val="nil"/>
                    <w:tr2bl w:val="nil"/>
                  </w:tcBorders>
                  <w:noWrap/>
                  <w:vAlign w:val="center"/>
                </w:tcPr>
                <w:p w14:paraId="69224D68">
                  <w:pPr>
                    <w:widowControl/>
                    <w:adjustRightInd w:val="0"/>
                    <w:snapToGrid w:val="0"/>
                    <w:jc w:val="center"/>
                    <w:rPr>
                      <w:color w:val="auto"/>
                      <w:kern w:val="0"/>
                      <w:szCs w:val="21"/>
                      <w:highlight w:val="none"/>
                    </w:rPr>
                  </w:pPr>
                  <w:r>
                    <w:rPr>
                      <w:color w:val="auto"/>
                      <w:kern w:val="0"/>
                      <w:szCs w:val="21"/>
                      <w:highlight w:val="none"/>
                    </w:rPr>
                    <w:t>除渣涡流清洗机</w:t>
                  </w:r>
                  <w:r>
                    <w:rPr>
                      <w:rFonts w:hint="eastAsia"/>
                      <w:color w:val="auto"/>
                      <w:kern w:val="0"/>
                      <w:szCs w:val="21"/>
                      <w:highlight w:val="none"/>
                    </w:rPr>
                    <w:t>（4500*1520*1680mm）</w:t>
                  </w:r>
                </w:p>
              </w:tc>
              <w:tc>
                <w:tcPr>
                  <w:tcW w:w="912" w:type="pct"/>
                  <w:tcBorders>
                    <w:tl2br w:val="nil"/>
                    <w:tr2bl w:val="nil"/>
                  </w:tcBorders>
                  <w:noWrap/>
                  <w:vAlign w:val="center"/>
                </w:tcPr>
                <w:p w14:paraId="64009055">
                  <w:pPr>
                    <w:widowControl/>
                    <w:adjustRightInd w:val="0"/>
                    <w:snapToGrid w:val="0"/>
                    <w:jc w:val="center"/>
                    <w:rPr>
                      <w:color w:val="auto"/>
                      <w:kern w:val="0"/>
                      <w:szCs w:val="21"/>
                      <w:highlight w:val="none"/>
                    </w:rPr>
                  </w:pPr>
                  <w:r>
                    <w:rPr>
                      <w:color w:val="auto"/>
                      <w:kern w:val="0"/>
                      <w:szCs w:val="21"/>
                      <w:highlight w:val="none"/>
                    </w:rPr>
                    <w:t>1</w:t>
                  </w:r>
                </w:p>
              </w:tc>
              <w:tc>
                <w:tcPr>
                  <w:tcW w:w="816" w:type="pct"/>
                  <w:tcBorders>
                    <w:tl2br w:val="nil"/>
                    <w:tr2bl w:val="nil"/>
                  </w:tcBorders>
                  <w:noWrap/>
                  <w:vAlign w:val="center"/>
                </w:tcPr>
                <w:p w14:paraId="04ADE8E5">
                  <w:pPr>
                    <w:widowControl/>
                    <w:adjustRightInd w:val="0"/>
                    <w:snapToGrid w:val="0"/>
                    <w:jc w:val="center"/>
                    <w:rPr>
                      <w:color w:val="auto"/>
                      <w:kern w:val="0"/>
                      <w:szCs w:val="21"/>
                      <w:highlight w:val="none"/>
                    </w:rPr>
                  </w:pPr>
                  <w:r>
                    <w:rPr>
                      <w:color w:val="auto"/>
                      <w:kern w:val="0"/>
                      <w:szCs w:val="21"/>
                      <w:highlight w:val="none"/>
                    </w:rPr>
                    <w:t>台</w:t>
                  </w:r>
                </w:p>
              </w:tc>
            </w:tr>
            <w:tr w14:paraId="5B35D4B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65" w:hRule="atLeast"/>
              </w:trPr>
              <w:tc>
                <w:tcPr>
                  <w:tcW w:w="505" w:type="pct"/>
                  <w:tcBorders>
                    <w:tl2br w:val="nil"/>
                    <w:tr2bl w:val="nil"/>
                  </w:tcBorders>
                  <w:noWrap/>
                  <w:vAlign w:val="center"/>
                </w:tcPr>
                <w:p w14:paraId="1EF68A2D">
                  <w:pPr>
                    <w:widowControl/>
                    <w:adjustRightInd w:val="0"/>
                    <w:snapToGrid w:val="0"/>
                    <w:jc w:val="center"/>
                    <w:rPr>
                      <w:color w:val="auto"/>
                      <w:kern w:val="0"/>
                      <w:szCs w:val="21"/>
                      <w:highlight w:val="none"/>
                    </w:rPr>
                  </w:pPr>
                  <w:r>
                    <w:rPr>
                      <w:color w:val="auto"/>
                      <w:kern w:val="0"/>
                      <w:szCs w:val="21"/>
                      <w:highlight w:val="none"/>
                    </w:rPr>
                    <w:t>5</w:t>
                  </w:r>
                </w:p>
              </w:tc>
              <w:tc>
                <w:tcPr>
                  <w:tcW w:w="2765" w:type="pct"/>
                  <w:tcBorders>
                    <w:tl2br w:val="nil"/>
                    <w:tr2bl w:val="nil"/>
                  </w:tcBorders>
                  <w:noWrap/>
                  <w:vAlign w:val="center"/>
                </w:tcPr>
                <w:p w14:paraId="731F9312">
                  <w:pPr>
                    <w:widowControl/>
                    <w:adjustRightInd w:val="0"/>
                    <w:snapToGrid w:val="0"/>
                    <w:jc w:val="center"/>
                    <w:rPr>
                      <w:color w:val="auto"/>
                      <w:kern w:val="0"/>
                      <w:szCs w:val="21"/>
                      <w:highlight w:val="none"/>
                    </w:rPr>
                  </w:pPr>
                  <w:r>
                    <w:rPr>
                      <w:color w:val="auto"/>
                      <w:kern w:val="0"/>
                      <w:szCs w:val="21"/>
                      <w:highlight w:val="none"/>
                    </w:rPr>
                    <w:t>涡流清洗机</w:t>
                  </w:r>
                  <w:r>
                    <w:rPr>
                      <w:rFonts w:hint="eastAsia"/>
                      <w:color w:val="auto"/>
                      <w:kern w:val="0"/>
                      <w:szCs w:val="21"/>
                      <w:highlight w:val="none"/>
                    </w:rPr>
                    <w:t>（4500*1520*1480mm）</w:t>
                  </w:r>
                </w:p>
              </w:tc>
              <w:tc>
                <w:tcPr>
                  <w:tcW w:w="912" w:type="pct"/>
                  <w:tcBorders>
                    <w:tl2br w:val="nil"/>
                    <w:tr2bl w:val="nil"/>
                  </w:tcBorders>
                  <w:noWrap/>
                  <w:vAlign w:val="center"/>
                </w:tcPr>
                <w:p w14:paraId="1D5A189F">
                  <w:pPr>
                    <w:widowControl/>
                    <w:adjustRightInd w:val="0"/>
                    <w:snapToGrid w:val="0"/>
                    <w:jc w:val="center"/>
                    <w:rPr>
                      <w:color w:val="auto"/>
                      <w:kern w:val="0"/>
                      <w:szCs w:val="21"/>
                      <w:highlight w:val="none"/>
                    </w:rPr>
                  </w:pPr>
                  <w:r>
                    <w:rPr>
                      <w:color w:val="auto"/>
                      <w:kern w:val="0"/>
                      <w:szCs w:val="21"/>
                      <w:highlight w:val="none"/>
                    </w:rPr>
                    <w:t>1</w:t>
                  </w:r>
                </w:p>
              </w:tc>
              <w:tc>
                <w:tcPr>
                  <w:tcW w:w="816" w:type="pct"/>
                  <w:tcBorders>
                    <w:tl2br w:val="nil"/>
                    <w:tr2bl w:val="nil"/>
                  </w:tcBorders>
                  <w:noWrap/>
                  <w:vAlign w:val="center"/>
                </w:tcPr>
                <w:p w14:paraId="246F41A3">
                  <w:pPr>
                    <w:widowControl/>
                    <w:adjustRightInd w:val="0"/>
                    <w:snapToGrid w:val="0"/>
                    <w:jc w:val="center"/>
                    <w:rPr>
                      <w:color w:val="auto"/>
                      <w:kern w:val="0"/>
                      <w:szCs w:val="21"/>
                      <w:highlight w:val="none"/>
                    </w:rPr>
                  </w:pPr>
                  <w:r>
                    <w:rPr>
                      <w:color w:val="auto"/>
                      <w:kern w:val="0"/>
                      <w:szCs w:val="21"/>
                      <w:highlight w:val="none"/>
                    </w:rPr>
                    <w:t>台</w:t>
                  </w:r>
                </w:p>
              </w:tc>
            </w:tr>
            <w:tr w14:paraId="775ACA2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65" w:hRule="atLeast"/>
              </w:trPr>
              <w:tc>
                <w:tcPr>
                  <w:tcW w:w="505" w:type="pct"/>
                  <w:tcBorders>
                    <w:tl2br w:val="nil"/>
                    <w:tr2bl w:val="nil"/>
                  </w:tcBorders>
                  <w:noWrap/>
                  <w:vAlign w:val="center"/>
                </w:tcPr>
                <w:p w14:paraId="3B2D7945">
                  <w:pPr>
                    <w:widowControl/>
                    <w:adjustRightInd w:val="0"/>
                    <w:snapToGrid w:val="0"/>
                    <w:jc w:val="center"/>
                    <w:rPr>
                      <w:color w:val="auto"/>
                      <w:kern w:val="0"/>
                      <w:szCs w:val="21"/>
                      <w:highlight w:val="none"/>
                    </w:rPr>
                  </w:pPr>
                  <w:r>
                    <w:rPr>
                      <w:color w:val="auto"/>
                      <w:kern w:val="0"/>
                      <w:szCs w:val="21"/>
                      <w:highlight w:val="none"/>
                    </w:rPr>
                    <w:t>6</w:t>
                  </w:r>
                </w:p>
              </w:tc>
              <w:tc>
                <w:tcPr>
                  <w:tcW w:w="2765" w:type="pct"/>
                  <w:tcBorders>
                    <w:tl2br w:val="nil"/>
                    <w:tr2bl w:val="nil"/>
                  </w:tcBorders>
                  <w:noWrap/>
                  <w:vAlign w:val="center"/>
                </w:tcPr>
                <w:p w14:paraId="5A922647">
                  <w:pPr>
                    <w:widowControl/>
                    <w:adjustRightInd w:val="0"/>
                    <w:snapToGrid w:val="0"/>
                    <w:jc w:val="center"/>
                    <w:rPr>
                      <w:color w:val="auto"/>
                      <w:kern w:val="0"/>
                      <w:szCs w:val="21"/>
                      <w:highlight w:val="none"/>
                    </w:rPr>
                  </w:pPr>
                  <w:r>
                    <w:rPr>
                      <w:color w:val="auto"/>
                      <w:kern w:val="0"/>
                      <w:szCs w:val="21"/>
                      <w:highlight w:val="none"/>
                    </w:rPr>
                    <w:t>风干机</w:t>
                  </w:r>
                  <w:r>
                    <w:rPr>
                      <w:rFonts w:hint="eastAsia"/>
                      <w:color w:val="auto"/>
                      <w:kern w:val="0"/>
                      <w:szCs w:val="21"/>
                      <w:highlight w:val="none"/>
                    </w:rPr>
                    <w:t>（4500x1000x1600mm）</w:t>
                  </w:r>
                </w:p>
              </w:tc>
              <w:tc>
                <w:tcPr>
                  <w:tcW w:w="912" w:type="pct"/>
                  <w:tcBorders>
                    <w:tl2br w:val="nil"/>
                    <w:tr2bl w:val="nil"/>
                  </w:tcBorders>
                  <w:noWrap/>
                  <w:vAlign w:val="center"/>
                </w:tcPr>
                <w:p w14:paraId="33D3664F">
                  <w:pPr>
                    <w:widowControl/>
                    <w:adjustRightInd w:val="0"/>
                    <w:snapToGrid w:val="0"/>
                    <w:jc w:val="center"/>
                    <w:rPr>
                      <w:color w:val="auto"/>
                      <w:kern w:val="0"/>
                      <w:szCs w:val="21"/>
                      <w:highlight w:val="none"/>
                    </w:rPr>
                  </w:pPr>
                  <w:r>
                    <w:rPr>
                      <w:color w:val="auto"/>
                      <w:kern w:val="0"/>
                      <w:szCs w:val="21"/>
                      <w:highlight w:val="none"/>
                    </w:rPr>
                    <w:t>1</w:t>
                  </w:r>
                </w:p>
              </w:tc>
              <w:tc>
                <w:tcPr>
                  <w:tcW w:w="816" w:type="pct"/>
                  <w:tcBorders>
                    <w:tl2br w:val="nil"/>
                    <w:tr2bl w:val="nil"/>
                  </w:tcBorders>
                  <w:noWrap/>
                  <w:vAlign w:val="center"/>
                </w:tcPr>
                <w:p w14:paraId="5008A97C">
                  <w:pPr>
                    <w:widowControl/>
                    <w:adjustRightInd w:val="0"/>
                    <w:snapToGrid w:val="0"/>
                    <w:jc w:val="center"/>
                    <w:rPr>
                      <w:color w:val="auto"/>
                      <w:kern w:val="0"/>
                      <w:szCs w:val="21"/>
                      <w:highlight w:val="none"/>
                    </w:rPr>
                  </w:pPr>
                  <w:r>
                    <w:rPr>
                      <w:color w:val="auto"/>
                      <w:kern w:val="0"/>
                      <w:szCs w:val="21"/>
                      <w:highlight w:val="none"/>
                    </w:rPr>
                    <w:t>台</w:t>
                  </w:r>
                </w:p>
              </w:tc>
            </w:tr>
            <w:tr w14:paraId="61AF423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65" w:hRule="atLeast"/>
              </w:trPr>
              <w:tc>
                <w:tcPr>
                  <w:tcW w:w="505" w:type="pct"/>
                  <w:tcBorders>
                    <w:tl2br w:val="nil"/>
                    <w:tr2bl w:val="nil"/>
                  </w:tcBorders>
                  <w:noWrap/>
                  <w:vAlign w:val="center"/>
                </w:tcPr>
                <w:p w14:paraId="7109CDF2">
                  <w:pPr>
                    <w:widowControl/>
                    <w:adjustRightInd w:val="0"/>
                    <w:snapToGrid w:val="0"/>
                    <w:jc w:val="center"/>
                    <w:rPr>
                      <w:color w:val="auto"/>
                      <w:kern w:val="0"/>
                      <w:szCs w:val="21"/>
                      <w:highlight w:val="none"/>
                    </w:rPr>
                  </w:pPr>
                  <w:r>
                    <w:rPr>
                      <w:color w:val="auto"/>
                      <w:kern w:val="0"/>
                      <w:szCs w:val="21"/>
                      <w:highlight w:val="none"/>
                    </w:rPr>
                    <w:t>7</w:t>
                  </w:r>
                </w:p>
              </w:tc>
              <w:tc>
                <w:tcPr>
                  <w:tcW w:w="2765" w:type="pct"/>
                  <w:tcBorders>
                    <w:tl2br w:val="nil"/>
                    <w:tr2bl w:val="nil"/>
                  </w:tcBorders>
                  <w:noWrap/>
                  <w:vAlign w:val="center"/>
                </w:tcPr>
                <w:p w14:paraId="202EBB52">
                  <w:pPr>
                    <w:widowControl/>
                    <w:adjustRightInd w:val="0"/>
                    <w:snapToGrid w:val="0"/>
                    <w:jc w:val="center"/>
                    <w:rPr>
                      <w:color w:val="auto"/>
                      <w:kern w:val="0"/>
                      <w:szCs w:val="21"/>
                      <w:highlight w:val="none"/>
                    </w:rPr>
                  </w:pPr>
                  <w:r>
                    <w:rPr>
                      <w:color w:val="auto"/>
                      <w:kern w:val="0"/>
                      <w:szCs w:val="21"/>
                      <w:highlight w:val="none"/>
                    </w:rPr>
                    <w:t>真空包装机</w:t>
                  </w:r>
                  <w:r>
                    <w:rPr>
                      <w:rFonts w:hint="eastAsia"/>
                      <w:color w:val="auto"/>
                      <w:kern w:val="0"/>
                      <w:szCs w:val="21"/>
                      <w:highlight w:val="none"/>
                    </w:rPr>
                    <w:t>（DZ800/2S）</w:t>
                  </w:r>
                </w:p>
              </w:tc>
              <w:tc>
                <w:tcPr>
                  <w:tcW w:w="912" w:type="pct"/>
                  <w:tcBorders>
                    <w:tl2br w:val="nil"/>
                    <w:tr2bl w:val="nil"/>
                  </w:tcBorders>
                  <w:noWrap/>
                  <w:vAlign w:val="center"/>
                </w:tcPr>
                <w:p w14:paraId="3BD4FCC0">
                  <w:pPr>
                    <w:widowControl/>
                    <w:adjustRightInd w:val="0"/>
                    <w:snapToGrid w:val="0"/>
                    <w:jc w:val="center"/>
                    <w:rPr>
                      <w:color w:val="auto"/>
                      <w:kern w:val="0"/>
                      <w:szCs w:val="21"/>
                      <w:highlight w:val="none"/>
                    </w:rPr>
                  </w:pPr>
                  <w:r>
                    <w:rPr>
                      <w:color w:val="auto"/>
                      <w:kern w:val="0"/>
                      <w:szCs w:val="21"/>
                      <w:highlight w:val="none"/>
                    </w:rPr>
                    <w:t>1</w:t>
                  </w:r>
                </w:p>
              </w:tc>
              <w:tc>
                <w:tcPr>
                  <w:tcW w:w="816" w:type="pct"/>
                  <w:tcBorders>
                    <w:tl2br w:val="nil"/>
                    <w:tr2bl w:val="nil"/>
                  </w:tcBorders>
                  <w:noWrap/>
                  <w:vAlign w:val="center"/>
                </w:tcPr>
                <w:p w14:paraId="74F121EC">
                  <w:pPr>
                    <w:widowControl/>
                    <w:adjustRightInd w:val="0"/>
                    <w:snapToGrid w:val="0"/>
                    <w:jc w:val="center"/>
                    <w:rPr>
                      <w:color w:val="auto"/>
                      <w:kern w:val="0"/>
                      <w:szCs w:val="21"/>
                      <w:highlight w:val="none"/>
                    </w:rPr>
                  </w:pPr>
                  <w:r>
                    <w:rPr>
                      <w:color w:val="auto"/>
                      <w:kern w:val="0"/>
                      <w:szCs w:val="21"/>
                      <w:highlight w:val="none"/>
                    </w:rPr>
                    <w:t>台</w:t>
                  </w:r>
                </w:p>
              </w:tc>
            </w:tr>
            <w:tr w14:paraId="0569FD7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65" w:hRule="atLeast"/>
              </w:trPr>
              <w:tc>
                <w:tcPr>
                  <w:tcW w:w="505" w:type="pct"/>
                  <w:tcBorders>
                    <w:tl2br w:val="nil"/>
                    <w:tr2bl w:val="nil"/>
                  </w:tcBorders>
                  <w:noWrap/>
                  <w:vAlign w:val="center"/>
                </w:tcPr>
                <w:p w14:paraId="1B8BE59D">
                  <w:pPr>
                    <w:widowControl/>
                    <w:adjustRightInd w:val="0"/>
                    <w:snapToGrid w:val="0"/>
                    <w:jc w:val="center"/>
                    <w:rPr>
                      <w:color w:val="auto"/>
                      <w:kern w:val="0"/>
                      <w:szCs w:val="21"/>
                      <w:highlight w:val="none"/>
                    </w:rPr>
                  </w:pPr>
                  <w:r>
                    <w:rPr>
                      <w:color w:val="auto"/>
                      <w:kern w:val="0"/>
                      <w:szCs w:val="21"/>
                      <w:highlight w:val="none"/>
                    </w:rPr>
                    <w:t>8</w:t>
                  </w:r>
                </w:p>
              </w:tc>
              <w:tc>
                <w:tcPr>
                  <w:tcW w:w="2765" w:type="pct"/>
                  <w:tcBorders>
                    <w:tl2br w:val="nil"/>
                    <w:tr2bl w:val="nil"/>
                  </w:tcBorders>
                  <w:noWrap/>
                  <w:vAlign w:val="center"/>
                </w:tcPr>
                <w:p w14:paraId="60F48343">
                  <w:pPr>
                    <w:widowControl/>
                    <w:adjustRightInd w:val="0"/>
                    <w:snapToGrid w:val="0"/>
                    <w:jc w:val="center"/>
                    <w:rPr>
                      <w:color w:val="auto"/>
                      <w:kern w:val="0"/>
                      <w:szCs w:val="21"/>
                      <w:highlight w:val="none"/>
                    </w:rPr>
                  </w:pPr>
                  <w:r>
                    <w:rPr>
                      <w:color w:val="auto"/>
                      <w:kern w:val="0"/>
                      <w:szCs w:val="21"/>
                      <w:highlight w:val="none"/>
                    </w:rPr>
                    <w:t>毛辊去皮清洗机</w:t>
                  </w:r>
                  <w:r>
                    <w:rPr>
                      <w:rFonts w:hint="eastAsia"/>
                      <w:color w:val="auto"/>
                      <w:kern w:val="0"/>
                      <w:szCs w:val="21"/>
                      <w:highlight w:val="none"/>
                    </w:rPr>
                    <w:t>（SUS304）</w:t>
                  </w:r>
                </w:p>
              </w:tc>
              <w:tc>
                <w:tcPr>
                  <w:tcW w:w="912" w:type="pct"/>
                  <w:tcBorders>
                    <w:tl2br w:val="nil"/>
                    <w:tr2bl w:val="nil"/>
                  </w:tcBorders>
                  <w:noWrap/>
                  <w:vAlign w:val="center"/>
                </w:tcPr>
                <w:p w14:paraId="1F5C8945">
                  <w:pPr>
                    <w:widowControl/>
                    <w:adjustRightInd w:val="0"/>
                    <w:snapToGrid w:val="0"/>
                    <w:jc w:val="center"/>
                    <w:rPr>
                      <w:color w:val="auto"/>
                      <w:kern w:val="0"/>
                      <w:szCs w:val="21"/>
                      <w:highlight w:val="none"/>
                    </w:rPr>
                  </w:pPr>
                  <w:r>
                    <w:rPr>
                      <w:color w:val="auto"/>
                      <w:kern w:val="0"/>
                      <w:szCs w:val="21"/>
                      <w:highlight w:val="none"/>
                    </w:rPr>
                    <w:t>1</w:t>
                  </w:r>
                </w:p>
              </w:tc>
              <w:tc>
                <w:tcPr>
                  <w:tcW w:w="816" w:type="pct"/>
                  <w:tcBorders>
                    <w:tl2br w:val="nil"/>
                    <w:tr2bl w:val="nil"/>
                  </w:tcBorders>
                  <w:noWrap/>
                  <w:vAlign w:val="center"/>
                </w:tcPr>
                <w:p w14:paraId="3C0ACD12">
                  <w:pPr>
                    <w:widowControl/>
                    <w:adjustRightInd w:val="0"/>
                    <w:snapToGrid w:val="0"/>
                    <w:jc w:val="center"/>
                    <w:rPr>
                      <w:color w:val="auto"/>
                      <w:kern w:val="0"/>
                      <w:szCs w:val="21"/>
                      <w:highlight w:val="none"/>
                    </w:rPr>
                  </w:pPr>
                  <w:r>
                    <w:rPr>
                      <w:color w:val="auto"/>
                      <w:kern w:val="0"/>
                      <w:szCs w:val="21"/>
                      <w:highlight w:val="none"/>
                    </w:rPr>
                    <w:t>台</w:t>
                  </w:r>
                </w:p>
              </w:tc>
            </w:tr>
            <w:tr w14:paraId="0B0C77B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505" w:type="pct"/>
                  <w:tcBorders>
                    <w:tl2br w:val="nil"/>
                    <w:tr2bl w:val="nil"/>
                  </w:tcBorders>
                  <w:noWrap/>
                  <w:vAlign w:val="center"/>
                </w:tcPr>
                <w:p w14:paraId="4E2C799E">
                  <w:pPr>
                    <w:widowControl/>
                    <w:adjustRightInd w:val="0"/>
                    <w:snapToGrid w:val="0"/>
                    <w:jc w:val="center"/>
                    <w:rPr>
                      <w:color w:val="auto"/>
                      <w:kern w:val="0"/>
                      <w:szCs w:val="21"/>
                      <w:highlight w:val="none"/>
                    </w:rPr>
                  </w:pPr>
                  <w:r>
                    <w:rPr>
                      <w:rFonts w:hint="eastAsia"/>
                      <w:color w:val="auto"/>
                      <w:kern w:val="0"/>
                      <w:szCs w:val="21"/>
                      <w:highlight w:val="none"/>
                    </w:rPr>
                    <w:t>9</w:t>
                  </w:r>
                </w:p>
              </w:tc>
              <w:tc>
                <w:tcPr>
                  <w:tcW w:w="2765" w:type="pct"/>
                  <w:tcBorders>
                    <w:tl2br w:val="nil"/>
                    <w:tr2bl w:val="nil"/>
                  </w:tcBorders>
                  <w:noWrap/>
                  <w:vAlign w:val="center"/>
                </w:tcPr>
                <w:p w14:paraId="1B428AA0">
                  <w:pPr>
                    <w:widowControl/>
                    <w:adjustRightInd w:val="0"/>
                    <w:snapToGrid w:val="0"/>
                    <w:jc w:val="center"/>
                    <w:rPr>
                      <w:color w:val="auto"/>
                      <w:kern w:val="0"/>
                      <w:szCs w:val="21"/>
                      <w:highlight w:val="none"/>
                    </w:rPr>
                  </w:pPr>
                  <w:r>
                    <w:rPr>
                      <w:color w:val="auto"/>
                      <w:kern w:val="0"/>
                      <w:szCs w:val="21"/>
                      <w:highlight w:val="none"/>
                    </w:rPr>
                    <w:t>切条机</w:t>
                  </w:r>
                  <w:r>
                    <w:rPr>
                      <w:rFonts w:hint="eastAsia"/>
                      <w:color w:val="auto"/>
                      <w:kern w:val="0"/>
                      <w:szCs w:val="21"/>
                      <w:highlight w:val="none"/>
                    </w:rPr>
                    <w:t>（BYQT-1000）</w:t>
                  </w:r>
                </w:p>
              </w:tc>
              <w:tc>
                <w:tcPr>
                  <w:tcW w:w="912" w:type="pct"/>
                  <w:tcBorders>
                    <w:tl2br w:val="nil"/>
                    <w:tr2bl w:val="nil"/>
                  </w:tcBorders>
                  <w:noWrap/>
                  <w:vAlign w:val="center"/>
                </w:tcPr>
                <w:p w14:paraId="62CCE900">
                  <w:pPr>
                    <w:widowControl/>
                    <w:adjustRightInd w:val="0"/>
                    <w:snapToGrid w:val="0"/>
                    <w:jc w:val="center"/>
                    <w:rPr>
                      <w:color w:val="auto"/>
                      <w:kern w:val="0"/>
                      <w:szCs w:val="21"/>
                      <w:highlight w:val="none"/>
                    </w:rPr>
                  </w:pPr>
                  <w:r>
                    <w:rPr>
                      <w:color w:val="auto"/>
                      <w:kern w:val="0"/>
                      <w:szCs w:val="21"/>
                      <w:highlight w:val="none"/>
                    </w:rPr>
                    <w:t>1</w:t>
                  </w:r>
                </w:p>
              </w:tc>
              <w:tc>
                <w:tcPr>
                  <w:tcW w:w="816" w:type="pct"/>
                  <w:tcBorders>
                    <w:tl2br w:val="nil"/>
                    <w:tr2bl w:val="nil"/>
                  </w:tcBorders>
                  <w:noWrap/>
                  <w:vAlign w:val="center"/>
                </w:tcPr>
                <w:p w14:paraId="6A138CC6">
                  <w:pPr>
                    <w:widowControl/>
                    <w:adjustRightInd w:val="0"/>
                    <w:snapToGrid w:val="0"/>
                    <w:jc w:val="center"/>
                    <w:rPr>
                      <w:color w:val="auto"/>
                      <w:kern w:val="0"/>
                      <w:szCs w:val="21"/>
                      <w:highlight w:val="none"/>
                    </w:rPr>
                  </w:pPr>
                  <w:r>
                    <w:rPr>
                      <w:color w:val="auto"/>
                      <w:kern w:val="0"/>
                      <w:szCs w:val="21"/>
                      <w:highlight w:val="none"/>
                    </w:rPr>
                    <w:t>台</w:t>
                  </w:r>
                </w:p>
              </w:tc>
            </w:tr>
            <w:tr w14:paraId="621C8BC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65" w:hRule="atLeast"/>
              </w:trPr>
              <w:tc>
                <w:tcPr>
                  <w:tcW w:w="505" w:type="pct"/>
                  <w:tcBorders>
                    <w:tl2br w:val="nil"/>
                    <w:tr2bl w:val="nil"/>
                  </w:tcBorders>
                  <w:noWrap/>
                  <w:vAlign w:val="center"/>
                </w:tcPr>
                <w:p w14:paraId="7859CE58">
                  <w:pPr>
                    <w:widowControl/>
                    <w:adjustRightInd w:val="0"/>
                    <w:snapToGrid w:val="0"/>
                    <w:jc w:val="center"/>
                    <w:rPr>
                      <w:color w:val="auto"/>
                      <w:kern w:val="0"/>
                      <w:szCs w:val="21"/>
                      <w:highlight w:val="none"/>
                    </w:rPr>
                  </w:pPr>
                  <w:r>
                    <w:rPr>
                      <w:rFonts w:hint="eastAsia"/>
                      <w:color w:val="auto"/>
                      <w:kern w:val="0"/>
                      <w:szCs w:val="21"/>
                      <w:highlight w:val="none"/>
                    </w:rPr>
                    <w:t>10</w:t>
                  </w:r>
                </w:p>
              </w:tc>
              <w:tc>
                <w:tcPr>
                  <w:tcW w:w="2765" w:type="pct"/>
                  <w:tcBorders>
                    <w:tl2br w:val="nil"/>
                    <w:tr2bl w:val="nil"/>
                  </w:tcBorders>
                  <w:noWrap/>
                  <w:vAlign w:val="center"/>
                </w:tcPr>
                <w:p w14:paraId="284DF384">
                  <w:pPr>
                    <w:widowControl/>
                    <w:adjustRightInd w:val="0"/>
                    <w:snapToGrid w:val="0"/>
                    <w:jc w:val="center"/>
                    <w:rPr>
                      <w:color w:val="auto"/>
                      <w:kern w:val="0"/>
                      <w:szCs w:val="21"/>
                      <w:highlight w:val="none"/>
                    </w:rPr>
                  </w:pPr>
                  <w:r>
                    <w:rPr>
                      <w:rFonts w:hint="eastAsia"/>
                      <w:color w:val="auto"/>
                      <w:szCs w:val="21"/>
                      <w:highlight w:val="none"/>
                    </w:rPr>
                    <w:t>气泡清洗机（5500*1300*1300mm）</w:t>
                  </w:r>
                </w:p>
              </w:tc>
              <w:tc>
                <w:tcPr>
                  <w:tcW w:w="912" w:type="pct"/>
                  <w:tcBorders>
                    <w:tl2br w:val="nil"/>
                    <w:tr2bl w:val="nil"/>
                  </w:tcBorders>
                  <w:noWrap/>
                  <w:vAlign w:val="center"/>
                </w:tcPr>
                <w:p w14:paraId="5183D802">
                  <w:pPr>
                    <w:widowControl/>
                    <w:adjustRightInd w:val="0"/>
                    <w:snapToGrid w:val="0"/>
                    <w:jc w:val="center"/>
                    <w:rPr>
                      <w:color w:val="auto"/>
                      <w:kern w:val="0"/>
                      <w:szCs w:val="21"/>
                      <w:highlight w:val="none"/>
                    </w:rPr>
                  </w:pPr>
                  <w:r>
                    <w:rPr>
                      <w:color w:val="auto"/>
                      <w:kern w:val="0"/>
                      <w:szCs w:val="21"/>
                      <w:highlight w:val="none"/>
                    </w:rPr>
                    <w:t>1</w:t>
                  </w:r>
                </w:p>
              </w:tc>
              <w:tc>
                <w:tcPr>
                  <w:tcW w:w="816" w:type="pct"/>
                  <w:tcBorders>
                    <w:tl2br w:val="nil"/>
                    <w:tr2bl w:val="nil"/>
                  </w:tcBorders>
                  <w:noWrap/>
                  <w:vAlign w:val="center"/>
                </w:tcPr>
                <w:p w14:paraId="4A02A263">
                  <w:pPr>
                    <w:widowControl/>
                    <w:adjustRightInd w:val="0"/>
                    <w:snapToGrid w:val="0"/>
                    <w:jc w:val="center"/>
                    <w:rPr>
                      <w:color w:val="auto"/>
                      <w:kern w:val="0"/>
                      <w:szCs w:val="21"/>
                      <w:highlight w:val="none"/>
                    </w:rPr>
                  </w:pPr>
                  <w:r>
                    <w:rPr>
                      <w:color w:val="auto"/>
                      <w:kern w:val="0"/>
                      <w:szCs w:val="21"/>
                      <w:highlight w:val="none"/>
                    </w:rPr>
                    <w:t>台</w:t>
                  </w:r>
                </w:p>
              </w:tc>
            </w:tr>
            <w:tr w14:paraId="67AAE60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72" w:hRule="atLeast"/>
              </w:trPr>
              <w:tc>
                <w:tcPr>
                  <w:tcW w:w="505" w:type="pct"/>
                  <w:tcBorders>
                    <w:tl2br w:val="nil"/>
                    <w:tr2bl w:val="nil"/>
                  </w:tcBorders>
                  <w:noWrap/>
                  <w:vAlign w:val="center"/>
                </w:tcPr>
                <w:p w14:paraId="7C2A3224">
                  <w:pPr>
                    <w:widowControl/>
                    <w:adjustRightInd w:val="0"/>
                    <w:snapToGrid w:val="0"/>
                    <w:jc w:val="center"/>
                    <w:rPr>
                      <w:color w:val="auto"/>
                      <w:kern w:val="0"/>
                      <w:szCs w:val="21"/>
                      <w:highlight w:val="none"/>
                    </w:rPr>
                  </w:pPr>
                  <w:r>
                    <w:rPr>
                      <w:rFonts w:hint="eastAsia"/>
                      <w:color w:val="auto"/>
                      <w:kern w:val="0"/>
                      <w:szCs w:val="21"/>
                      <w:highlight w:val="none"/>
                    </w:rPr>
                    <w:t>11</w:t>
                  </w:r>
                </w:p>
              </w:tc>
              <w:tc>
                <w:tcPr>
                  <w:tcW w:w="2765" w:type="pct"/>
                  <w:tcBorders>
                    <w:tl2br w:val="nil"/>
                    <w:tr2bl w:val="nil"/>
                  </w:tcBorders>
                  <w:noWrap/>
                  <w:vAlign w:val="center"/>
                </w:tcPr>
                <w:p w14:paraId="79D296C5">
                  <w:pPr>
                    <w:widowControl/>
                    <w:adjustRightInd w:val="0"/>
                    <w:snapToGrid w:val="0"/>
                    <w:jc w:val="center"/>
                    <w:rPr>
                      <w:color w:val="auto"/>
                      <w:kern w:val="0"/>
                      <w:szCs w:val="21"/>
                      <w:highlight w:val="none"/>
                    </w:rPr>
                  </w:pPr>
                  <w:r>
                    <w:rPr>
                      <w:rFonts w:hint="eastAsia"/>
                      <w:color w:val="auto"/>
                      <w:szCs w:val="21"/>
                      <w:highlight w:val="none"/>
                    </w:rPr>
                    <w:t>漂烫机（6500*1300*1300mm）</w:t>
                  </w:r>
                </w:p>
              </w:tc>
              <w:tc>
                <w:tcPr>
                  <w:tcW w:w="912" w:type="pct"/>
                  <w:tcBorders>
                    <w:tl2br w:val="nil"/>
                    <w:tr2bl w:val="nil"/>
                  </w:tcBorders>
                  <w:noWrap/>
                  <w:vAlign w:val="center"/>
                </w:tcPr>
                <w:p w14:paraId="1EEF01F9">
                  <w:pPr>
                    <w:widowControl/>
                    <w:adjustRightInd w:val="0"/>
                    <w:snapToGrid w:val="0"/>
                    <w:jc w:val="center"/>
                    <w:rPr>
                      <w:color w:val="auto"/>
                      <w:kern w:val="0"/>
                      <w:szCs w:val="21"/>
                      <w:highlight w:val="none"/>
                    </w:rPr>
                  </w:pPr>
                  <w:r>
                    <w:rPr>
                      <w:color w:val="auto"/>
                      <w:kern w:val="0"/>
                      <w:szCs w:val="21"/>
                      <w:highlight w:val="none"/>
                    </w:rPr>
                    <w:t>1</w:t>
                  </w:r>
                </w:p>
              </w:tc>
              <w:tc>
                <w:tcPr>
                  <w:tcW w:w="816" w:type="pct"/>
                  <w:tcBorders>
                    <w:tl2br w:val="nil"/>
                    <w:tr2bl w:val="nil"/>
                  </w:tcBorders>
                  <w:noWrap/>
                  <w:vAlign w:val="center"/>
                </w:tcPr>
                <w:p w14:paraId="522B716B">
                  <w:pPr>
                    <w:widowControl/>
                    <w:adjustRightInd w:val="0"/>
                    <w:snapToGrid w:val="0"/>
                    <w:jc w:val="center"/>
                    <w:rPr>
                      <w:color w:val="auto"/>
                      <w:kern w:val="0"/>
                      <w:szCs w:val="21"/>
                      <w:highlight w:val="none"/>
                    </w:rPr>
                  </w:pPr>
                  <w:r>
                    <w:rPr>
                      <w:color w:val="auto"/>
                      <w:kern w:val="0"/>
                      <w:szCs w:val="21"/>
                      <w:highlight w:val="none"/>
                    </w:rPr>
                    <w:t>台</w:t>
                  </w:r>
                </w:p>
              </w:tc>
            </w:tr>
            <w:tr w14:paraId="06D1D19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65" w:hRule="atLeast"/>
              </w:trPr>
              <w:tc>
                <w:tcPr>
                  <w:tcW w:w="505" w:type="pct"/>
                  <w:tcBorders>
                    <w:tl2br w:val="nil"/>
                    <w:tr2bl w:val="nil"/>
                  </w:tcBorders>
                  <w:noWrap/>
                  <w:vAlign w:val="center"/>
                </w:tcPr>
                <w:p w14:paraId="22481B79">
                  <w:pPr>
                    <w:widowControl/>
                    <w:adjustRightInd w:val="0"/>
                    <w:snapToGrid w:val="0"/>
                    <w:jc w:val="center"/>
                    <w:rPr>
                      <w:color w:val="auto"/>
                      <w:kern w:val="0"/>
                      <w:szCs w:val="21"/>
                      <w:highlight w:val="none"/>
                    </w:rPr>
                  </w:pPr>
                  <w:r>
                    <w:rPr>
                      <w:color w:val="auto"/>
                      <w:kern w:val="0"/>
                      <w:szCs w:val="21"/>
                      <w:highlight w:val="none"/>
                    </w:rPr>
                    <w:t>1</w:t>
                  </w:r>
                  <w:r>
                    <w:rPr>
                      <w:rFonts w:hint="eastAsia"/>
                      <w:color w:val="auto"/>
                      <w:kern w:val="0"/>
                      <w:szCs w:val="21"/>
                      <w:highlight w:val="none"/>
                    </w:rPr>
                    <w:t>2</w:t>
                  </w:r>
                </w:p>
              </w:tc>
              <w:tc>
                <w:tcPr>
                  <w:tcW w:w="2765" w:type="pct"/>
                  <w:tcBorders>
                    <w:tl2br w:val="nil"/>
                    <w:tr2bl w:val="nil"/>
                  </w:tcBorders>
                  <w:noWrap/>
                  <w:vAlign w:val="center"/>
                </w:tcPr>
                <w:p w14:paraId="4352C4E0">
                  <w:pPr>
                    <w:widowControl/>
                    <w:adjustRightInd w:val="0"/>
                    <w:snapToGrid w:val="0"/>
                    <w:jc w:val="center"/>
                    <w:rPr>
                      <w:color w:val="auto"/>
                      <w:kern w:val="0"/>
                      <w:szCs w:val="21"/>
                      <w:highlight w:val="none"/>
                    </w:rPr>
                  </w:pPr>
                  <w:r>
                    <w:rPr>
                      <w:rFonts w:hint="eastAsia"/>
                      <w:color w:val="auto"/>
                      <w:szCs w:val="21"/>
                      <w:highlight w:val="none"/>
                    </w:rPr>
                    <w:t>振动筛</w:t>
                  </w:r>
                </w:p>
              </w:tc>
              <w:tc>
                <w:tcPr>
                  <w:tcW w:w="912" w:type="pct"/>
                  <w:tcBorders>
                    <w:tl2br w:val="nil"/>
                    <w:tr2bl w:val="nil"/>
                  </w:tcBorders>
                  <w:noWrap/>
                  <w:vAlign w:val="center"/>
                </w:tcPr>
                <w:p w14:paraId="5957AFFF">
                  <w:pPr>
                    <w:widowControl/>
                    <w:adjustRightInd w:val="0"/>
                    <w:snapToGrid w:val="0"/>
                    <w:jc w:val="center"/>
                    <w:rPr>
                      <w:color w:val="auto"/>
                      <w:kern w:val="0"/>
                      <w:szCs w:val="21"/>
                      <w:highlight w:val="none"/>
                    </w:rPr>
                  </w:pPr>
                  <w:r>
                    <w:rPr>
                      <w:color w:val="auto"/>
                      <w:kern w:val="0"/>
                      <w:szCs w:val="21"/>
                      <w:highlight w:val="none"/>
                    </w:rPr>
                    <w:t>1</w:t>
                  </w:r>
                </w:p>
              </w:tc>
              <w:tc>
                <w:tcPr>
                  <w:tcW w:w="816" w:type="pct"/>
                  <w:tcBorders>
                    <w:tl2br w:val="nil"/>
                    <w:tr2bl w:val="nil"/>
                  </w:tcBorders>
                  <w:noWrap/>
                  <w:vAlign w:val="center"/>
                </w:tcPr>
                <w:p w14:paraId="1407B5B0">
                  <w:pPr>
                    <w:widowControl/>
                    <w:adjustRightInd w:val="0"/>
                    <w:snapToGrid w:val="0"/>
                    <w:jc w:val="center"/>
                    <w:rPr>
                      <w:color w:val="auto"/>
                      <w:kern w:val="0"/>
                      <w:szCs w:val="21"/>
                      <w:highlight w:val="none"/>
                    </w:rPr>
                  </w:pPr>
                  <w:r>
                    <w:rPr>
                      <w:color w:val="auto"/>
                      <w:kern w:val="0"/>
                      <w:szCs w:val="21"/>
                      <w:highlight w:val="none"/>
                    </w:rPr>
                    <w:t>台</w:t>
                  </w:r>
                </w:p>
              </w:tc>
            </w:tr>
            <w:tr w14:paraId="507984C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65" w:hRule="atLeast"/>
              </w:trPr>
              <w:tc>
                <w:tcPr>
                  <w:tcW w:w="505" w:type="pct"/>
                  <w:tcBorders>
                    <w:tl2br w:val="nil"/>
                    <w:tr2bl w:val="nil"/>
                  </w:tcBorders>
                  <w:noWrap/>
                  <w:vAlign w:val="center"/>
                </w:tcPr>
                <w:p w14:paraId="3A617D18">
                  <w:pPr>
                    <w:widowControl/>
                    <w:adjustRightInd w:val="0"/>
                    <w:snapToGrid w:val="0"/>
                    <w:jc w:val="center"/>
                    <w:rPr>
                      <w:color w:val="auto"/>
                      <w:kern w:val="0"/>
                      <w:szCs w:val="21"/>
                      <w:highlight w:val="none"/>
                    </w:rPr>
                  </w:pPr>
                  <w:r>
                    <w:rPr>
                      <w:rFonts w:hint="eastAsia"/>
                      <w:color w:val="auto"/>
                      <w:kern w:val="0"/>
                      <w:szCs w:val="21"/>
                      <w:highlight w:val="none"/>
                    </w:rPr>
                    <w:t>13</w:t>
                  </w:r>
                </w:p>
              </w:tc>
              <w:tc>
                <w:tcPr>
                  <w:tcW w:w="2765" w:type="pct"/>
                  <w:tcBorders>
                    <w:tl2br w:val="nil"/>
                    <w:tr2bl w:val="nil"/>
                  </w:tcBorders>
                  <w:noWrap/>
                  <w:vAlign w:val="center"/>
                </w:tcPr>
                <w:p w14:paraId="4908DE41">
                  <w:pPr>
                    <w:widowControl/>
                    <w:adjustRightInd w:val="0"/>
                    <w:snapToGrid w:val="0"/>
                    <w:jc w:val="center"/>
                    <w:rPr>
                      <w:color w:val="auto"/>
                      <w:kern w:val="0"/>
                      <w:szCs w:val="21"/>
                      <w:highlight w:val="none"/>
                    </w:rPr>
                  </w:pPr>
                  <w:r>
                    <w:rPr>
                      <w:rFonts w:hint="eastAsia"/>
                      <w:color w:val="auto"/>
                      <w:szCs w:val="21"/>
                      <w:highlight w:val="none"/>
                    </w:rPr>
                    <w:t>真空油炸机（4100*4100*3600mm）</w:t>
                  </w:r>
                </w:p>
              </w:tc>
              <w:tc>
                <w:tcPr>
                  <w:tcW w:w="912" w:type="pct"/>
                  <w:tcBorders>
                    <w:tl2br w:val="nil"/>
                    <w:tr2bl w:val="nil"/>
                  </w:tcBorders>
                  <w:noWrap/>
                  <w:vAlign w:val="center"/>
                </w:tcPr>
                <w:p w14:paraId="744349F6">
                  <w:pPr>
                    <w:widowControl/>
                    <w:adjustRightInd w:val="0"/>
                    <w:snapToGrid w:val="0"/>
                    <w:jc w:val="center"/>
                    <w:rPr>
                      <w:color w:val="auto"/>
                      <w:kern w:val="0"/>
                      <w:szCs w:val="21"/>
                      <w:highlight w:val="none"/>
                    </w:rPr>
                  </w:pPr>
                  <w:r>
                    <w:rPr>
                      <w:color w:val="auto"/>
                      <w:kern w:val="0"/>
                      <w:szCs w:val="21"/>
                      <w:highlight w:val="none"/>
                    </w:rPr>
                    <w:t>1</w:t>
                  </w:r>
                </w:p>
              </w:tc>
              <w:tc>
                <w:tcPr>
                  <w:tcW w:w="816" w:type="pct"/>
                  <w:tcBorders>
                    <w:tl2br w:val="nil"/>
                    <w:tr2bl w:val="nil"/>
                  </w:tcBorders>
                  <w:noWrap/>
                  <w:vAlign w:val="center"/>
                </w:tcPr>
                <w:p w14:paraId="54796737">
                  <w:pPr>
                    <w:widowControl/>
                    <w:adjustRightInd w:val="0"/>
                    <w:snapToGrid w:val="0"/>
                    <w:jc w:val="center"/>
                    <w:rPr>
                      <w:color w:val="auto"/>
                      <w:kern w:val="0"/>
                      <w:szCs w:val="21"/>
                      <w:highlight w:val="none"/>
                    </w:rPr>
                  </w:pPr>
                  <w:r>
                    <w:rPr>
                      <w:color w:val="auto"/>
                      <w:kern w:val="0"/>
                      <w:szCs w:val="21"/>
                      <w:highlight w:val="none"/>
                    </w:rPr>
                    <w:t>台</w:t>
                  </w:r>
                </w:p>
              </w:tc>
            </w:tr>
            <w:tr w14:paraId="310B14F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65" w:hRule="atLeast"/>
              </w:trPr>
              <w:tc>
                <w:tcPr>
                  <w:tcW w:w="505" w:type="pct"/>
                  <w:tcBorders>
                    <w:tl2br w:val="nil"/>
                    <w:tr2bl w:val="nil"/>
                  </w:tcBorders>
                  <w:noWrap/>
                  <w:vAlign w:val="center"/>
                </w:tcPr>
                <w:p w14:paraId="60E74099">
                  <w:pPr>
                    <w:widowControl/>
                    <w:adjustRightInd w:val="0"/>
                    <w:snapToGrid w:val="0"/>
                    <w:jc w:val="center"/>
                    <w:rPr>
                      <w:color w:val="auto"/>
                      <w:kern w:val="0"/>
                      <w:szCs w:val="21"/>
                      <w:highlight w:val="none"/>
                    </w:rPr>
                  </w:pPr>
                  <w:r>
                    <w:rPr>
                      <w:rFonts w:hint="eastAsia"/>
                      <w:color w:val="auto"/>
                      <w:kern w:val="0"/>
                      <w:szCs w:val="21"/>
                      <w:highlight w:val="none"/>
                    </w:rPr>
                    <w:t>14</w:t>
                  </w:r>
                </w:p>
              </w:tc>
              <w:tc>
                <w:tcPr>
                  <w:tcW w:w="2765" w:type="pct"/>
                  <w:tcBorders>
                    <w:tl2br w:val="nil"/>
                    <w:tr2bl w:val="nil"/>
                  </w:tcBorders>
                  <w:noWrap/>
                  <w:vAlign w:val="center"/>
                </w:tcPr>
                <w:p w14:paraId="22A60EEA">
                  <w:pPr>
                    <w:widowControl/>
                    <w:adjustRightInd w:val="0"/>
                    <w:snapToGrid w:val="0"/>
                    <w:jc w:val="center"/>
                    <w:rPr>
                      <w:color w:val="auto"/>
                      <w:kern w:val="0"/>
                      <w:szCs w:val="21"/>
                      <w:highlight w:val="none"/>
                    </w:rPr>
                  </w:pPr>
                  <w:r>
                    <w:rPr>
                      <w:rFonts w:hint="eastAsia"/>
                      <w:color w:val="auto"/>
                      <w:szCs w:val="21"/>
                      <w:highlight w:val="none"/>
                    </w:rPr>
                    <w:t>浸渍池（2500*1000*800mm）</w:t>
                  </w:r>
                </w:p>
              </w:tc>
              <w:tc>
                <w:tcPr>
                  <w:tcW w:w="912" w:type="pct"/>
                  <w:tcBorders>
                    <w:tl2br w:val="nil"/>
                    <w:tr2bl w:val="nil"/>
                  </w:tcBorders>
                  <w:noWrap/>
                  <w:vAlign w:val="center"/>
                </w:tcPr>
                <w:p w14:paraId="5796FEF9">
                  <w:pPr>
                    <w:widowControl/>
                    <w:adjustRightInd w:val="0"/>
                    <w:snapToGrid w:val="0"/>
                    <w:jc w:val="center"/>
                    <w:rPr>
                      <w:color w:val="auto"/>
                      <w:kern w:val="0"/>
                      <w:szCs w:val="21"/>
                      <w:highlight w:val="none"/>
                    </w:rPr>
                  </w:pPr>
                  <w:r>
                    <w:rPr>
                      <w:rFonts w:hint="eastAsia"/>
                      <w:color w:val="auto"/>
                      <w:kern w:val="0"/>
                      <w:szCs w:val="21"/>
                      <w:highlight w:val="none"/>
                    </w:rPr>
                    <w:t>8</w:t>
                  </w:r>
                </w:p>
              </w:tc>
              <w:tc>
                <w:tcPr>
                  <w:tcW w:w="816" w:type="pct"/>
                  <w:tcBorders>
                    <w:tl2br w:val="nil"/>
                    <w:tr2bl w:val="nil"/>
                  </w:tcBorders>
                  <w:noWrap/>
                  <w:vAlign w:val="center"/>
                </w:tcPr>
                <w:p w14:paraId="56C079BC">
                  <w:pPr>
                    <w:widowControl/>
                    <w:adjustRightInd w:val="0"/>
                    <w:snapToGrid w:val="0"/>
                    <w:jc w:val="center"/>
                    <w:rPr>
                      <w:color w:val="auto"/>
                      <w:kern w:val="0"/>
                      <w:szCs w:val="21"/>
                      <w:highlight w:val="none"/>
                    </w:rPr>
                  </w:pPr>
                  <w:r>
                    <w:rPr>
                      <w:color w:val="auto"/>
                      <w:kern w:val="0"/>
                      <w:szCs w:val="21"/>
                      <w:highlight w:val="none"/>
                    </w:rPr>
                    <w:t>台</w:t>
                  </w:r>
                </w:p>
              </w:tc>
            </w:tr>
            <w:tr w14:paraId="7B8E532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65" w:hRule="atLeast"/>
              </w:trPr>
              <w:tc>
                <w:tcPr>
                  <w:tcW w:w="505" w:type="pct"/>
                  <w:tcBorders>
                    <w:tl2br w:val="nil"/>
                    <w:tr2bl w:val="nil"/>
                  </w:tcBorders>
                  <w:noWrap/>
                  <w:vAlign w:val="center"/>
                </w:tcPr>
                <w:p w14:paraId="1130F2C6">
                  <w:pPr>
                    <w:widowControl/>
                    <w:adjustRightInd w:val="0"/>
                    <w:snapToGrid w:val="0"/>
                    <w:jc w:val="center"/>
                    <w:rPr>
                      <w:color w:val="auto"/>
                      <w:kern w:val="0"/>
                      <w:szCs w:val="21"/>
                      <w:highlight w:val="none"/>
                    </w:rPr>
                  </w:pPr>
                  <w:r>
                    <w:rPr>
                      <w:rFonts w:hint="eastAsia"/>
                      <w:color w:val="auto"/>
                      <w:kern w:val="0"/>
                      <w:szCs w:val="21"/>
                      <w:highlight w:val="none"/>
                    </w:rPr>
                    <w:t>15</w:t>
                  </w:r>
                </w:p>
              </w:tc>
              <w:tc>
                <w:tcPr>
                  <w:tcW w:w="2765" w:type="pct"/>
                  <w:tcBorders>
                    <w:tl2br w:val="nil"/>
                    <w:tr2bl w:val="nil"/>
                  </w:tcBorders>
                  <w:noWrap/>
                  <w:vAlign w:val="center"/>
                </w:tcPr>
                <w:p w14:paraId="1DDE46A3">
                  <w:pPr>
                    <w:widowControl/>
                    <w:adjustRightInd w:val="0"/>
                    <w:snapToGrid w:val="0"/>
                    <w:jc w:val="center"/>
                    <w:rPr>
                      <w:color w:val="auto"/>
                      <w:kern w:val="0"/>
                      <w:szCs w:val="21"/>
                      <w:highlight w:val="none"/>
                    </w:rPr>
                  </w:pPr>
                  <w:r>
                    <w:rPr>
                      <w:rFonts w:hint="eastAsia"/>
                      <w:color w:val="auto"/>
                      <w:szCs w:val="21"/>
                      <w:highlight w:val="none"/>
                    </w:rPr>
                    <w:t>翻料器（1300×1500×1600mm）</w:t>
                  </w:r>
                </w:p>
              </w:tc>
              <w:tc>
                <w:tcPr>
                  <w:tcW w:w="912" w:type="pct"/>
                  <w:tcBorders>
                    <w:tl2br w:val="nil"/>
                    <w:tr2bl w:val="nil"/>
                  </w:tcBorders>
                  <w:noWrap/>
                  <w:vAlign w:val="center"/>
                </w:tcPr>
                <w:p w14:paraId="7348913C">
                  <w:pPr>
                    <w:widowControl/>
                    <w:adjustRightInd w:val="0"/>
                    <w:snapToGrid w:val="0"/>
                    <w:jc w:val="center"/>
                    <w:rPr>
                      <w:color w:val="auto"/>
                      <w:kern w:val="0"/>
                      <w:szCs w:val="21"/>
                      <w:highlight w:val="none"/>
                    </w:rPr>
                  </w:pPr>
                  <w:r>
                    <w:rPr>
                      <w:color w:val="auto"/>
                      <w:kern w:val="0"/>
                      <w:szCs w:val="21"/>
                      <w:highlight w:val="none"/>
                    </w:rPr>
                    <w:t>1</w:t>
                  </w:r>
                </w:p>
              </w:tc>
              <w:tc>
                <w:tcPr>
                  <w:tcW w:w="816" w:type="pct"/>
                  <w:tcBorders>
                    <w:tl2br w:val="nil"/>
                    <w:tr2bl w:val="nil"/>
                  </w:tcBorders>
                  <w:noWrap/>
                  <w:vAlign w:val="center"/>
                </w:tcPr>
                <w:p w14:paraId="41F8A993">
                  <w:pPr>
                    <w:widowControl/>
                    <w:adjustRightInd w:val="0"/>
                    <w:snapToGrid w:val="0"/>
                    <w:jc w:val="center"/>
                    <w:rPr>
                      <w:color w:val="auto"/>
                      <w:kern w:val="0"/>
                      <w:szCs w:val="21"/>
                      <w:highlight w:val="none"/>
                    </w:rPr>
                  </w:pPr>
                  <w:r>
                    <w:rPr>
                      <w:color w:val="auto"/>
                      <w:kern w:val="0"/>
                      <w:szCs w:val="21"/>
                      <w:highlight w:val="none"/>
                    </w:rPr>
                    <w:t>台</w:t>
                  </w:r>
                </w:p>
              </w:tc>
            </w:tr>
            <w:tr w14:paraId="631A18C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65" w:hRule="atLeast"/>
              </w:trPr>
              <w:tc>
                <w:tcPr>
                  <w:tcW w:w="505" w:type="pct"/>
                  <w:tcBorders>
                    <w:tl2br w:val="nil"/>
                    <w:tr2bl w:val="nil"/>
                  </w:tcBorders>
                  <w:noWrap/>
                  <w:vAlign w:val="center"/>
                </w:tcPr>
                <w:p w14:paraId="1E17F3F4">
                  <w:pPr>
                    <w:widowControl/>
                    <w:adjustRightInd w:val="0"/>
                    <w:snapToGrid w:val="0"/>
                    <w:jc w:val="center"/>
                    <w:rPr>
                      <w:color w:val="auto"/>
                      <w:kern w:val="0"/>
                      <w:szCs w:val="21"/>
                      <w:highlight w:val="none"/>
                    </w:rPr>
                  </w:pPr>
                  <w:r>
                    <w:rPr>
                      <w:rFonts w:hint="eastAsia"/>
                      <w:color w:val="auto"/>
                      <w:kern w:val="0"/>
                      <w:szCs w:val="21"/>
                      <w:highlight w:val="none"/>
                    </w:rPr>
                    <w:t>16</w:t>
                  </w:r>
                </w:p>
              </w:tc>
              <w:tc>
                <w:tcPr>
                  <w:tcW w:w="2765" w:type="pct"/>
                  <w:tcBorders>
                    <w:tl2br w:val="nil"/>
                    <w:tr2bl w:val="nil"/>
                  </w:tcBorders>
                  <w:noWrap/>
                  <w:vAlign w:val="center"/>
                </w:tcPr>
                <w:p w14:paraId="17F69EE6">
                  <w:pPr>
                    <w:widowControl/>
                    <w:adjustRightInd w:val="0"/>
                    <w:snapToGrid w:val="0"/>
                    <w:jc w:val="center"/>
                    <w:rPr>
                      <w:color w:val="auto"/>
                      <w:kern w:val="0"/>
                      <w:szCs w:val="21"/>
                      <w:highlight w:val="none"/>
                    </w:rPr>
                  </w:pPr>
                  <w:r>
                    <w:rPr>
                      <w:color w:val="auto"/>
                      <w:kern w:val="0"/>
                      <w:szCs w:val="21"/>
                      <w:highlight w:val="none"/>
                    </w:rPr>
                    <w:t>摊凉平台</w:t>
                  </w:r>
                  <w:r>
                    <w:rPr>
                      <w:rFonts w:hint="eastAsia"/>
                      <w:color w:val="auto"/>
                      <w:kern w:val="0"/>
                      <w:szCs w:val="21"/>
                      <w:highlight w:val="none"/>
                    </w:rPr>
                    <w:t>（3000*1350*800mm）</w:t>
                  </w:r>
                </w:p>
              </w:tc>
              <w:tc>
                <w:tcPr>
                  <w:tcW w:w="912" w:type="pct"/>
                  <w:tcBorders>
                    <w:tl2br w:val="nil"/>
                    <w:tr2bl w:val="nil"/>
                  </w:tcBorders>
                  <w:noWrap/>
                  <w:vAlign w:val="center"/>
                </w:tcPr>
                <w:p w14:paraId="6B3AAD6D">
                  <w:pPr>
                    <w:widowControl/>
                    <w:adjustRightInd w:val="0"/>
                    <w:snapToGrid w:val="0"/>
                    <w:jc w:val="center"/>
                    <w:rPr>
                      <w:color w:val="auto"/>
                      <w:kern w:val="0"/>
                      <w:szCs w:val="21"/>
                      <w:highlight w:val="none"/>
                    </w:rPr>
                  </w:pPr>
                  <w:r>
                    <w:rPr>
                      <w:color w:val="auto"/>
                      <w:kern w:val="0"/>
                      <w:szCs w:val="21"/>
                      <w:highlight w:val="none"/>
                    </w:rPr>
                    <w:t>1</w:t>
                  </w:r>
                </w:p>
              </w:tc>
              <w:tc>
                <w:tcPr>
                  <w:tcW w:w="816" w:type="pct"/>
                  <w:tcBorders>
                    <w:tl2br w:val="nil"/>
                    <w:tr2bl w:val="nil"/>
                  </w:tcBorders>
                  <w:noWrap/>
                  <w:vAlign w:val="center"/>
                </w:tcPr>
                <w:p w14:paraId="451C2090">
                  <w:pPr>
                    <w:widowControl/>
                    <w:adjustRightInd w:val="0"/>
                    <w:snapToGrid w:val="0"/>
                    <w:jc w:val="center"/>
                    <w:rPr>
                      <w:color w:val="auto"/>
                      <w:kern w:val="0"/>
                      <w:szCs w:val="21"/>
                      <w:highlight w:val="none"/>
                    </w:rPr>
                  </w:pPr>
                  <w:r>
                    <w:rPr>
                      <w:color w:val="auto"/>
                      <w:kern w:val="0"/>
                      <w:szCs w:val="21"/>
                      <w:highlight w:val="none"/>
                    </w:rPr>
                    <w:t>台</w:t>
                  </w:r>
                </w:p>
              </w:tc>
            </w:tr>
            <w:tr w14:paraId="5B6139D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65" w:hRule="atLeast"/>
              </w:trPr>
              <w:tc>
                <w:tcPr>
                  <w:tcW w:w="505" w:type="pct"/>
                  <w:tcBorders>
                    <w:tl2br w:val="nil"/>
                    <w:tr2bl w:val="nil"/>
                  </w:tcBorders>
                  <w:noWrap/>
                  <w:vAlign w:val="center"/>
                </w:tcPr>
                <w:p w14:paraId="7B35ED79">
                  <w:pPr>
                    <w:widowControl/>
                    <w:adjustRightInd w:val="0"/>
                    <w:snapToGrid w:val="0"/>
                    <w:jc w:val="center"/>
                    <w:rPr>
                      <w:color w:val="auto"/>
                      <w:kern w:val="0"/>
                      <w:szCs w:val="21"/>
                      <w:highlight w:val="none"/>
                    </w:rPr>
                  </w:pPr>
                  <w:r>
                    <w:rPr>
                      <w:rFonts w:hint="eastAsia"/>
                      <w:color w:val="auto"/>
                      <w:kern w:val="0"/>
                      <w:szCs w:val="21"/>
                      <w:highlight w:val="none"/>
                    </w:rPr>
                    <w:t>17</w:t>
                  </w:r>
                </w:p>
              </w:tc>
              <w:tc>
                <w:tcPr>
                  <w:tcW w:w="2765" w:type="pct"/>
                  <w:tcBorders>
                    <w:tl2br w:val="nil"/>
                    <w:tr2bl w:val="nil"/>
                  </w:tcBorders>
                  <w:noWrap/>
                  <w:vAlign w:val="center"/>
                </w:tcPr>
                <w:p w14:paraId="5EE430F8">
                  <w:pPr>
                    <w:widowControl/>
                    <w:adjustRightInd w:val="0"/>
                    <w:snapToGrid w:val="0"/>
                    <w:jc w:val="center"/>
                    <w:rPr>
                      <w:color w:val="auto"/>
                      <w:kern w:val="0"/>
                      <w:szCs w:val="21"/>
                      <w:highlight w:val="none"/>
                    </w:rPr>
                  </w:pPr>
                  <w:r>
                    <w:rPr>
                      <w:color w:val="auto"/>
                      <w:kern w:val="0"/>
                      <w:szCs w:val="21"/>
                      <w:highlight w:val="none"/>
                    </w:rPr>
                    <w:t>烘干</w:t>
                  </w:r>
                  <w:r>
                    <w:rPr>
                      <w:rFonts w:hint="eastAsia"/>
                      <w:color w:val="auto"/>
                      <w:kern w:val="0"/>
                      <w:szCs w:val="21"/>
                      <w:highlight w:val="none"/>
                    </w:rPr>
                    <w:t>机（8000*1400*2400mm）</w:t>
                  </w:r>
                </w:p>
              </w:tc>
              <w:tc>
                <w:tcPr>
                  <w:tcW w:w="912" w:type="pct"/>
                  <w:tcBorders>
                    <w:tl2br w:val="nil"/>
                    <w:tr2bl w:val="nil"/>
                  </w:tcBorders>
                  <w:noWrap/>
                  <w:vAlign w:val="center"/>
                </w:tcPr>
                <w:p w14:paraId="7337773A">
                  <w:pPr>
                    <w:widowControl/>
                    <w:adjustRightInd w:val="0"/>
                    <w:snapToGrid w:val="0"/>
                    <w:jc w:val="center"/>
                    <w:rPr>
                      <w:color w:val="auto"/>
                      <w:kern w:val="0"/>
                      <w:szCs w:val="21"/>
                      <w:highlight w:val="none"/>
                    </w:rPr>
                  </w:pPr>
                  <w:r>
                    <w:rPr>
                      <w:color w:val="auto"/>
                      <w:kern w:val="0"/>
                      <w:szCs w:val="21"/>
                      <w:highlight w:val="none"/>
                    </w:rPr>
                    <w:t>1</w:t>
                  </w:r>
                </w:p>
              </w:tc>
              <w:tc>
                <w:tcPr>
                  <w:tcW w:w="816" w:type="pct"/>
                  <w:tcBorders>
                    <w:tl2br w:val="nil"/>
                    <w:tr2bl w:val="nil"/>
                  </w:tcBorders>
                  <w:noWrap/>
                  <w:vAlign w:val="center"/>
                </w:tcPr>
                <w:p w14:paraId="31E5E3CF">
                  <w:pPr>
                    <w:widowControl/>
                    <w:adjustRightInd w:val="0"/>
                    <w:snapToGrid w:val="0"/>
                    <w:jc w:val="center"/>
                    <w:rPr>
                      <w:rFonts w:eastAsiaTheme="minorEastAsia"/>
                      <w:color w:val="auto"/>
                      <w:kern w:val="0"/>
                      <w:szCs w:val="21"/>
                      <w:highlight w:val="none"/>
                    </w:rPr>
                  </w:pPr>
                  <w:r>
                    <w:rPr>
                      <w:rFonts w:hint="eastAsia"/>
                      <w:color w:val="auto"/>
                      <w:kern w:val="0"/>
                      <w:szCs w:val="21"/>
                      <w:highlight w:val="none"/>
                    </w:rPr>
                    <w:t>条</w:t>
                  </w:r>
                </w:p>
              </w:tc>
            </w:tr>
            <w:tr w14:paraId="2041AF7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65" w:hRule="atLeast"/>
              </w:trPr>
              <w:tc>
                <w:tcPr>
                  <w:tcW w:w="505" w:type="pct"/>
                  <w:tcBorders>
                    <w:tl2br w:val="nil"/>
                    <w:tr2bl w:val="nil"/>
                  </w:tcBorders>
                  <w:noWrap/>
                  <w:vAlign w:val="center"/>
                </w:tcPr>
                <w:p w14:paraId="3BF5BFEF">
                  <w:pPr>
                    <w:widowControl/>
                    <w:adjustRightInd w:val="0"/>
                    <w:snapToGrid w:val="0"/>
                    <w:jc w:val="center"/>
                    <w:rPr>
                      <w:color w:val="auto"/>
                      <w:kern w:val="0"/>
                      <w:szCs w:val="21"/>
                      <w:highlight w:val="none"/>
                    </w:rPr>
                  </w:pPr>
                  <w:r>
                    <w:rPr>
                      <w:rFonts w:hint="eastAsia"/>
                      <w:color w:val="auto"/>
                      <w:kern w:val="0"/>
                      <w:szCs w:val="21"/>
                      <w:highlight w:val="none"/>
                    </w:rPr>
                    <w:t>18</w:t>
                  </w:r>
                </w:p>
              </w:tc>
              <w:tc>
                <w:tcPr>
                  <w:tcW w:w="2765" w:type="pct"/>
                  <w:tcBorders>
                    <w:tl2br w:val="nil"/>
                    <w:tr2bl w:val="nil"/>
                  </w:tcBorders>
                  <w:noWrap/>
                  <w:vAlign w:val="center"/>
                </w:tcPr>
                <w:p w14:paraId="5DD0F5D6">
                  <w:pPr>
                    <w:widowControl/>
                    <w:adjustRightInd w:val="0"/>
                    <w:snapToGrid w:val="0"/>
                    <w:jc w:val="center"/>
                    <w:rPr>
                      <w:color w:val="auto"/>
                      <w:kern w:val="0"/>
                      <w:szCs w:val="21"/>
                      <w:highlight w:val="none"/>
                    </w:rPr>
                  </w:pPr>
                  <w:r>
                    <w:rPr>
                      <w:rFonts w:hint="eastAsia"/>
                      <w:color w:val="auto"/>
                      <w:szCs w:val="21"/>
                      <w:highlight w:val="none"/>
                    </w:rPr>
                    <w:t>空压机</w:t>
                  </w:r>
                </w:p>
              </w:tc>
              <w:tc>
                <w:tcPr>
                  <w:tcW w:w="912" w:type="pct"/>
                  <w:tcBorders>
                    <w:tl2br w:val="nil"/>
                    <w:tr2bl w:val="nil"/>
                  </w:tcBorders>
                  <w:noWrap/>
                  <w:vAlign w:val="center"/>
                </w:tcPr>
                <w:p w14:paraId="3473ED8E">
                  <w:pPr>
                    <w:widowControl/>
                    <w:adjustRightInd w:val="0"/>
                    <w:snapToGrid w:val="0"/>
                    <w:jc w:val="center"/>
                    <w:rPr>
                      <w:color w:val="auto"/>
                      <w:kern w:val="0"/>
                      <w:szCs w:val="21"/>
                      <w:highlight w:val="none"/>
                    </w:rPr>
                  </w:pPr>
                  <w:r>
                    <w:rPr>
                      <w:color w:val="auto"/>
                      <w:kern w:val="0"/>
                      <w:szCs w:val="21"/>
                      <w:highlight w:val="none"/>
                    </w:rPr>
                    <w:t>1</w:t>
                  </w:r>
                </w:p>
              </w:tc>
              <w:tc>
                <w:tcPr>
                  <w:tcW w:w="816" w:type="pct"/>
                  <w:tcBorders>
                    <w:tl2br w:val="nil"/>
                    <w:tr2bl w:val="nil"/>
                  </w:tcBorders>
                  <w:noWrap/>
                  <w:vAlign w:val="center"/>
                </w:tcPr>
                <w:p w14:paraId="5E6D401E">
                  <w:pPr>
                    <w:widowControl/>
                    <w:adjustRightInd w:val="0"/>
                    <w:snapToGrid w:val="0"/>
                    <w:jc w:val="center"/>
                    <w:rPr>
                      <w:color w:val="auto"/>
                      <w:kern w:val="0"/>
                      <w:szCs w:val="21"/>
                      <w:highlight w:val="none"/>
                    </w:rPr>
                  </w:pPr>
                  <w:r>
                    <w:rPr>
                      <w:color w:val="auto"/>
                      <w:kern w:val="0"/>
                      <w:szCs w:val="21"/>
                      <w:highlight w:val="none"/>
                    </w:rPr>
                    <w:t>台</w:t>
                  </w:r>
                </w:p>
              </w:tc>
            </w:tr>
            <w:tr w14:paraId="64C058A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65" w:hRule="atLeast"/>
              </w:trPr>
              <w:tc>
                <w:tcPr>
                  <w:tcW w:w="505" w:type="pct"/>
                  <w:tcBorders>
                    <w:tl2br w:val="nil"/>
                    <w:tr2bl w:val="nil"/>
                  </w:tcBorders>
                  <w:noWrap/>
                  <w:vAlign w:val="center"/>
                </w:tcPr>
                <w:p w14:paraId="12F45526">
                  <w:pPr>
                    <w:widowControl/>
                    <w:adjustRightInd w:val="0"/>
                    <w:snapToGrid w:val="0"/>
                    <w:jc w:val="center"/>
                    <w:rPr>
                      <w:color w:val="auto"/>
                      <w:kern w:val="0"/>
                      <w:szCs w:val="21"/>
                      <w:highlight w:val="none"/>
                    </w:rPr>
                  </w:pPr>
                  <w:r>
                    <w:rPr>
                      <w:rFonts w:hint="eastAsia"/>
                      <w:color w:val="auto"/>
                      <w:kern w:val="0"/>
                      <w:szCs w:val="21"/>
                      <w:highlight w:val="none"/>
                    </w:rPr>
                    <w:t>19</w:t>
                  </w:r>
                </w:p>
              </w:tc>
              <w:tc>
                <w:tcPr>
                  <w:tcW w:w="2765" w:type="pct"/>
                  <w:tcBorders>
                    <w:tl2br w:val="nil"/>
                    <w:tr2bl w:val="nil"/>
                  </w:tcBorders>
                  <w:noWrap/>
                  <w:vAlign w:val="center"/>
                </w:tcPr>
                <w:p w14:paraId="42735724">
                  <w:pPr>
                    <w:widowControl/>
                    <w:adjustRightInd w:val="0"/>
                    <w:snapToGrid w:val="0"/>
                    <w:jc w:val="center"/>
                    <w:rPr>
                      <w:color w:val="auto"/>
                      <w:kern w:val="0"/>
                      <w:szCs w:val="21"/>
                      <w:highlight w:val="none"/>
                    </w:rPr>
                  </w:pPr>
                  <w:r>
                    <w:rPr>
                      <w:color w:val="auto"/>
                      <w:kern w:val="0"/>
                      <w:szCs w:val="21"/>
                      <w:highlight w:val="none"/>
                    </w:rPr>
                    <w:t>冷却</w:t>
                  </w:r>
                  <w:r>
                    <w:rPr>
                      <w:rFonts w:hint="eastAsia"/>
                      <w:color w:val="auto"/>
                      <w:kern w:val="0"/>
                      <w:szCs w:val="21"/>
                      <w:highlight w:val="none"/>
                    </w:rPr>
                    <w:t>机（7500*1300*1300mm）</w:t>
                  </w:r>
                </w:p>
              </w:tc>
              <w:tc>
                <w:tcPr>
                  <w:tcW w:w="912" w:type="pct"/>
                  <w:tcBorders>
                    <w:tl2br w:val="nil"/>
                    <w:tr2bl w:val="nil"/>
                  </w:tcBorders>
                  <w:noWrap/>
                  <w:vAlign w:val="center"/>
                </w:tcPr>
                <w:p w14:paraId="5DE2CCBA">
                  <w:pPr>
                    <w:widowControl/>
                    <w:adjustRightInd w:val="0"/>
                    <w:snapToGrid w:val="0"/>
                    <w:jc w:val="center"/>
                    <w:rPr>
                      <w:color w:val="auto"/>
                      <w:kern w:val="0"/>
                      <w:szCs w:val="21"/>
                      <w:highlight w:val="none"/>
                    </w:rPr>
                  </w:pPr>
                  <w:r>
                    <w:rPr>
                      <w:color w:val="auto"/>
                      <w:kern w:val="0"/>
                      <w:szCs w:val="21"/>
                      <w:highlight w:val="none"/>
                    </w:rPr>
                    <w:t>1</w:t>
                  </w:r>
                </w:p>
              </w:tc>
              <w:tc>
                <w:tcPr>
                  <w:tcW w:w="816" w:type="pct"/>
                  <w:tcBorders>
                    <w:tl2br w:val="nil"/>
                    <w:tr2bl w:val="nil"/>
                  </w:tcBorders>
                  <w:noWrap/>
                  <w:vAlign w:val="center"/>
                </w:tcPr>
                <w:p w14:paraId="60D4F4CD">
                  <w:pPr>
                    <w:widowControl/>
                    <w:adjustRightInd w:val="0"/>
                    <w:snapToGrid w:val="0"/>
                    <w:jc w:val="center"/>
                    <w:rPr>
                      <w:color w:val="auto"/>
                      <w:kern w:val="0"/>
                      <w:szCs w:val="21"/>
                      <w:highlight w:val="none"/>
                    </w:rPr>
                  </w:pPr>
                  <w:r>
                    <w:rPr>
                      <w:color w:val="auto"/>
                      <w:kern w:val="0"/>
                      <w:szCs w:val="21"/>
                      <w:highlight w:val="none"/>
                    </w:rPr>
                    <w:t>台</w:t>
                  </w:r>
                </w:p>
              </w:tc>
            </w:tr>
            <w:tr w14:paraId="0C84B03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65" w:hRule="atLeast"/>
              </w:trPr>
              <w:tc>
                <w:tcPr>
                  <w:tcW w:w="505" w:type="pct"/>
                  <w:tcBorders>
                    <w:tl2br w:val="nil"/>
                    <w:tr2bl w:val="nil"/>
                  </w:tcBorders>
                  <w:noWrap/>
                  <w:vAlign w:val="center"/>
                </w:tcPr>
                <w:p w14:paraId="4214F181">
                  <w:pPr>
                    <w:widowControl/>
                    <w:adjustRightInd w:val="0"/>
                    <w:snapToGrid w:val="0"/>
                    <w:jc w:val="center"/>
                    <w:rPr>
                      <w:color w:val="auto"/>
                      <w:kern w:val="0"/>
                      <w:szCs w:val="21"/>
                      <w:highlight w:val="none"/>
                    </w:rPr>
                  </w:pPr>
                  <w:r>
                    <w:rPr>
                      <w:rFonts w:hint="eastAsia"/>
                      <w:color w:val="auto"/>
                      <w:kern w:val="0"/>
                      <w:szCs w:val="21"/>
                      <w:highlight w:val="none"/>
                    </w:rPr>
                    <w:t>20</w:t>
                  </w:r>
                </w:p>
              </w:tc>
              <w:tc>
                <w:tcPr>
                  <w:tcW w:w="2765" w:type="pct"/>
                  <w:tcBorders>
                    <w:tl2br w:val="nil"/>
                    <w:tr2bl w:val="nil"/>
                  </w:tcBorders>
                  <w:noWrap/>
                  <w:vAlign w:val="center"/>
                </w:tcPr>
                <w:p w14:paraId="3881B39C">
                  <w:pPr>
                    <w:widowControl/>
                    <w:adjustRightInd w:val="0"/>
                    <w:snapToGrid w:val="0"/>
                    <w:jc w:val="center"/>
                    <w:rPr>
                      <w:color w:val="auto"/>
                      <w:kern w:val="0"/>
                      <w:szCs w:val="21"/>
                      <w:highlight w:val="none"/>
                    </w:rPr>
                  </w:pPr>
                  <w:r>
                    <w:rPr>
                      <w:rFonts w:hint="eastAsia"/>
                      <w:color w:val="auto"/>
                      <w:kern w:val="0"/>
                      <w:szCs w:val="21"/>
                      <w:highlight w:val="none"/>
                    </w:rPr>
                    <w:t>生物质</w:t>
                  </w:r>
                  <w:r>
                    <w:rPr>
                      <w:color w:val="auto"/>
                      <w:kern w:val="0"/>
                      <w:szCs w:val="21"/>
                      <w:highlight w:val="none"/>
                    </w:rPr>
                    <w:t>锅炉</w:t>
                  </w:r>
                  <w:r>
                    <w:rPr>
                      <w:rFonts w:hint="eastAsia"/>
                      <w:color w:val="auto"/>
                      <w:kern w:val="0"/>
                      <w:szCs w:val="21"/>
                      <w:highlight w:val="none"/>
                    </w:rPr>
                    <w:t>（</w:t>
                  </w:r>
                  <w:r>
                    <w:rPr>
                      <w:rFonts w:hint="eastAsia"/>
                      <w:color w:val="auto"/>
                      <w:kern w:val="0"/>
                      <w:szCs w:val="21"/>
                      <w:highlight w:val="none"/>
                      <w:lang w:val="en-US" w:eastAsia="zh-CN"/>
                    </w:rPr>
                    <w:t>4</w:t>
                  </w:r>
                  <w:r>
                    <w:rPr>
                      <w:rFonts w:hint="eastAsia"/>
                      <w:color w:val="auto"/>
                      <w:kern w:val="0"/>
                      <w:szCs w:val="21"/>
                      <w:highlight w:val="none"/>
                    </w:rPr>
                    <w:t>蒸吨/小时）</w:t>
                  </w:r>
                </w:p>
              </w:tc>
              <w:tc>
                <w:tcPr>
                  <w:tcW w:w="912" w:type="pct"/>
                  <w:tcBorders>
                    <w:tl2br w:val="nil"/>
                    <w:tr2bl w:val="nil"/>
                  </w:tcBorders>
                  <w:noWrap/>
                  <w:vAlign w:val="center"/>
                </w:tcPr>
                <w:p w14:paraId="62D44807">
                  <w:pPr>
                    <w:widowControl/>
                    <w:adjustRightInd w:val="0"/>
                    <w:snapToGrid w:val="0"/>
                    <w:jc w:val="center"/>
                    <w:rPr>
                      <w:rFonts w:hint="eastAsia" w:eastAsia="宋体"/>
                      <w:color w:val="auto"/>
                      <w:kern w:val="0"/>
                      <w:szCs w:val="21"/>
                      <w:highlight w:val="none"/>
                      <w:lang w:eastAsia="zh-CN"/>
                    </w:rPr>
                  </w:pPr>
                  <w:r>
                    <w:rPr>
                      <w:rFonts w:hint="eastAsia"/>
                      <w:color w:val="auto"/>
                      <w:kern w:val="0"/>
                      <w:szCs w:val="21"/>
                      <w:highlight w:val="none"/>
                      <w:lang w:val="en-US" w:eastAsia="zh-CN"/>
                    </w:rPr>
                    <w:t>1</w:t>
                  </w:r>
                </w:p>
              </w:tc>
              <w:tc>
                <w:tcPr>
                  <w:tcW w:w="816" w:type="pct"/>
                  <w:tcBorders>
                    <w:tl2br w:val="nil"/>
                    <w:tr2bl w:val="nil"/>
                  </w:tcBorders>
                  <w:noWrap/>
                  <w:vAlign w:val="center"/>
                </w:tcPr>
                <w:p w14:paraId="04DC2504">
                  <w:pPr>
                    <w:widowControl/>
                    <w:adjustRightInd w:val="0"/>
                    <w:snapToGrid w:val="0"/>
                    <w:jc w:val="center"/>
                    <w:rPr>
                      <w:color w:val="auto"/>
                      <w:kern w:val="0"/>
                      <w:szCs w:val="21"/>
                      <w:highlight w:val="none"/>
                    </w:rPr>
                  </w:pPr>
                  <w:r>
                    <w:rPr>
                      <w:color w:val="auto"/>
                      <w:kern w:val="0"/>
                      <w:szCs w:val="21"/>
                      <w:highlight w:val="none"/>
                    </w:rPr>
                    <w:t>台</w:t>
                  </w:r>
                </w:p>
              </w:tc>
            </w:tr>
            <w:tr w14:paraId="4E5EBCF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65" w:hRule="atLeast"/>
              </w:trPr>
              <w:tc>
                <w:tcPr>
                  <w:tcW w:w="505" w:type="pct"/>
                  <w:tcBorders>
                    <w:tl2br w:val="nil"/>
                    <w:tr2bl w:val="nil"/>
                  </w:tcBorders>
                  <w:noWrap/>
                  <w:vAlign w:val="center"/>
                </w:tcPr>
                <w:p w14:paraId="598836B6">
                  <w:pPr>
                    <w:widowControl/>
                    <w:adjustRightInd w:val="0"/>
                    <w:snapToGrid w:val="0"/>
                    <w:jc w:val="center"/>
                    <w:rPr>
                      <w:rFonts w:hint="default" w:eastAsia="宋体"/>
                      <w:color w:val="auto"/>
                      <w:kern w:val="0"/>
                      <w:szCs w:val="21"/>
                      <w:highlight w:val="none"/>
                      <w:lang w:val="en-US" w:eastAsia="zh-CN"/>
                    </w:rPr>
                  </w:pPr>
                  <w:r>
                    <w:rPr>
                      <w:rFonts w:hint="eastAsia"/>
                      <w:color w:val="auto"/>
                      <w:kern w:val="0"/>
                      <w:szCs w:val="21"/>
                      <w:highlight w:val="none"/>
                      <w:lang w:val="en-US" w:eastAsia="zh-CN"/>
                    </w:rPr>
                    <w:t>21</w:t>
                  </w:r>
                </w:p>
              </w:tc>
              <w:tc>
                <w:tcPr>
                  <w:tcW w:w="2765" w:type="pct"/>
                  <w:tcBorders>
                    <w:tl2br w:val="nil"/>
                    <w:tr2bl w:val="nil"/>
                  </w:tcBorders>
                  <w:noWrap/>
                  <w:vAlign w:val="center"/>
                </w:tcPr>
                <w:p w14:paraId="4A560FE7">
                  <w:pPr>
                    <w:widowControl/>
                    <w:adjustRightInd w:val="0"/>
                    <w:snapToGrid w:val="0"/>
                    <w:jc w:val="center"/>
                    <w:rPr>
                      <w:rFonts w:hint="eastAsia"/>
                      <w:color w:val="auto"/>
                      <w:kern w:val="0"/>
                      <w:szCs w:val="21"/>
                      <w:highlight w:val="none"/>
                    </w:rPr>
                  </w:pPr>
                  <w:r>
                    <w:rPr>
                      <w:rFonts w:hint="eastAsia"/>
                      <w:color w:val="auto"/>
                      <w:kern w:val="0"/>
                      <w:szCs w:val="21"/>
                      <w:highlight w:val="none"/>
                    </w:rPr>
                    <w:t>生物质</w:t>
                  </w:r>
                  <w:r>
                    <w:rPr>
                      <w:color w:val="auto"/>
                      <w:kern w:val="0"/>
                      <w:szCs w:val="21"/>
                      <w:highlight w:val="none"/>
                    </w:rPr>
                    <w:t>锅炉</w:t>
                  </w:r>
                  <w:r>
                    <w:rPr>
                      <w:rFonts w:hint="eastAsia"/>
                      <w:color w:val="auto"/>
                      <w:kern w:val="0"/>
                      <w:szCs w:val="21"/>
                      <w:highlight w:val="none"/>
                      <w:lang w:eastAsia="zh-CN"/>
                    </w:rPr>
                    <w:t>（</w:t>
                  </w:r>
                  <w:r>
                    <w:rPr>
                      <w:rFonts w:hint="eastAsia"/>
                      <w:color w:val="auto"/>
                      <w:kern w:val="0"/>
                      <w:szCs w:val="21"/>
                      <w:highlight w:val="none"/>
                    </w:rPr>
                    <w:t>6蒸吨/小时</w:t>
                  </w:r>
                  <w:r>
                    <w:rPr>
                      <w:rFonts w:hint="eastAsia"/>
                      <w:color w:val="auto"/>
                      <w:kern w:val="0"/>
                      <w:szCs w:val="21"/>
                      <w:highlight w:val="none"/>
                      <w:lang w:eastAsia="zh-CN"/>
                    </w:rPr>
                    <w:t>）</w:t>
                  </w:r>
                </w:p>
              </w:tc>
              <w:tc>
                <w:tcPr>
                  <w:tcW w:w="1549" w:type="dxa"/>
                  <w:tcBorders>
                    <w:tl2br w:val="nil"/>
                    <w:tr2bl w:val="nil"/>
                  </w:tcBorders>
                  <w:noWrap/>
                  <w:vAlign w:val="center"/>
                </w:tcPr>
                <w:p w14:paraId="0241868B">
                  <w:pPr>
                    <w:widowControl/>
                    <w:adjustRightInd w:val="0"/>
                    <w:snapToGrid w:val="0"/>
                    <w:jc w:val="center"/>
                    <w:rPr>
                      <w:rFonts w:hint="eastAsia"/>
                      <w:color w:val="auto"/>
                      <w:kern w:val="0"/>
                      <w:szCs w:val="21"/>
                      <w:highlight w:val="none"/>
                    </w:rPr>
                  </w:pPr>
                  <w:r>
                    <w:rPr>
                      <w:rFonts w:hint="eastAsia"/>
                      <w:color w:val="auto"/>
                      <w:kern w:val="0"/>
                      <w:szCs w:val="21"/>
                      <w:highlight w:val="none"/>
                      <w:lang w:val="en-US" w:eastAsia="zh-CN"/>
                    </w:rPr>
                    <w:t>1</w:t>
                  </w:r>
                </w:p>
              </w:tc>
              <w:tc>
                <w:tcPr>
                  <w:tcW w:w="1385" w:type="dxa"/>
                  <w:tcBorders>
                    <w:tl2br w:val="nil"/>
                    <w:tr2bl w:val="nil"/>
                  </w:tcBorders>
                  <w:noWrap/>
                  <w:vAlign w:val="center"/>
                </w:tcPr>
                <w:p w14:paraId="0EF39A84">
                  <w:pPr>
                    <w:widowControl/>
                    <w:adjustRightInd w:val="0"/>
                    <w:snapToGrid w:val="0"/>
                    <w:jc w:val="center"/>
                    <w:rPr>
                      <w:color w:val="auto"/>
                      <w:kern w:val="0"/>
                      <w:szCs w:val="21"/>
                      <w:highlight w:val="none"/>
                    </w:rPr>
                  </w:pPr>
                  <w:r>
                    <w:rPr>
                      <w:color w:val="auto"/>
                      <w:kern w:val="0"/>
                      <w:szCs w:val="21"/>
                      <w:highlight w:val="none"/>
                    </w:rPr>
                    <w:t>台</w:t>
                  </w:r>
                </w:p>
              </w:tc>
            </w:tr>
          </w:tbl>
          <w:p w14:paraId="17EB983A">
            <w:pPr>
              <w:spacing w:line="360" w:lineRule="auto"/>
              <w:ind w:firstLine="480" w:firstLineChars="200"/>
              <w:rPr>
                <w:color w:val="auto"/>
                <w:sz w:val="24"/>
                <w:szCs w:val="32"/>
                <w:highlight w:val="none"/>
              </w:rPr>
            </w:pPr>
            <w:r>
              <w:rPr>
                <w:rFonts w:hint="eastAsia"/>
                <w:color w:val="auto"/>
                <w:sz w:val="24"/>
                <w:szCs w:val="32"/>
                <w:highlight w:val="none"/>
              </w:rPr>
              <w:t>5</w:t>
            </w:r>
            <w:r>
              <w:rPr>
                <w:color w:val="auto"/>
                <w:sz w:val="24"/>
                <w:szCs w:val="32"/>
                <w:highlight w:val="none"/>
              </w:rPr>
              <w:t>、原辅材料消耗</w:t>
            </w:r>
          </w:p>
          <w:p w14:paraId="443B9700">
            <w:pPr>
              <w:spacing w:line="360" w:lineRule="auto"/>
              <w:ind w:firstLine="480" w:firstLineChars="200"/>
              <w:rPr>
                <w:b/>
                <w:bCs/>
                <w:color w:val="auto"/>
                <w:highlight w:val="none"/>
              </w:rPr>
            </w:pPr>
            <w:r>
              <w:rPr>
                <w:rFonts w:hint="eastAsia" w:hAnsi="宋体"/>
                <w:color w:val="auto"/>
                <w:sz w:val="24"/>
                <w:highlight w:val="none"/>
              </w:rPr>
              <w:t>本项目原辅料消耗情况见下表</w:t>
            </w:r>
            <w:r>
              <w:rPr>
                <w:rFonts w:hint="eastAsia"/>
                <w:color w:val="auto"/>
                <w:sz w:val="24"/>
                <w:szCs w:val="32"/>
                <w:highlight w:val="none"/>
              </w:rPr>
              <w:t>：</w:t>
            </w:r>
          </w:p>
          <w:p w14:paraId="3D1CC21A">
            <w:pPr>
              <w:jc w:val="center"/>
              <w:rPr>
                <w:color w:val="auto"/>
                <w:highlight w:val="none"/>
              </w:rPr>
            </w:pPr>
            <w:r>
              <w:rPr>
                <w:b/>
                <w:bCs/>
                <w:color w:val="auto"/>
                <w:highlight w:val="none"/>
              </w:rPr>
              <w:t>表</w:t>
            </w:r>
            <w:r>
              <w:rPr>
                <w:rFonts w:hint="eastAsia"/>
                <w:b/>
                <w:bCs/>
                <w:color w:val="auto"/>
                <w:highlight w:val="none"/>
              </w:rPr>
              <w:t>2-4</w:t>
            </w:r>
            <w:r>
              <w:rPr>
                <w:b/>
                <w:bCs/>
                <w:color w:val="auto"/>
                <w:highlight w:val="none"/>
              </w:rPr>
              <w:t xml:space="preserve">  原辅材料消耗情况一览表</w:t>
            </w:r>
            <w:r>
              <w:rPr>
                <w:rFonts w:hint="eastAsia"/>
                <w:b/>
                <w:bCs/>
                <w:color w:val="auto"/>
                <w:highlight w:val="none"/>
              </w:rPr>
              <w:t xml:space="preserve">    单位t/a</w:t>
            </w:r>
          </w:p>
          <w:tbl>
            <w:tblPr>
              <w:tblStyle w:val="36"/>
              <w:tblW w:w="8369" w:type="dxa"/>
              <w:tblInd w:w="3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1152"/>
              <w:gridCol w:w="3200"/>
              <w:gridCol w:w="1233"/>
              <w:gridCol w:w="2784"/>
            </w:tblGrid>
            <w:tr w14:paraId="551B5B8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52" w:hRule="atLeast"/>
              </w:trPr>
              <w:tc>
                <w:tcPr>
                  <w:tcW w:w="4352" w:type="dxa"/>
                  <w:gridSpan w:val="2"/>
                  <w:tcBorders>
                    <w:tl2br w:val="nil"/>
                    <w:tr2bl w:val="nil"/>
                  </w:tcBorders>
                  <w:vAlign w:val="center"/>
                </w:tcPr>
                <w:p w14:paraId="134F36E4">
                  <w:pPr>
                    <w:snapToGrid w:val="0"/>
                    <w:jc w:val="center"/>
                    <w:rPr>
                      <w:color w:val="auto"/>
                      <w:szCs w:val="21"/>
                      <w:highlight w:val="none"/>
                    </w:rPr>
                  </w:pPr>
                  <w:r>
                    <w:rPr>
                      <w:rFonts w:hint="eastAsia"/>
                      <w:color w:val="auto"/>
                      <w:szCs w:val="21"/>
                      <w:highlight w:val="none"/>
                    </w:rPr>
                    <w:t>名称</w:t>
                  </w:r>
                </w:p>
              </w:tc>
              <w:tc>
                <w:tcPr>
                  <w:tcW w:w="1233" w:type="dxa"/>
                  <w:tcBorders>
                    <w:tl2br w:val="nil"/>
                    <w:tr2bl w:val="nil"/>
                  </w:tcBorders>
                  <w:vAlign w:val="center"/>
                </w:tcPr>
                <w:p w14:paraId="60F97B54">
                  <w:pPr>
                    <w:snapToGrid w:val="0"/>
                    <w:jc w:val="center"/>
                    <w:rPr>
                      <w:color w:val="auto"/>
                      <w:szCs w:val="21"/>
                      <w:highlight w:val="none"/>
                    </w:rPr>
                  </w:pPr>
                  <w:r>
                    <w:rPr>
                      <w:rFonts w:hint="eastAsia"/>
                      <w:color w:val="auto"/>
                      <w:szCs w:val="21"/>
                      <w:highlight w:val="none"/>
                    </w:rPr>
                    <w:t>消耗量</w:t>
                  </w:r>
                </w:p>
              </w:tc>
              <w:tc>
                <w:tcPr>
                  <w:tcW w:w="2784" w:type="dxa"/>
                  <w:tcBorders>
                    <w:tl2br w:val="nil"/>
                    <w:tr2bl w:val="nil"/>
                  </w:tcBorders>
                  <w:vAlign w:val="center"/>
                </w:tcPr>
                <w:p w14:paraId="5DFD2FB0">
                  <w:pPr>
                    <w:snapToGrid w:val="0"/>
                    <w:jc w:val="center"/>
                    <w:rPr>
                      <w:color w:val="auto"/>
                      <w:szCs w:val="21"/>
                      <w:highlight w:val="none"/>
                    </w:rPr>
                  </w:pPr>
                  <w:r>
                    <w:rPr>
                      <w:rFonts w:hint="eastAsia"/>
                      <w:color w:val="auto"/>
                      <w:szCs w:val="21"/>
                      <w:highlight w:val="none"/>
                    </w:rPr>
                    <w:t>备注</w:t>
                  </w:r>
                </w:p>
              </w:tc>
            </w:tr>
            <w:tr w14:paraId="20F7A9C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3" w:hRule="exact"/>
              </w:trPr>
              <w:tc>
                <w:tcPr>
                  <w:tcW w:w="1152" w:type="dxa"/>
                  <w:tcBorders>
                    <w:tl2br w:val="nil"/>
                    <w:tr2bl w:val="nil"/>
                  </w:tcBorders>
                  <w:vAlign w:val="center"/>
                </w:tcPr>
                <w:p w14:paraId="1593867E">
                  <w:pPr>
                    <w:snapToGrid w:val="0"/>
                    <w:jc w:val="center"/>
                    <w:rPr>
                      <w:color w:val="auto"/>
                      <w:szCs w:val="21"/>
                      <w:highlight w:val="none"/>
                    </w:rPr>
                  </w:pPr>
                  <w:r>
                    <w:rPr>
                      <w:rFonts w:hint="eastAsia"/>
                      <w:color w:val="auto"/>
                      <w:szCs w:val="21"/>
                      <w:highlight w:val="none"/>
                    </w:rPr>
                    <w:t>蔬菜类</w:t>
                  </w:r>
                </w:p>
              </w:tc>
              <w:tc>
                <w:tcPr>
                  <w:tcW w:w="3200" w:type="dxa"/>
                  <w:tcBorders>
                    <w:tl2br w:val="nil"/>
                    <w:tr2bl w:val="nil"/>
                  </w:tcBorders>
                  <w:vAlign w:val="center"/>
                </w:tcPr>
                <w:p w14:paraId="579B3C94">
                  <w:pPr>
                    <w:snapToGrid w:val="0"/>
                    <w:jc w:val="center"/>
                    <w:rPr>
                      <w:color w:val="auto"/>
                      <w:szCs w:val="21"/>
                      <w:highlight w:val="none"/>
                    </w:rPr>
                  </w:pPr>
                  <w:r>
                    <w:rPr>
                      <w:rFonts w:hint="eastAsia"/>
                      <w:color w:val="auto"/>
                      <w:szCs w:val="21"/>
                      <w:highlight w:val="none"/>
                    </w:rPr>
                    <w:t>萝卜、土豆、红薯、紫薯、豇豆等）</w:t>
                  </w:r>
                </w:p>
              </w:tc>
              <w:tc>
                <w:tcPr>
                  <w:tcW w:w="1233" w:type="dxa"/>
                  <w:tcBorders>
                    <w:tl2br w:val="nil"/>
                    <w:tr2bl w:val="nil"/>
                  </w:tcBorders>
                  <w:vAlign w:val="center"/>
                </w:tcPr>
                <w:p w14:paraId="796FEB6E">
                  <w:pPr>
                    <w:snapToGrid w:val="0"/>
                    <w:jc w:val="center"/>
                    <w:rPr>
                      <w:color w:val="auto"/>
                      <w:szCs w:val="21"/>
                      <w:highlight w:val="none"/>
                    </w:rPr>
                  </w:pPr>
                  <w:r>
                    <w:rPr>
                      <w:rFonts w:hint="eastAsia"/>
                      <w:color w:val="auto"/>
                      <w:szCs w:val="21"/>
                      <w:highlight w:val="none"/>
                    </w:rPr>
                    <w:t>60.5</w:t>
                  </w:r>
                </w:p>
              </w:tc>
              <w:tc>
                <w:tcPr>
                  <w:tcW w:w="2784" w:type="dxa"/>
                  <w:tcBorders>
                    <w:tl2br w:val="nil"/>
                    <w:tr2bl w:val="nil"/>
                  </w:tcBorders>
                  <w:vAlign w:val="center"/>
                </w:tcPr>
                <w:p w14:paraId="55A7C9DB">
                  <w:pPr>
                    <w:snapToGrid w:val="0"/>
                    <w:jc w:val="center"/>
                    <w:rPr>
                      <w:color w:val="auto"/>
                      <w:szCs w:val="21"/>
                      <w:highlight w:val="none"/>
                    </w:rPr>
                  </w:pPr>
                  <w:r>
                    <w:rPr>
                      <w:rFonts w:hint="eastAsia"/>
                      <w:color w:val="auto"/>
                      <w:szCs w:val="21"/>
                      <w:highlight w:val="none"/>
                    </w:rPr>
                    <w:t>外购后厂区内冷库暂存</w:t>
                  </w:r>
                </w:p>
              </w:tc>
            </w:tr>
            <w:tr w14:paraId="30622BA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3" w:hRule="exact"/>
              </w:trPr>
              <w:tc>
                <w:tcPr>
                  <w:tcW w:w="1152" w:type="dxa"/>
                  <w:tcBorders>
                    <w:tl2br w:val="nil"/>
                    <w:tr2bl w:val="nil"/>
                  </w:tcBorders>
                  <w:vAlign w:val="center"/>
                </w:tcPr>
                <w:p w14:paraId="583A161B">
                  <w:pPr>
                    <w:snapToGrid w:val="0"/>
                    <w:jc w:val="center"/>
                    <w:rPr>
                      <w:color w:val="auto"/>
                      <w:szCs w:val="21"/>
                      <w:highlight w:val="none"/>
                    </w:rPr>
                  </w:pPr>
                  <w:r>
                    <w:rPr>
                      <w:rFonts w:hint="eastAsia"/>
                      <w:color w:val="auto"/>
                      <w:szCs w:val="21"/>
                      <w:highlight w:val="none"/>
                    </w:rPr>
                    <w:t>水果类</w:t>
                  </w:r>
                </w:p>
              </w:tc>
              <w:tc>
                <w:tcPr>
                  <w:tcW w:w="3200" w:type="dxa"/>
                  <w:tcBorders>
                    <w:tl2br w:val="nil"/>
                    <w:tr2bl w:val="nil"/>
                  </w:tcBorders>
                  <w:vAlign w:val="center"/>
                </w:tcPr>
                <w:p w14:paraId="476EF495">
                  <w:pPr>
                    <w:snapToGrid w:val="0"/>
                    <w:jc w:val="center"/>
                    <w:rPr>
                      <w:color w:val="auto"/>
                      <w:szCs w:val="21"/>
                      <w:highlight w:val="none"/>
                    </w:rPr>
                  </w:pPr>
                  <w:r>
                    <w:rPr>
                      <w:rFonts w:hint="eastAsia"/>
                      <w:color w:val="auto"/>
                      <w:szCs w:val="21"/>
                      <w:highlight w:val="none"/>
                    </w:rPr>
                    <w:t>猕猴桃、</w:t>
                  </w:r>
                  <w:r>
                    <w:rPr>
                      <w:rFonts w:hint="eastAsia"/>
                      <w:color w:val="auto"/>
                      <w:szCs w:val="21"/>
                      <w:highlight w:val="none"/>
                      <w:lang w:eastAsia="zh-CN"/>
                    </w:rPr>
                    <w:t>苹果</w:t>
                  </w:r>
                  <w:r>
                    <w:rPr>
                      <w:rFonts w:hint="eastAsia"/>
                      <w:color w:val="auto"/>
                      <w:szCs w:val="21"/>
                      <w:highlight w:val="none"/>
                    </w:rPr>
                    <w:t>、山楂等</w:t>
                  </w:r>
                </w:p>
              </w:tc>
              <w:tc>
                <w:tcPr>
                  <w:tcW w:w="1233" w:type="dxa"/>
                  <w:tcBorders>
                    <w:tl2br w:val="nil"/>
                    <w:tr2bl w:val="nil"/>
                  </w:tcBorders>
                  <w:vAlign w:val="center"/>
                </w:tcPr>
                <w:p w14:paraId="06A9CBC1">
                  <w:pPr>
                    <w:snapToGrid w:val="0"/>
                    <w:jc w:val="center"/>
                    <w:rPr>
                      <w:color w:val="auto"/>
                      <w:szCs w:val="21"/>
                      <w:highlight w:val="none"/>
                    </w:rPr>
                  </w:pPr>
                  <w:r>
                    <w:rPr>
                      <w:rFonts w:hint="eastAsia"/>
                      <w:color w:val="auto"/>
                      <w:szCs w:val="21"/>
                      <w:highlight w:val="none"/>
                    </w:rPr>
                    <w:t>501.2</w:t>
                  </w:r>
                </w:p>
              </w:tc>
              <w:tc>
                <w:tcPr>
                  <w:tcW w:w="2784" w:type="dxa"/>
                  <w:tcBorders>
                    <w:tl2br w:val="nil"/>
                    <w:tr2bl w:val="nil"/>
                  </w:tcBorders>
                  <w:vAlign w:val="center"/>
                </w:tcPr>
                <w:p w14:paraId="3AFA5380">
                  <w:pPr>
                    <w:snapToGrid w:val="0"/>
                    <w:jc w:val="center"/>
                    <w:rPr>
                      <w:color w:val="auto"/>
                      <w:szCs w:val="21"/>
                      <w:highlight w:val="none"/>
                    </w:rPr>
                  </w:pPr>
                  <w:r>
                    <w:rPr>
                      <w:rFonts w:hint="eastAsia"/>
                      <w:color w:val="auto"/>
                      <w:szCs w:val="21"/>
                      <w:highlight w:val="none"/>
                    </w:rPr>
                    <w:t>外购后厂区内冷库暂存</w:t>
                  </w:r>
                </w:p>
              </w:tc>
            </w:tr>
            <w:tr w14:paraId="2B94DE4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3" w:hRule="exact"/>
              </w:trPr>
              <w:tc>
                <w:tcPr>
                  <w:tcW w:w="1152" w:type="dxa"/>
                  <w:tcBorders>
                    <w:tl2br w:val="nil"/>
                    <w:tr2bl w:val="nil"/>
                  </w:tcBorders>
                  <w:vAlign w:val="center"/>
                </w:tcPr>
                <w:p w14:paraId="4132149D">
                  <w:pPr>
                    <w:snapToGrid w:val="0"/>
                    <w:jc w:val="center"/>
                    <w:rPr>
                      <w:color w:val="auto"/>
                      <w:szCs w:val="21"/>
                      <w:highlight w:val="none"/>
                    </w:rPr>
                  </w:pPr>
                  <w:r>
                    <w:rPr>
                      <w:rFonts w:hint="eastAsia"/>
                      <w:color w:val="auto"/>
                      <w:szCs w:val="21"/>
                      <w:highlight w:val="none"/>
                    </w:rPr>
                    <w:t>食用菌类</w:t>
                  </w:r>
                </w:p>
              </w:tc>
              <w:tc>
                <w:tcPr>
                  <w:tcW w:w="3200" w:type="dxa"/>
                  <w:tcBorders>
                    <w:tl2br w:val="nil"/>
                    <w:tr2bl w:val="nil"/>
                  </w:tcBorders>
                  <w:vAlign w:val="center"/>
                </w:tcPr>
                <w:p w14:paraId="394DAE8A">
                  <w:pPr>
                    <w:snapToGrid w:val="0"/>
                    <w:jc w:val="center"/>
                    <w:rPr>
                      <w:color w:val="auto"/>
                      <w:szCs w:val="21"/>
                      <w:highlight w:val="none"/>
                    </w:rPr>
                  </w:pPr>
                  <w:r>
                    <w:rPr>
                      <w:rFonts w:hint="eastAsia"/>
                      <w:color w:val="auto"/>
                      <w:szCs w:val="21"/>
                      <w:highlight w:val="none"/>
                    </w:rPr>
                    <w:t>香菇、木耳等</w:t>
                  </w:r>
                </w:p>
              </w:tc>
              <w:tc>
                <w:tcPr>
                  <w:tcW w:w="1233" w:type="dxa"/>
                  <w:tcBorders>
                    <w:tl2br w:val="nil"/>
                    <w:tr2bl w:val="nil"/>
                  </w:tcBorders>
                  <w:vAlign w:val="center"/>
                </w:tcPr>
                <w:p w14:paraId="742DC65C">
                  <w:pPr>
                    <w:snapToGrid w:val="0"/>
                    <w:jc w:val="center"/>
                    <w:rPr>
                      <w:color w:val="auto"/>
                      <w:szCs w:val="21"/>
                      <w:highlight w:val="none"/>
                    </w:rPr>
                  </w:pPr>
                  <w:r>
                    <w:rPr>
                      <w:rFonts w:hint="eastAsia"/>
                      <w:color w:val="auto"/>
                      <w:szCs w:val="21"/>
                      <w:highlight w:val="none"/>
                    </w:rPr>
                    <w:t>1002.5</w:t>
                  </w:r>
                </w:p>
              </w:tc>
              <w:tc>
                <w:tcPr>
                  <w:tcW w:w="2784" w:type="dxa"/>
                  <w:tcBorders>
                    <w:tl2br w:val="nil"/>
                    <w:tr2bl w:val="nil"/>
                  </w:tcBorders>
                  <w:vAlign w:val="center"/>
                </w:tcPr>
                <w:p w14:paraId="1B1FBCA6">
                  <w:pPr>
                    <w:snapToGrid w:val="0"/>
                    <w:jc w:val="center"/>
                    <w:rPr>
                      <w:color w:val="auto"/>
                      <w:szCs w:val="21"/>
                      <w:highlight w:val="none"/>
                    </w:rPr>
                  </w:pPr>
                  <w:r>
                    <w:rPr>
                      <w:rFonts w:hint="eastAsia"/>
                      <w:color w:val="auto"/>
                      <w:szCs w:val="21"/>
                      <w:highlight w:val="none"/>
                    </w:rPr>
                    <w:t>外购后厂区内冷库暂存</w:t>
                  </w:r>
                </w:p>
              </w:tc>
            </w:tr>
            <w:tr w14:paraId="3357A59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5" w:hRule="atLeast"/>
              </w:trPr>
              <w:tc>
                <w:tcPr>
                  <w:tcW w:w="4352" w:type="dxa"/>
                  <w:gridSpan w:val="2"/>
                  <w:tcBorders>
                    <w:tl2br w:val="nil"/>
                    <w:tr2bl w:val="nil"/>
                  </w:tcBorders>
                  <w:vAlign w:val="center"/>
                </w:tcPr>
                <w:p w14:paraId="09204FEB">
                  <w:pPr>
                    <w:snapToGrid w:val="0"/>
                    <w:jc w:val="center"/>
                    <w:rPr>
                      <w:color w:val="auto"/>
                      <w:szCs w:val="21"/>
                      <w:highlight w:val="none"/>
                    </w:rPr>
                  </w:pPr>
                  <w:r>
                    <w:rPr>
                      <w:rFonts w:hint="eastAsia"/>
                      <w:color w:val="auto"/>
                      <w:szCs w:val="21"/>
                      <w:highlight w:val="none"/>
                    </w:rPr>
                    <w:t>水</w:t>
                  </w:r>
                </w:p>
              </w:tc>
              <w:tc>
                <w:tcPr>
                  <w:tcW w:w="1233" w:type="dxa"/>
                  <w:tcBorders>
                    <w:tl2br w:val="nil"/>
                    <w:tr2bl w:val="nil"/>
                  </w:tcBorders>
                  <w:vAlign w:val="center"/>
                </w:tcPr>
                <w:p w14:paraId="37A6A318">
                  <w:pPr>
                    <w:snapToGrid w:val="0"/>
                    <w:jc w:val="center"/>
                    <w:rPr>
                      <w:rFonts w:hint="default" w:eastAsia="宋体"/>
                      <w:color w:val="auto"/>
                      <w:szCs w:val="21"/>
                      <w:highlight w:val="none"/>
                      <w:lang w:val="en-US" w:eastAsia="zh-CN"/>
                    </w:rPr>
                  </w:pPr>
                  <w:r>
                    <w:rPr>
                      <w:rFonts w:hint="eastAsia"/>
                      <w:color w:val="auto"/>
                      <w:szCs w:val="21"/>
                      <w:highlight w:val="none"/>
                      <w:lang w:val="en-US" w:eastAsia="zh-CN"/>
                    </w:rPr>
                    <w:t>5844</w:t>
                  </w:r>
                </w:p>
              </w:tc>
              <w:tc>
                <w:tcPr>
                  <w:tcW w:w="2784" w:type="dxa"/>
                  <w:tcBorders>
                    <w:tl2br w:val="nil"/>
                    <w:tr2bl w:val="nil"/>
                  </w:tcBorders>
                  <w:vAlign w:val="center"/>
                </w:tcPr>
                <w:p w14:paraId="0ECB9674">
                  <w:pPr>
                    <w:snapToGrid w:val="0"/>
                    <w:jc w:val="center"/>
                    <w:rPr>
                      <w:color w:val="auto"/>
                      <w:szCs w:val="21"/>
                      <w:highlight w:val="none"/>
                    </w:rPr>
                  </w:pPr>
                  <w:r>
                    <w:rPr>
                      <w:rFonts w:hint="eastAsia"/>
                      <w:color w:val="auto"/>
                      <w:szCs w:val="21"/>
                      <w:highlight w:val="none"/>
                    </w:rPr>
                    <w:t>厂区水井提供</w:t>
                  </w:r>
                </w:p>
              </w:tc>
            </w:tr>
            <w:tr w14:paraId="091A5FE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5" w:hRule="atLeast"/>
              </w:trPr>
              <w:tc>
                <w:tcPr>
                  <w:tcW w:w="4352" w:type="dxa"/>
                  <w:gridSpan w:val="2"/>
                  <w:tcBorders>
                    <w:tl2br w:val="nil"/>
                    <w:tr2bl w:val="nil"/>
                  </w:tcBorders>
                  <w:vAlign w:val="center"/>
                </w:tcPr>
                <w:p w14:paraId="4478C708">
                  <w:pPr>
                    <w:snapToGrid w:val="0"/>
                    <w:jc w:val="center"/>
                    <w:rPr>
                      <w:color w:val="auto"/>
                      <w:szCs w:val="21"/>
                      <w:highlight w:val="none"/>
                    </w:rPr>
                  </w:pPr>
                  <w:r>
                    <w:rPr>
                      <w:rFonts w:hint="eastAsia"/>
                      <w:color w:val="auto"/>
                      <w:szCs w:val="21"/>
                      <w:highlight w:val="none"/>
                    </w:rPr>
                    <w:t>生物质颗粒</w:t>
                  </w:r>
                </w:p>
              </w:tc>
              <w:tc>
                <w:tcPr>
                  <w:tcW w:w="1233" w:type="dxa"/>
                  <w:tcBorders>
                    <w:tl2br w:val="nil"/>
                    <w:tr2bl w:val="nil"/>
                  </w:tcBorders>
                  <w:vAlign w:val="center"/>
                </w:tcPr>
                <w:p w14:paraId="68785FAF">
                  <w:pPr>
                    <w:snapToGrid w:val="0"/>
                    <w:jc w:val="center"/>
                    <w:rPr>
                      <w:color w:val="auto"/>
                      <w:szCs w:val="21"/>
                      <w:highlight w:val="none"/>
                    </w:rPr>
                  </w:pPr>
                  <w:r>
                    <w:rPr>
                      <w:rFonts w:hint="eastAsia"/>
                      <w:color w:val="auto"/>
                      <w:szCs w:val="21"/>
                      <w:highlight w:val="none"/>
                    </w:rPr>
                    <w:t>500</w:t>
                  </w:r>
                </w:p>
              </w:tc>
              <w:tc>
                <w:tcPr>
                  <w:tcW w:w="2784" w:type="dxa"/>
                  <w:tcBorders>
                    <w:tl2br w:val="nil"/>
                    <w:tr2bl w:val="nil"/>
                  </w:tcBorders>
                  <w:vAlign w:val="center"/>
                </w:tcPr>
                <w:p w14:paraId="6CFBBE59">
                  <w:pPr>
                    <w:snapToGrid w:val="0"/>
                    <w:jc w:val="center"/>
                    <w:rPr>
                      <w:color w:val="auto"/>
                      <w:szCs w:val="21"/>
                      <w:highlight w:val="none"/>
                    </w:rPr>
                  </w:pPr>
                  <w:r>
                    <w:rPr>
                      <w:rFonts w:hint="eastAsia"/>
                      <w:color w:val="auto"/>
                      <w:szCs w:val="21"/>
                      <w:highlight w:val="none"/>
                    </w:rPr>
                    <w:t>外购自陕西恒康宇泰能源</w:t>
                  </w:r>
                </w:p>
                <w:p w14:paraId="10C24D41">
                  <w:pPr>
                    <w:snapToGrid w:val="0"/>
                    <w:jc w:val="center"/>
                    <w:rPr>
                      <w:color w:val="auto"/>
                      <w:szCs w:val="21"/>
                      <w:highlight w:val="none"/>
                    </w:rPr>
                  </w:pPr>
                  <w:r>
                    <w:rPr>
                      <w:rFonts w:hint="eastAsia"/>
                      <w:color w:val="auto"/>
                      <w:szCs w:val="21"/>
                      <w:highlight w:val="none"/>
                    </w:rPr>
                    <w:t>科技有限公司</w:t>
                  </w:r>
                </w:p>
              </w:tc>
            </w:tr>
            <w:tr w14:paraId="2081C24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52" w:hRule="atLeast"/>
              </w:trPr>
              <w:tc>
                <w:tcPr>
                  <w:tcW w:w="4352" w:type="dxa"/>
                  <w:gridSpan w:val="2"/>
                  <w:tcBorders>
                    <w:tl2br w:val="nil"/>
                    <w:tr2bl w:val="nil"/>
                  </w:tcBorders>
                  <w:vAlign w:val="center"/>
                </w:tcPr>
                <w:p w14:paraId="53DDD79D">
                  <w:pPr>
                    <w:snapToGrid w:val="0"/>
                    <w:jc w:val="center"/>
                    <w:rPr>
                      <w:color w:val="auto"/>
                      <w:szCs w:val="21"/>
                      <w:highlight w:val="none"/>
                    </w:rPr>
                  </w:pPr>
                  <w:r>
                    <w:rPr>
                      <w:rFonts w:hint="eastAsia"/>
                      <w:color w:val="auto"/>
                      <w:szCs w:val="21"/>
                      <w:highlight w:val="none"/>
                    </w:rPr>
                    <w:t>包装材料</w:t>
                  </w:r>
                </w:p>
              </w:tc>
              <w:tc>
                <w:tcPr>
                  <w:tcW w:w="1233" w:type="dxa"/>
                  <w:tcBorders>
                    <w:tl2br w:val="nil"/>
                    <w:tr2bl w:val="nil"/>
                  </w:tcBorders>
                  <w:vAlign w:val="center"/>
                </w:tcPr>
                <w:p w14:paraId="00A592CE">
                  <w:pPr>
                    <w:snapToGrid w:val="0"/>
                    <w:jc w:val="center"/>
                    <w:rPr>
                      <w:color w:val="auto"/>
                      <w:szCs w:val="21"/>
                      <w:highlight w:val="none"/>
                    </w:rPr>
                  </w:pPr>
                  <w:r>
                    <w:rPr>
                      <w:rFonts w:hint="eastAsia"/>
                      <w:color w:val="auto"/>
                      <w:szCs w:val="21"/>
                      <w:highlight w:val="none"/>
                    </w:rPr>
                    <w:t>0.2</w:t>
                  </w:r>
                </w:p>
              </w:tc>
              <w:tc>
                <w:tcPr>
                  <w:tcW w:w="2784" w:type="dxa"/>
                  <w:tcBorders>
                    <w:tl2br w:val="nil"/>
                    <w:tr2bl w:val="nil"/>
                  </w:tcBorders>
                  <w:vAlign w:val="center"/>
                </w:tcPr>
                <w:p w14:paraId="6AFDAA79">
                  <w:pPr>
                    <w:snapToGrid w:val="0"/>
                    <w:jc w:val="center"/>
                    <w:rPr>
                      <w:color w:val="auto"/>
                      <w:szCs w:val="21"/>
                      <w:highlight w:val="none"/>
                    </w:rPr>
                  </w:pPr>
                  <w:r>
                    <w:rPr>
                      <w:color w:val="auto"/>
                      <w:szCs w:val="21"/>
                      <w:highlight w:val="none"/>
                    </w:rPr>
                    <w:t>外购</w:t>
                  </w:r>
                </w:p>
              </w:tc>
            </w:tr>
            <w:tr w14:paraId="2A045FD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52" w:hRule="atLeast"/>
              </w:trPr>
              <w:tc>
                <w:tcPr>
                  <w:tcW w:w="4352" w:type="dxa"/>
                  <w:gridSpan w:val="2"/>
                  <w:tcBorders>
                    <w:tl2br w:val="nil"/>
                    <w:tr2bl w:val="nil"/>
                  </w:tcBorders>
                  <w:vAlign w:val="center"/>
                </w:tcPr>
                <w:p w14:paraId="2D0790A3">
                  <w:pPr>
                    <w:snapToGrid w:val="0"/>
                    <w:jc w:val="center"/>
                    <w:rPr>
                      <w:color w:val="auto"/>
                      <w:szCs w:val="21"/>
                      <w:highlight w:val="none"/>
                    </w:rPr>
                  </w:pPr>
                  <w:r>
                    <w:rPr>
                      <w:rFonts w:hint="eastAsia"/>
                      <w:color w:val="auto"/>
                      <w:szCs w:val="21"/>
                      <w:highlight w:val="none"/>
                    </w:rPr>
                    <w:t>食用油</w:t>
                  </w:r>
                </w:p>
              </w:tc>
              <w:tc>
                <w:tcPr>
                  <w:tcW w:w="1233" w:type="dxa"/>
                  <w:tcBorders>
                    <w:tl2br w:val="nil"/>
                    <w:tr2bl w:val="nil"/>
                  </w:tcBorders>
                  <w:vAlign w:val="center"/>
                </w:tcPr>
                <w:p w14:paraId="16448B71">
                  <w:pPr>
                    <w:snapToGrid w:val="0"/>
                    <w:jc w:val="center"/>
                    <w:rPr>
                      <w:color w:val="auto"/>
                      <w:szCs w:val="21"/>
                      <w:highlight w:val="none"/>
                    </w:rPr>
                  </w:pPr>
                  <w:r>
                    <w:rPr>
                      <w:rFonts w:hint="eastAsia"/>
                      <w:color w:val="auto"/>
                      <w:szCs w:val="21"/>
                      <w:highlight w:val="none"/>
                    </w:rPr>
                    <w:t>5</w:t>
                  </w:r>
                </w:p>
              </w:tc>
              <w:tc>
                <w:tcPr>
                  <w:tcW w:w="2784" w:type="dxa"/>
                  <w:tcBorders>
                    <w:tl2br w:val="nil"/>
                    <w:tr2bl w:val="nil"/>
                  </w:tcBorders>
                  <w:vAlign w:val="center"/>
                </w:tcPr>
                <w:p w14:paraId="5EA639CD">
                  <w:pPr>
                    <w:snapToGrid w:val="0"/>
                    <w:jc w:val="center"/>
                    <w:rPr>
                      <w:color w:val="auto"/>
                      <w:szCs w:val="21"/>
                      <w:highlight w:val="none"/>
                    </w:rPr>
                  </w:pPr>
                  <w:r>
                    <w:rPr>
                      <w:rFonts w:hint="eastAsia"/>
                      <w:color w:val="auto"/>
                      <w:szCs w:val="21"/>
                      <w:highlight w:val="none"/>
                    </w:rPr>
                    <w:t>外购，瓶装</w:t>
                  </w:r>
                </w:p>
              </w:tc>
            </w:tr>
            <w:tr w14:paraId="2FF6D0A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52" w:hRule="atLeast"/>
              </w:trPr>
              <w:tc>
                <w:tcPr>
                  <w:tcW w:w="4352" w:type="dxa"/>
                  <w:gridSpan w:val="2"/>
                  <w:tcBorders>
                    <w:tl2br w:val="nil"/>
                    <w:tr2bl w:val="nil"/>
                  </w:tcBorders>
                  <w:vAlign w:val="center"/>
                </w:tcPr>
                <w:p w14:paraId="04DC8F73">
                  <w:pPr>
                    <w:snapToGrid w:val="0"/>
                    <w:jc w:val="center"/>
                    <w:rPr>
                      <w:color w:val="auto"/>
                      <w:szCs w:val="21"/>
                      <w:highlight w:val="none"/>
                    </w:rPr>
                  </w:pPr>
                  <w:r>
                    <w:rPr>
                      <w:rFonts w:hint="eastAsia"/>
                      <w:color w:val="auto"/>
                      <w:szCs w:val="21"/>
                      <w:highlight w:val="none"/>
                    </w:rPr>
                    <w:t>食用糖</w:t>
                  </w:r>
                </w:p>
              </w:tc>
              <w:tc>
                <w:tcPr>
                  <w:tcW w:w="1233" w:type="dxa"/>
                  <w:tcBorders>
                    <w:tl2br w:val="nil"/>
                    <w:tr2bl w:val="nil"/>
                  </w:tcBorders>
                  <w:vAlign w:val="center"/>
                </w:tcPr>
                <w:p w14:paraId="1C77DCF0">
                  <w:pPr>
                    <w:snapToGrid w:val="0"/>
                    <w:jc w:val="center"/>
                    <w:rPr>
                      <w:color w:val="auto"/>
                      <w:szCs w:val="21"/>
                      <w:highlight w:val="none"/>
                    </w:rPr>
                  </w:pPr>
                  <w:r>
                    <w:rPr>
                      <w:rFonts w:hint="eastAsia"/>
                      <w:color w:val="auto"/>
                      <w:szCs w:val="21"/>
                      <w:highlight w:val="none"/>
                    </w:rPr>
                    <w:t>0.05</w:t>
                  </w:r>
                </w:p>
              </w:tc>
              <w:tc>
                <w:tcPr>
                  <w:tcW w:w="2784" w:type="dxa"/>
                  <w:tcBorders>
                    <w:tl2br w:val="nil"/>
                    <w:tr2bl w:val="nil"/>
                  </w:tcBorders>
                  <w:vAlign w:val="center"/>
                </w:tcPr>
                <w:p w14:paraId="3D639278">
                  <w:pPr>
                    <w:snapToGrid w:val="0"/>
                    <w:jc w:val="center"/>
                    <w:rPr>
                      <w:color w:val="auto"/>
                      <w:szCs w:val="21"/>
                      <w:highlight w:val="none"/>
                    </w:rPr>
                  </w:pPr>
                  <w:r>
                    <w:rPr>
                      <w:rFonts w:hint="eastAsia"/>
                      <w:color w:val="auto"/>
                      <w:szCs w:val="21"/>
                      <w:highlight w:val="none"/>
                    </w:rPr>
                    <w:t>外购，袋装</w:t>
                  </w:r>
                </w:p>
              </w:tc>
            </w:tr>
            <w:tr w14:paraId="1060A5A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95" w:hRule="exact"/>
              </w:trPr>
              <w:tc>
                <w:tcPr>
                  <w:tcW w:w="4352" w:type="dxa"/>
                  <w:gridSpan w:val="2"/>
                  <w:tcBorders>
                    <w:tl2br w:val="nil"/>
                    <w:tr2bl w:val="nil"/>
                  </w:tcBorders>
                  <w:vAlign w:val="center"/>
                </w:tcPr>
                <w:p w14:paraId="2AB0307A">
                  <w:pPr>
                    <w:snapToGrid w:val="0"/>
                    <w:jc w:val="center"/>
                    <w:rPr>
                      <w:color w:val="auto"/>
                      <w:szCs w:val="21"/>
                      <w:highlight w:val="none"/>
                    </w:rPr>
                  </w:pPr>
                  <w:r>
                    <w:rPr>
                      <w:rFonts w:hint="eastAsia"/>
                      <w:color w:val="auto"/>
                      <w:szCs w:val="21"/>
                      <w:highlight w:val="none"/>
                    </w:rPr>
                    <w:t>食用盐</w:t>
                  </w:r>
                </w:p>
              </w:tc>
              <w:tc>
                <w:tcPr>
                  <w:tcW w:w="1233" w:type="dxa"/>
                  <w:tcBorders>
                    <w:tl2br w:val="nil"/>
                    <w:tr2bl w:val="nil"/>
                  </w:tcBorders>
                  <w:vAlign w:val="center"/>
                </w:tcPr>
                <w:p w14:paraId="44407191">
                  <w:pPr>
                    <w:tabs>
                      <w:tab w:val="left" w:pos="2418"/>
                      <w:tab w:val="left" w:pos="4203"/>
                      <w:tab w:val="left" w:pos="5708"/>
                      <w:tab w:val="left" w:pos="7213"/>
                      <w:tab w:val="left" w:pos="8718"/>
                    </w:tabs>
                    <w:snapToGrid w:val="0"/>
                    <w:spacing w:before="72" w:beforeLines="30" w:after="72" w:afterLines="30"/>
                    <w:jc w:val="center"/>
                    <w:rPr>
                      <w:color w:val="auto"/>
                      <w:szCs w:val="21"/>
                      <w:highlight w:val="none"/>
                    </w:rPr>
                  </w:pPr>
                  <w:r>
                    <w:rPr>
                      <w:rFonts w:hint="eastAsia"/>
                      <w:color w:val="auto"/>
                      <w:szCs w:val="21"/>
                      <w:highlight w:val="none"/>
                    </w:rPr>
                    <w:t>0.05</w:t>
                  </w:r>
                </w:p>
              </w:tc>
              <w:tc>
                <w:tcPr>
                  <w:tcW w:w="2784" w:type="dxa"/>
                  <w:tcBorders>
                    <w:tl2br w:val="nil"/>
                    <w:tr2bl w:val="nil"/>
                  </w:tcBorders>
                  <w:vAlign w:val="center"/>
                </w:tcPr>
                <w:p w14:paraId="775198D2">
                  <w:pPr>
                    <w:snapToGrid w:val="0"/>
                    <w:jc w:val="center"/>
                    <w:rPr>
                      <w:color w:val="auto"/>
                      <w:szCs w:val="21"/>
                      <w:highlight w:val="none"/>
                    </w:rPr>
                  </w:pPr>
                  <w:r>
                    <w:rPr>
                      <w:rFonts w:hint="eastAsia"/>
                      <w:color w:val="auto"/>
                      <w:szCs w:val="21"/>
                      <w:highlight w:val="none"/>
                    </w:rPr>
                    <w:t>外购，袋装</w:t>
                  </w:r>
                </w:p>
              </w:tc>
            </w:tr>
            <w:tr w14:paraId="4A85BB7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52" w:hRule="atLeast"/>
              </w:trPr>
              <w:tc>
                <w:tcPr>
                  <w:tcW w:w="4352" w:type="dxa"/>
                  <w:gridSpan w:val="2"/>
                  <w:tcBorders>
                    <w:tl2br w:val="nil"/>
                    <w:tr2bl w:val="nil"/>
                  </w:tcBorders>
                  <w:vAlign w:val="center"/>
                </w:tcPr>
                <w:p w14:paraId="66BED658">
                  <w:pPr>
                    <w:snapToGrid w:val="0"/>
                    <w:jc w:val="center"/>
                    <w:rPr>
                      <w:color w:val="auto"/>
                      <w:szCs w:val="21"/>
                      <w:highlight w:val="none"/>
                    </w:rPr>
                  </w:pPr>
                  <w:r>
                    <w:rPr>
                      <w:rFonts w:hint="eastAsia"/>
                      <w:color w:val="auto"/>
                      <w:szCs w:val="21"/>
                      <w:highlight w:val="none"/>
                    </w:rPr>
                    <w:t>制冷剂R507</w:t>
                  </w:r>
                </w:p>
              </w:tc>
              <w:tc>
                <w:tcPr>
                  <w:tcW w:w="1233" w:type="dxa"/>
                  <w:tcBorders>
                    <w:tl2br w:val="nil"/>
                    <w:tr2bl w:val="nil"/>
                  </w:tcBorders>
                  <w:vAlign w:val="center"/>
                </w:tcPr>
                <w:p w14:paraId="4231EB66">
                  <w:pPr>
                    <w:snapToGrid w:val="0"/>
                    <w:jc w:val="center"/>
                    <w:rPr>
                      <w:color w:val="auto"/>
                      <w:szCs w:val="21"/>
                      <w:highlight w:val="none"/>
                    </w:rPr>
                  </w:pPr>
                  <w:r>
                    <w:rPr>
                      <w:rFonts w:hint="eastAsia"/>
                      <w:color w:val="auto"/>
                      <w:szCs w:val="21"/>
                      <w:highlight w:val="none"/>
                    </w:rPr>
                    <w:t>2.5</w:t>
                  </w:r>
                </w:p>
              </w:tc>
              <w:tc>
                <w:tcPr>
                  <w:tcW w:w="2784" w:type="dxa"/>
                  <w:tcBorders>
                    <w:tl2br w:val="nil"/>
                    <w:tr2bl w:val="nil"/>
                  </w:tcBorders>
                  <w:vAlign w:val="center"/>
                </w:tcPr>
                <w:p w14:paraId="10208472">
                  <w:pPr>
                    <w:snapToGrid w:val="0"/>
                    <w:jc w:val="center"/>
                    <w:rPr>
                      <w:color w:val="auto"/>
                      <w:szCs w:val="21"/>
                      <w:highlight w:val="none"/>
                    </w:rPr>
                  </w:pPr>
                  <w:r>
                    <w:rPr>
                      <w:rFonts w:hint="eastAsia"/>
                      <w:color w:val="auto"/>
                      <w:szCs w:val="21"/>
                      <w:highlight w:val="none"/>
                    </w:rPr>
                    <w:t>外购，钢瓶运输</w:t>
                  </w:r>
                </w:p>
              </w:tc>
            </w:tr>
            <w:tr w14:paraId="482C53F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52" w:hRule="atLeast"/>
              </w:trPr>
              <w:tc>
                <w:tcPr>
                  <w:tcW w:w="8369" w:type="dxa"/>
                  <w:gridSpan w:val="4"/>
                  <w:tcBorders>
                    <w:tl2br w:val="nil"/>
                    <w:tr2bl w:val="nil"/>
                  </w:tcBorders>
                  <w:vAlign w:val="center"/>
                </w:tcPr>
                <w:p w14:paraId="0775AAF6">
                  <w:pPr>
                    <w:snapToGrid w:val="0"/>
                    <w:rPr>
                      <w:color w:val="auto"/>
                      <w:szCs w:val="21"/>
                      <w:highlight w:val="none"/>
                    </w:rPr>
                  </w:pPr>
                  <w:r>
                    <w:rPr>
                      <w:rFonts w:hint="eastAsia"/>
                      <w:color w:val="auto"/>
                      <w:szCs w:val="21"/>
                      <w:highlight w:val="none"/>
                    </w:rPr>
                    <w:t>注：制冷剂R507临界密度为490.77kg/m</w:t>
                  </w:r>
                  <w:r>
                    <w:rPr>
                      <w:rFonts w:hint="eastAsia"/>
                      <w:color w:val="auto"/>
                      <w:szCs w:val="21"/>
                      <w:highlight w:val="none"/>
                      <w:vertAlign w:val="superscript"/>
                    </w:rPr>
                    <w:t>3</w:t>
                  </w:r>
                  <w:r>
                    <w:rPr>
                      <w:rFonts w:hint="eastAsia"/>
                      <w:color w:val="auto"/>
                      <w:szCs w:val="21"/>
                      <w:highlight w:val="none"/>
                    </w:rPr>
                    <w:t>，标准沸点为-46.7℃，不含任何破坏</w:t>
                  </w:r>
                  <w:r>
                    <w:rPr>
                      <w:color w:val="auto"/>
                      <w:highlight w:val="none"/>
                    </w:rPr>
                    <w:fldChar w:fldCharType="begin"/>
                  </w:r>
                  <w:r>
                    <w:rPr>
                      <w:color w:val="auto"/>
                      <w:highlight w:val="none"/>
                    </w:rPr>
                    <w:instrText xml:space="preserve"> HYPERLINK "https://baike.so.com/doc/2486554-2627903.html" \t "https://baike.so.com/doc/_blank" </w:instrText>
                  </w:r>
                  <w:r>
                    <w:rPr>
                      <w:color w:val="auto"/>
                      <w:highlight w:val="none"/>
                    </w:rPr>
                    <w:fldChar w:fldCharType="separate"/>
                  </w:r>
                  <w:r>
                    <w:rPr>
                      <w:rFonts w:hint="eastAsia"/>
                      <w:color w:val="auto"/>
                      <w:szCs w:val="21"/>
                      <w:highlight w:val="none"/>
                    </w:rPr>
                    <w:t>臭氧层</w:t>
                  </w:r>
                  <w:r>
                    <w:rPr>
                      <w:rFonts w:hint="eastAsia"/>
                      <w:color w:val="auto"/>
                      <w:szCs w:val="21"/>
                      <w:highlight w:val="none"/>
                    </w:rPr>
                    <w:fldChar w:fldCharType="end"/>
                  </w:r>
                  <w:r>
                    <w:rPr>
                      <w:rFonts w:hint="eastAsia"/>
                      <w:color w:val="auto"/>
                      <w:szCs w:val="21"/>
                      <w:highlight w:val="none"/>
                    </w:rPr>
                    <w:t>的物质，具有优异的传热性能。R507适用于中低温的新型商用制冷设备（超市冷冻冷藏柜、冷库、陈列展示柜、运输）、制冰设备、交通运输制冷设备、船用制冷设备或更新设备。</w:t>
                  </w:r>
                </w:p>
              </w:tc>
            </w:tr>
          </w:tbl>
          <w:p w14:paraId="679E1833">
            <w:pPr>
              <w:snapToGrid w:val="0"/>
              <w:spacing w:line="360" w:lineRule="auto"/>
              <w:ind w:firstLine="480" w:firstLineChars="200"/>
              <w:rPr>
                <w:color w:val="auto"/>
                <w:sz w:val="24"/>
                <w:highlight w:val="none"/>
              </w:rPr>
            </w:pPr>
            <w:r>
              <w:rPr>
                <w:rFonts w:hint="eastAsia"/>
                <w:color w:val="auto"/>
                <w:sz w:val="24"/>
                <w:highlight w:val="none"/>
              </w:rPr>
              <w:t>6</w:t>
            </w:r>
            <w:r>
              <w:rPr>
                <w:color w:val="auto"/>
                <w:sz w:val="24"/>
                <w:highlight w:val="none"/>
              </w:rPr>
              <w:t>、劳动定员及工作制度</w:t>
            </w:r>
          </w:p>
          <w:p w14:paraId="371344D4">
            <w:pPr>
              <w:adjustRightInd w:val="0"/>
              <w:snapToGrid w:val="0"/>
              <w:spacing w:line="360" w:lineRule="auto"/>
              <w:ind w:firstLine="480" w:firstLineChars="200"/>
              <w:rPr>
                <w:color w:val="auto"/>
                <w:highlight w:val="none"/>
              </w:rPr>
            </w:pPr>
            <w:r>
              <w:rPr>
                <w:rFonts w:hint="eastAsia" w:hAnsi="宋体"/>
                <w:color w:val="auto"/>
                <w:sz w:val="24"/>
                <w:highlight w:val="none"/>
              </w:rPr>
              <w:t>本项目员工人数为10人</w:t>
            </w:r>
            <w:r>
              <w:rPr>
                <w:color w:val="auto"/>
                <w:sz w:val="24"/>
                <w:highlight w:val="none"/>
              </w:rPr>
              <w:t>，年工作时间</w:t>
            </w:r>
            <w:r>
              <w:rPr>
                <w:rFonts w:hint="eastAsia"/>
                <w:color w:val="auto"/>
                <w:sz w:val="24"/>
                <w:highlight w:val="none"/>
              </w:rPr>
              <w:t>30</w:t>
            </w:r>
            <w:r>
              <w:rPr>
                <w:color w:val="auto"/>
                <w:sz w:val="24"/>
                <w:highlight w:val="none"/>
              </w:rPr>
              <w:t>0天</w:t>
            </w:r>
            <w:r>
              <w:rPr>
                <w:rFonts w:hint="eastAsia"/>
                <w:color w:val="auto"/>
                <w:sz w:val="24"/>
                <w:highlight w:val="none"/>
              </w:rPr>
              <w:t>，</w:t>
            </w:r>
            <w:r>
              <w:rPr>
                <w:color w:val="auto"/>
                <w:sz w:val="24"/>
                <w:highlight w:val="none"/>
              </w:rPr>
              <w:t>每天</w:t>
            </w:r>
            <w:r>
              <w:rPr>
                <w:rFonts w:hint="eastAsia"/>
                <w:color w:val="auto"/>
                <w:sz w:val="24"/>
                <w:highlight w:val="none"/>
              </w:rPr>
              <w:t>一</w:t>
            </w:r>
            <w:r>
              <w:rPr>
                <w:color w:val="auto"/>
                <w:sz w:val="24"/>
                <w:highlight w:val="none"/>
              </w:rPr>
              <w:t>班</w:t>
            </w:r>
            <w:r>
              <w:rPr>
                <w:rFonts w:hint="eastAsia"/>
                <w:color w:val="auto"/>
                <w:sz w:val="24"/>
                <w:highlight w:val="none"/>
              </w:rPr>
              <w:t>、每班八小时；厂区仅提供午餐，无住宿。</w:t>
            </w:r>
          </w:p>
          <w:p w14:paraId="79444CDB">
            <w:pPr>
              <w:adjustRightInd w:val="0"/>
              <w:snapToGrid w:val="0"/>
              <w:spacing w:line="360" w:lineRule="auto"/>
              <w:ind w:firstLine="482"/>
              <w:jc w:val="left"/>
              <w:rPr>
                <w:color w:val="auto"/>
                <w:sz w:val="24"/>
                <w:highlight w:val="none"/>
              </w:rPr>
            </w:pPr>
            <w:r>
              <w:rPr>
                <w:rFonts w:hint="eastAsia"/>
                <w:color w:val="auto"/>
                <w:sz w:val="24"/>
                <w:highlight w:val="none"/>
              </w:rPr>
              <w:t>7</w:t>
            </w:r>
            <w:r>
              <w:rPr>
                <w:color w:val="auto"/>
                <w:sz w:val="24"/>
                <w:highlight w:val="none"/>
              </w:rPr>
              <w:t>、公用工程</w:t>
            </w:r>
          </w:p>
          <w:p w14:paraId="4C457793">
            <w:pPr>
              <w:snapToGrid w:val="0"/>
              <w:spacing w:line="360" w:lineRule="auto"/>
              <w:ind w:firstLine="480" w:firstLineChars="200"/>
              <w:rPr>
                <w:rFonts w:hAnsi="宋体"/>
                <w:color w:val="auto"/>
                <w:sz w:val="24"/>
                <w:highlight w:val="none"/>
              </w:rPr>
            </w:pPr>
            <w:r>
              <w:rPr>
                <w:rFonts w:hint="eastAsia" w:hAnsi="宋体"/>
                <w:color w:val="auto"/>
                <w:sz w:val="24"/>
                <w:highlight w:val="none"/>
              </w:rPr>
              <w:t>（1）给水系统</w:t>
            </w:r>
          </w:p>
          <w:p w14:paraId="200932B9">
            <w:pPr>
              <w:snapToGrid w:val="0"/>
              <w:spacing w:line="360" w:lineRule="auto"/>
              <w:ind w:firstLine="480" w:firstLineChars="200"/>
              <w:rPr>
                <w:color w:val="auto"/>
                <w:sz w:val="24"/>
                <w:highlight w:val="none"/>
              </w:rPr>
            </w:pPr>
            <w:r>
              <w:rPr>
                <w:rFonts w:hint="eastAsia" w:hAnsi="宋体"/>
                <w:color w:val="auto"/>
                <w:sz w:val="24"/>
                <w:highlight w:val="none"/>
              </w:rPr>
              <w:t>项目生产及生活用水均由厂区水井提供。</w:t>
            </w:r>
          </w:p>
          <w:p w14:paraId="1BEBA166">
            <w:pPr>
              <w:snapToGrid w:val="0"/>
              <w:spacing w:line="360" w:lineRule="auto"/>
              <w:ind w:firstLine="480" w:firstLineChars="200"/>
              <w:rPr>
                <w:rFonts w:hAnsi="宋体"/>
                <w:color w:val="auto"/>
                <w:sz w:val="24"/>
                <w:highlight w:val="none"/>
              </w:rPr>
            </w:pPr>
            <w:r>
              <w:rPr>
                <w:rFonts w:hint="eastAsia" w:hAnsi="宋体"/>
                <w:color w:val="auto"/>
                <w:sz w:val="24"/>
                <w:highlight w:val="none"/>
              </w:rPr>
              <w:t>（2）排水系统</w:t>
            </w:r>
          </w:p>
          <w:p w14:paraId="399B96C1">
            <w:pPr>
              <w:snapToGrid w:val="0"/>
              <w:spacing w:line="360" w:lineRule="auto"/>
              <w:ind w:firstLine="480" w:firstLineChars="200"/>
              <w:rPr>
                <w:rFonts w:hAnsi="宋体"/>
                <w:color w:val="auto"/>
                <w:sz w:val="24"/>
                <w:highlight w:val="none"/>
              </w:rPr>
            </w:pPr>
            <w:r>
              <w:rPr>
                <w:rFonts w:hint="eastAsia" w:hAnsi="宋体"/>
                <w:color w:val="auto"/>
                <w:sz w:val="24"/>
                <w:highlight w:val="none"/>
              </w:rPr>
              <w:t>厂区现实行采取雨污分流措施。雨水经雨水渠收集后外排；餐饮废水经油水分离器处理后，同生活污水一起排入厂区化粪池，处理后用于周边农田施肥；生产废水经厂内污水处理站处理达到《农田灌溉水质标准》（GB5084-2021）后</w:t>
            </w:r>
            <w:r>
              <w:rPr>
                <w:rFonts w:hint="eastAsia" w:hAnsi="宋体"/>
                <w:color w:val="auto"/>
                <w:sz w:val="24"/>
                <w:highlight w:val="none"/>
                <w:lang w:eastAsia="zh-CN"/>
              </w:rPr>
              <w:t>作为</w:t>
            </w:r>
            <w:r>
              <w:rPr>
                <w:rFonts w:hint="eastAsia" w:hAnsi="宋体"/>
                <w:color w:val="auto"/>
                <w:sz w:val="24"/>
                <w:highlight w:val="none"/>
              </w:rPr>
              <w:t>周边果园</w:t>
            </w:r>
            <w:r>
              <w:rPr>
                <w:rFonts w:hint="eastAsia" w:hAnsi="宋体"/>
                <w:color w:val="auto"/>
                <w:sz w:val="24"/>
                <w:highlight w:val="none"/>
                <w:lang w:eastAsia="zh-CN"/>
              </w:rPr>
              <w:t>灌溉用水</w:t>
            </w:r>
            <w:r>
              <w:rPr>
                <w:rFonts w:hint="eastAsia" w:hAnsi="宋体"/>
                <w:color w:val="auto"/>
                <w:sz w:val="24"/>
                <w:highlight w:val="none"/>
              </w:rPr>
              <w:t>。</w:t>
            </w:r>
          </w:p>
          <w:p w14:paraId="20F335A5">
            <w:pPr>
              <w:snapToGrid w:val="0"/>
              <w:spacing w:line="360" w:lineRule="auto"/>
              <w:ind w:firstLine="480" w:firstLineChars="200"/>
              <w:rPr>
                <w:color w:val="auto"/>
                <w:sz w:val="24"/>
                <w:highlight w:val="none"/>
              </w:rPr>
            </w:pPr>
            <w:r>
              <w:rPr>
                <w:rFonts w:hint="eastAsia"/>
                <w:color w:val="auto"/>
                <w:sz w:val="24"/>
                <w:highlight w:val="none"/>
              </w:rPr>
              <w:t>（3）</w:t>
            </w:r>
            <w:r>
              <w:rPr>
                <w:color w:val="auto"/>
                <w:sz w:val="24"/>
                <w:highlight w:val="none"/>
              </w:rPr>
              <w:t>供电</w:t>
            </w:r>
            <w:r>
              <w:rPr>
                <w:rFonts w:hint="eastAsia"/>
                <w:color w:val="auto"/>
                <w:sz w:val="24"/>
                <w:highlight w:val="none"/>
              </w:rPr>
              <w:t>系统</w:t>
            </w:r>
          </w:p>
          <w:p w14:paraId="2D5DB204">
            <w:pPr>
              <w:snapToGrid w:val="0"/>
              <w:spacing w:line="360" w:lineRule="auto"/>
              <w:ind w:firstLine="480" w:firstLineChars="200"/>
              <w:rPr>
                <w:color w:val="auto"/>
                <w:sz w:val="24"/>
                <w:highlight w:val="none"/>
              </w:rPr>
            </w:pPr>
            <w:r>
              <w:rPr>
                <w:color w:val="auto"/>
                <w:sz w:val="24"/>
                <w:highlight w:val="none"/>
              </w:rPr>
              <w:t>项目用电</w:t>
            </w:r>
            <w:r>
              <w:rPr>
                <w:rFonts w:hint="eastAsia"/>
                <w:color w:val="auto"/>
                <w:sz w:val="24"/>
                <w:highlight w:val="none"/>
              </w:rPr>
              <w:t>由当地供电系统提供</w:t>
            </w:r>
            <w:r>
              <w:rPr>
                <w:color w:val="auto"/>
                <w:sz w:val="24"/>
                <w:highlight w:val="none"/>
              </w:rPr>
              <w:t>，厂区设置配电室，</w:t>
            </w:r>
            <w:r>
              <w:rPr>
                <w:rFonts w:hint="eastAsia"/>
                <w:color w:val="auto"/>
                <w:sz w:val="24"/>
                <w:highlight w:val="none"/>
              </w:rPr>
              <w:t>直接</w:t>
            </w:r>
            <w:r>
              <w:rPr>
                <w:color w:val="auto"/>
                <w:sz w:val="24"/>
                <w:highlight w:val="none"/>
              </w:rPr>
              <w:t>供给</w:t>
            </w:r>
            <w:r>
              <w:rPr>
                <w:rFonts w:hint="eastAsia"/>
                <w:color w:val="auto"/>
                <w:sz w:val="24"/>
                <w:highlight w:val="none"/>
              </w:rPr>
              <w:t>生产及生活</w:t>
            </w:r>
            <w:r>
              <w:rPr>
                <w:color w:val="auto"/>
                <w:sz w:val="24"/>
                <w:highlight w:val="none"/>
              </w:rPr>
              <w:t>用电</w:t>
            </w:r>
            <w:r>
              <w:rPr>
                <w:rFonts w:hint="eastAsia"/>
                <w:color w:val="auto"/>
                <w:sz w:val="24"/>
                <w:highlight w:val="none"/>
              </w:rPr>
              <w:t>。</w:t>
            </w:r>
          </w:p>
          <w:p w14:paraId="7E830A55">
            <w:pPr>
              <w:numPr>
                <w:ilvl w:val="255"/>
                <w:numId w:val="0"/>
              </w:numPr>
              <w:snapToGrid w:val="0"/>
              <w:spacing w:line="360" w:lineRule="auto"/>
              <w:ind w:firstLine="480" w:firstLineChars="200"/>
              <w:rPr>
                <w:color w:val="auto"/>
                <w:sz w:val="24"/>
                <w:highlight w:val="none"/>
              </w:rPr>
            </w:pPr>
            <w:r>
              <w:rPr>
                <w:rFonts w:hint="eastAsia"/>
                <w:color w:val="auto"/>
                <w:sz w:val="24"/>
                <w:highlight w:val="none"/>
              </w:rPr>
              <w:t>8、</w:t>
            </w:r>
            <w:r>
              <w:rPr>
                <w:color w:val="auto"/>
                <w:sz w:val="24"/>
                <w:highlight w:val="none"/>
              </w:rPr>
              <w:t>项目水平衡</w:t>
            </w:r>
          </w:p>
          <w:p w14:paraId="043058A4">
            <w:pPr>
              <w:pStyle w:val="43"/>
              <w:spacing w:line="360" w:lineRule="auto"/>
              <w:ind w:firstLine="480"/>
              <w:rPr>
                <w:color w:val="auto"/>
                <w:highlight w:val="none"/>
              </w:rPr>
            </w:pPr>
            <w:r>
              <w:rPr>
                <w:rFonts w:hint="eastAsia"/>
                <w:color w:val="auto"/>
                <w:highlight w:val="none"/>
              </w:rPr>
              <w:t>项目用水工序主要为生产用水及员工生活用水。详细分析如下：</w:t>
            </w:r>
          </w:p>
          <w:p w14:paraId="4DC5457F">
            <w:pPr>
              <w:spacing w:line="360" w:lineRule="auto"/>
              <w:ind w:firstLine="482"/>
              <w:rPr>
                <w:rFonts w:ascii="宋体" w:hAnsi="宋体" w:cs="宋体"/>
                <w:color w:val="auto"/>
                <w:sz w:val="24"/>
                <w:highlight w:val="none"/>
              </w:rPr>
            </w:pPr>
            <w:r>
              <w:rPr>
                <w:color w:val="auto"/>
                <w:sz w:val="24"/>
                <w:highlight w:val="none"/>
              </w:rPr>
              <w:t>（1）</w:t>
            </w:r>
            <w:r>
              <w:rPr>
                <w:rFonts w:hint="eastAsia" w:ascii="宋体" w:hAnsi="宋体" w:cs="宋体"/>
                <w:color w:val="auto"/>
                <w:sz w:val="24"/>
                <w:highlight w:val="none"/>
              </w:rPr>
              <w:t>生产用水</w:t>
            </w:r>
          </w:p>
          <w:p w14:paraId="240802A3">
            <w:pPr>
              <w:spacing w:line="360" w:lineRule="auto"/>
              <w:ind w:firstLine="482"/>
              <w:rPr>
                <w:rFonts w:ascii="宋体" w:hAnsi="宋体" w:cs="宋体"/>
                <w:color w:val="auto"/>
                <w:sz w:val="24"/>
                <w:highlight w:val="none"/>
              </w:rPr>
            </w:pPr>
            <w:r>
              <w:rPr>
                <w:rFonts w:hint="eastAsia" w:ascii="宋体" w:hAnsi="宋体" w:cs="宋体"/>
                <w:color w:val="auto"/>
                <w:sz w:val="24"/>
                <w:highlight w:val="none"/>
              </w:rPr>
              <w:t>①物料</w:t>
            </w:r>
            <w:r>
              <w:rPr>
                <w:rFonts w:hint="eastAsia"/>
                <w:color w:val="auto"/>
                <w:sz w:val="24"/>
                <w:highlight w:val="none"/>
                <w:lang w:bidi="ar"/>
              </w:rPr>
              <w:t>清洗用水：根据项目生产工艺可知，原料清洗、去皮清洗和切片清洗过程均需要清洗用水。结合建设单位负责人介绍，清洗环节用水量为3m</w:t>
            </w:r>
            <w:r>
              <w:rPr>
                <w:rFonts w:hint="eastAsia"/>
                <w:color w:val="auto"/>
                <w:sz w:val="24"/>
                <w:highlight w:val="none"/>
                <w:vertAlign w:val="superscript"/>
                <w:lang w:bidi="ar"/>
              </w:rPr>
              <w:t>3</w:t>
            </w:r>
            <w:r>
              <w:rPr>
                <w:rFonts w:hint="eastAsia"/>
                <w:color w:val="auto"/>
                <w:sz w:val="24"/>
                <w:highlight w:val="none"/>
                <w:lang w:bidi="ar"/>
              </w:rPr>
              <w:t>/d，废水产生系数为0.9，则清洗废水产生量为2.7m</w:t>
            </w:r>
            <w:r>
              <w:rPr>
                <w:rFonts w:hint="eastAsia"/>
                <w:color w:val="auto"/>
                <w:sz w:val="24"/>
                <w:highlight w:val="none"/>
                <w:vertAlign w:val="superscript"/>
                <w:lang w:bidi="ar"/>
              </w:rPr>
              <w:t>3</w:t>
            </w:r>
            <w:r>
              <w:rPr>
                <w:rFonts w:hint="eastAsia"/>
                <w:color w:val="auto"/>
                <w:sz w:val="24"/>
                <w:highlight w:val="none"/>
                <w:lang w:bidi="ar"/>
              </w:rPr>
              <w:t>/d。</w:t>
            </w:r>
          </w:p>
          <w:p w14:paraId="6259F776">
            <w:pPr>
              <w:pStyle w:val="46"/>
              <w:spacing w:line="360" w:lineRule="auto"/>
              <w:ind w:firstLine="480" w:firstLineChars="200"/>
              <w:jc w:val="both"/>
              <w:rPr>
                <w:rFonts w:hAnsi="宋体"/>
                <w:color w:val="auto"/>
                <w:highlight w:val="none"/>
              </w:rPr>
            </w:pPr>
            <w:r>
              <w:rPr>
                <w:rFonts w:hint="eastAsia" w:hAnsi="宋体"/>
                <w:color w:val="auto"/>
                <w:highlight w:val="none"/>
              </w:rPr>
              <w:t>②设备及地面清洗用水：</w:t>
            </w:r>
            <w:r>
              <w:rPr>
                <w:rFonts w:hint="eastAsia" w:ascii="Times New Roman"/>
                <w:color w:val="auto"/>
                <w:highlight w:val="none"/>
              </w:rPr>
              <w:t>根据建设单位提供资料，设备清洗用水量平均为1.0</w:t>
            </w:r>
            <w:r>
              <w:rPr>
                <w:rFonts w:ascii="Times New Roman"/>
                <w:color w:val="auto"/>
                <w:highlight w:val="none"/>
              </w:rPr>
              <w:t>m</w:t>
            </w:r>
            <w:r>
              <w:rPr>
                <w:rFonts w:ascii="Times New Roman"/>
                <w:color w:val="auto"/>
                <w:highlight w:val="none"/>
                <w:vertAlign w:val="superscript"/>
              </w:rPr>
              <w:t>3</w:t>
            </w:r>
            <w:r>
              <w:rPr>
                <w:rFonts w:ascii="Times New Roman"/>
                <w:color w:val="auto"/>
                <w:highlight w:val="none"/>
              </w:rPr>
              <w:t>/d</w:t>
            </w:r>
            <w:r>
              <w:rPr>
                <w:rFonts w:hint="eastAsia" w:ascii="Times New Roman"/>
                <w:color w:val="auto"/>
                <w:highlight w:val="none"/>
              </w:rPr>
              <w:t>，产污系数取0</w:t>
            </w:r>
            <w:r>
              <w:rPr>
                <w:rFonts w:ascii="Times New Roman"/>
                <w:color w:val="auto"/>
                <w:highlight w:val="none"/>
              </w:rPr>
              <w:t>.9</w:t>
            </w:r>
            <w:r>
              <w:rPr>
                <w:rFonts w:hint="eastAsia" w:ascii="Times New Roman"/>
                <w:color w:val="auto"/>
                <w:highlight w:val="none"/>
              </w:rPr>
              <w:t>，则设备清洗过程废水产生量为</w:t>
            </w:r>
            <w:r>
              <w:rPr>
                <w:rFonts w:ascii="Times New Roman"/>
                <w:color w:val="auto"/>
                <w:highlight w:val="none"/>
              </w:rPr>
              <w:t>0.</w:t>
            </w:r>
            <w:r>
              <w:rPr>
                <w:rFonts w:hint="eastAsia" w:ascii="Times New Roman"/>
                <w:color w:val="auto"/>
                <w:highlight w:val="none"/>
              </w:rPr>
              <w:t>9</w:t>
            </w:r>
            <w:r>
              <w:rPr>
                <w:rFonts w:ascii="Times New Roman"/>
                <w:color w:val="auto"/>
                <w:highlight w:val="none"/>
              </w:rPr>
              <w:t>m</w:t>
            </w:r>
            <w:r>
              <w:rPr>
                <w:rFonts w:ascii="Times New Roman"/>
                <w:color w:val="auto"/>
                <w:highlight w:val="none"/>
                <w:vertAlign w:val="superscript"/>
              </w:rPr>
              <w:t>3</w:t>
            </w:r>
            <w:r>
              <w:rPr>
                <w:rFonts w:ascii="Times New Roman"/>
                <w:color w:val="auto"/>
                <w:highlight w:val="none"/>
              </w:rPr>
              <w:t>/d</w:t>
            </w:r>
            <w:r>
              <w:rPr>
                <w:rFonts w:hint="eastAsia" w:ascii="Times New Roman"/>
                <w:color w:val="auto"/>
                <w:highlight w:val="none"/>
              </w:rPr>
              <w:t>。</w:t>
            </w:r>
            <w:r>
              <w:rPr>
                <w:rFonts w:hint="eastAsia" w:hAnsi="宋体"/>
                <w:color w:val="auto"/>
                <w:highlight w:val="none"/>
              </w:rPr>
              <w:t>考虑到生产工艺和卫生安全原因</w:t>
            </w:r>
            <w:r>
              <w:rPr>
                <w:rFonts w:hint="eastAsia" w:ascii="Times New Roman"/>
                <w:color w:val="auto"/>
                <w:highlight w:val="none"/>
              </w:rPr>
              <w:t>，需每日生产结束后冲洗地面，以保持清洁。经与建设单位核实，运营期内每日冲洗1次，用水量均按2L/m</w:t>
            </w:r>
            <w:r>
              <w:rPr>
                <w:rFonts w:hint="eastAsia" w:ascii="Times New Roman"/>
                <w:color w:val="auto"/>
                <w:highlight w:val="none"/>
                <w:vertAlign w:val="superscript"/>
              </w:rPr>
              <w:t>2</w:t>
            </w:r>
            <w:r>
              <w:rPr>
                <w:rFonts w:hint="eastAsia" w:ascii="Times New Roman"/>
                <w:color w:val="auto"/>
                <w:highlight w:val="none"/>
              </w:rPr>
              <w:t>·次计算，需冲洗的地面面积约500m</w:t>
            </w:r>
            <w:r>
              <w:rPr>
                <w:rFonts w:hint="eastAsia" w:ascii="Times New Roman"/>
                <w:color w:val="auto"/>
                <w:highlight w:val="none"/>
                <w:vertAlign w:val="superscript"/>
              </w:rPr>
              <w:t>2</w:t>
            </w:r>
            <w:r>
              <w:rPr>
                <w:rFonts w:hint="eastAsia" w:ascii="Times New Roman"/>
                <w:color w:val="auto"/>
                <w:highlight w:val="none"/>
              </w:rPr>
              <w:t>，则地面冲洗用水量为1.0m</w:t>
            </w:r>
            <w:r>
              <w:rPr>
                <w:rFonts w:hint="eastAsia" w:ascii="Times New Roman"/>
                <w:color w:val="auto"/>
                <w:highlight w:val="none"/>
                <w:vertAlign w:val="superscript"/>
              </w:rPr>
              <w:t>3</w:t>
            </w:r>
            <w:r>
              <w:rPr>
                <w:rFonts w:hint="eastAsia" w:ascii="Times New Roman"/>
                <w:color w:val="auto"/>
                <w:highlight w:val="none"/>
              </w:rPr>
              <w:t>/d，清洗废水产生系数取0.9，故地面清洗废水产生量为0.9m</w:t>
            </w:r>
            <w:r>
              <w:rPr>
                <w:rFonts w:hint="eastAsia" w:ascii="Times New Roman"/>
                <w:color w:val="auto"/>
                <w:highlight w:val="none"/>
                <w:vertAlign w:val="superscript"/>
              </w:rPr>
              <w:t>3</w:t>
            </w:r>
            <w:r>
              <w:rPr>
                <w:rFonts w:hint="eastAsia" w:ascii="Times New Roman"/>
                <w:color w:val="auto"/>
                <w:highlight w:val="none"/>
              </w:rPr>
              <w:t>/d。</w:t>
            </w:r>
          </w:p>
          <w:p w14:paraId="30775850">
            <w:pPr>
              <w:spacing w:line="360" w:lineRule="auto"/>
              <w:ind w:firstLine="482"/>
              <w:rPr>
                <w:color w:val="auto"/>
                <w:sz w:val="24"/>
                <w:highlight w:val="none"/>
                <w:lang w:bidi="ar"/>
              </w:rPr>
            </w:pPr>
            <w:r>
              <w:rPr>
                <w:rFonts w:hint="eastAsia" w:ascii="宋体" w:hAnsi="宋体" w:cs="宋体"/>
                <w:color w:val="auto"/>
                <w:sz w:val="24"/>
                <w:highlight w:val="none"/>
              </w:rPr>
              <w:t>③</w:t>
            </w:r>
            <w:r>
              <w:rPr>
                <w:rFonts w:hint="eastAsia" w:ascii="宋体" w:hAnsi="宋体" w:cs="宋体"/>
                <w:bCs/>
                <w:color w:val="auto"/>
                <w:sz w:val="24"/>
                <w:highlight w:val="none"/>
              </w:rPr>
              <w:t>锅炉补充用水</w:t>
            </w:r>
            <w:r>
              <w:rPr>
                <w:rFonts w:hint="eastAsia"/>
                <w:color w:val="auto"/>
                <w:sz w:val="24"/>
                <w:highlight w:val="none"/>
                <w:lang w:bidi="ar"/>
              </w:rPr>
              <w:t>：</w:t>
            </w:r>
            <w:r>
              <w:rPr>
                <w:rFonts w:hint="eastAsia"/>
                <w:bCs/>
                <w:color w:val="auto"/>
                <w:sz w:val="24"/>
                <w:highlight w:val="none"/>
              </w:rPr>
              <w:t>厂区锅炉的最大额定蒸汽量为10t/h</w:t>
            </w:r>
            <w:r>
              <w:rPr>
                <w:rFonts w:hint="eastAsia"/>
                <w:color w:val="auto"/>
                <w:highlight w:val="none"/>
              </w:rPr>
              <w:t>，</w:t>
            </w:r>
            <w:r>
              <w:rPr>
                <w:rFonts w:hint="eastAsia"/>
                <w:bCs/>
                <w:color w:val="auto"/>
                <w:sz w:val="24"/>
                <w:highlight w:val="none"/>
              </w:rPr>
              <w:t>每台锅炉每天运行8h，则锅炉蒸汽产生量为80t/d。根据建设单位提供资料，本项目蒸汽主要用于漂烫、烘干等工序，在生产过程中会损耗大约15%（12t/d），其余蒸汽（68t/d）经冷凝后可回用于蒸汽发生器，则蒸汽用水补水为12t/d。根据</w:t>
            </w:r>
            <w:r>
              <w:rPr>
                <w:rFonts w:hint="eastAsia"/>
                <w:color w:val="auto"/>
                <w:sz w:val="24"/>
                <w:highlight w:val="none"/>
              </w:rPr>
              <w:t>《排放源统计调查产排污核算方法和系数手册》（生态环境部）中“4430工业锅炉（热力生产和供应行业）产污系数表可知，生物质</w:t>
            </w:r>
            <w:r>
              <w:rPr>
                <w:rFonts w:hint="eastAsia"/>
                <w:bCs/>
                <w:color w:val="auto"/>
                <w:sz w:val="24"/>
                <w:highlight w:val="none"/>
              </w:rPr>
              <w:t>锅炉排污水系数为0.259</w:t>
            </w:r>
            <w:r>
              <w:rPr>
                <w:rFonts w:hint="eastAsia"/>
                <w:color w:val="auto"/>
                <w:kern w:val="0"/>
                <w:sz w:val="24"/>
                <w:szCs w:val="21"/>
                <w:highlight w:val="none"/>
                <w:lang w:bidi="ar"/>
              </w:rPr>
              <w:t>t</w:t>
            </w:r>
            <w:r>
              <w:rPr>
                <w:color w:val="auto"/>
                <w:kern w:val="0"/>
                <w:sz w:val="24"/>
                <w:szCs w:val="21"/>
                <w:highlight w:val="none"/>
                <w:lang w:bidi="ar"/>
              </w:rPr>
              <w:t>/</w:t>
            </w:r>
            <w:r>
              <w:rPr>
                <w:rFonts w:hint="eastAsia"/>
                <w:color w:val="auto"/>
                <w:kern w:val="0"/>
                <w:sz w:val="24"/>
                <w:szCs w:val="21"/>
                <w:highlight w:val="none"/>
                <w:lang w:bidi="ar"/>
              </w:rPr>
              <w:t>t-原料；本项目生物质颗粒用量为500t/a，则锅炉排污水为0.43</w:t>
            </w:r>
            <w:r>
              <w:rPr>
                <w:rFonts w:hint="eastAsia"/>
                <w:color w:val="auto"/>
                <w:sz w:val="24"/>
                <w:highlight w:val="none"/>
              </w:rPr>
              <w:t>m</w:t>
            </w:r>
            <w:r>
              <w:rPr>
                <w:rFonts w:hint="eastAsia"/>
                <w:color w:val="auto"/>
                <w:sz w:val="24"/>
                <w:highlight w:val="none"/>
                <w:vertAlign w:val="superscript"/>
              </w:rPr>
              <w:t>3</w:t>
            </w:r>
            <w:r>
              <w:rPr>
                <w:rFonts w:hint="eastAsia"/>
                <w:color w:val="auto"/>
                <w:sz w:val="24"/>
                <w:highlight w:val="none"/>
              </w:rPr>
              <w:t>/d。合计需</w:t>
            </w:r>
            <w:r>
              <w:rPr>
                <w:rFonts w:hint="eastAsia"/>
                <w:color w:val="auto"/>
                <w:kern w:val="0"/>
                <w:sz w:val="24"/>
                <w:szCs w:val="21"/>
                <w:highlight w:val="none"/>
                <w:lang w:bidi="ar"/>
              </w:rPr>
              <w:t>补充新鲜水量合计为12.43</w:t>
            </w:r>
            <w:r>
              <w:rPr>
                <w:color w:val="auto"/>
                <w:kern w:val="0"/>
                <w:sz w:val="24"/>
                <w:szCs w:val="21"/>
                <w:highlight w:val="none"/>
                <w:lang w:bidi="ar"/>
              </w:rPr>
              <w:t>m</w:t>
            </w:r>
            <w:r>
              <w:rPr>
                <w:color w:val="auto"/>
                <w:kern w:val="0"/>
                <w:sz w:val="24"/>
                <w:szCs w:val="21"/>
                <w:highlight w:val="none"/>
                <w:vertAlign w:val="superscript"/>
                <w:lang w:bidi="ar"/>
              </w:rPr>
              <w:t>3</w:t>
            </w:r>
            <w:r>
              <w:rPr>
                <w:color w:val="auto"/>
                <w:kern w:val="0"/>
                <w:sz w:val="24"/>
                <w:szCs w:val="21"/>
                <w:highlight w:val="none"/>
                <w:lang w:bidi="ar"/>
              </w:rPr>
              <w:t>/</w:t>
            </w:r>
            <w:r>
              <w:rPr>
                <w:rFonts w:hint="eastAsia"/>
                <w:color w:val="auto"/>
                <w:kern w:val="0"/>
                <w:sz w:val="24"/>
                <w:szCs w:val="21"/>
                <w:highlight w:val="none"/>
                <w:lang w:bidi="ar"/>
              </w:rPr>
              <w:t>d。</w:t>
            </w:r>
          </w:p>
          <w:p w14:paraId="6D83C4DC">
            <w:pPr>
              <w:pStyle w:val="43"/>
              <w:spacing w:line="360" w:lineRule="auto"/>
              <w:ind w:firstLine="480" w:firstLineChars="200"/>
              <w:rPr>
                <w:rFonts w:ascii="Times New Roman" w:hAnsi="Times New Roman" w:cs="Times New Roman"/>
                <w:color w:val="auto"/>
                <w:highlight w:val="none"/>
                <w:lang w:bidi="ar"/>
              </w:rPr>
            </w:pPr>
            <w:r>
              <w:rPr>
                <w:rFonts w:hint="eastAsia" w:ascii="宋体" w:hAnsi="宋体" w:cs="宋体"/>
                <w:color w:val="auto"/>
                <w:highlight w:val="none"/>
              </w:rPr>
              <w:t>④冷却用水：根据建设单位介绍，本项目漂烫后的切片利用冷却机进行水冷。新鲜水在水冷机内部循环流动，运营期仅需定期补充新鲜水即可，预计补充量为</w:t>
            </w:r>
            <w:r>
              <w:rPr>
                <w:rFonts w:ascii="Times New Roman" w:hAnsi="Times New Roman" w:cs="Times New Roman"/>
                <w:color w:val="auto"/>
                <w:highlight w:val="none"/>
              </w:rPr>
              <w:t>0.5m</w:t>
            </w:r>
            <w:r>
              <w:rPr>
                <w:rFonts w:ascii="Times New Roman" w:hAnsi="Times New Roman" w:cs="Times New Roman"/>
                <w:color w:val="auto"/>
                <w:highlight w:val="none"/>
                <w:vertAlign w:val="superscript"/>
              </w:rPr>
              <w:t>3</w:t>
            </w:r>
            <w:r>
              <w:rPr>
                <w:rFonts w:ascii="Times New Roman" w:hAnsi="Times New Roman" w:cs="Times New Roman"/>
                <w:color w:val="auto"/>
                <w:highlight w:val="none"/>
              </w:rPr>
              <w:t>/d。</w:t>
            </w:r>
          </w:p>
          <w:p w14:paraId="770E3BE3">
            <w:pPr>
              <w:pStyle w:val="43"/>
              <w:spacing w:line="360" w:lineRule="auto"/>
              <w:ind w:firstLine="480" w:firstLineChars="200"/>
              <w:rPr>
                <w:rFonts w:hint="default" w:ascii="宋体" w:hAnsi="宋体" w:eastAsia="宋体" w:cs="宋体"/>
                <w:color w:val="auto"/>
                <w:highlight w:val="none"/>
                <w:lang w:val="en-US" w:eastAsia="zh-CN"/>
              </w:rPr>
            </w:pPr>
            <w:r>
              <w:rPr>
                <w:rFonts w:hint="eastAsia" w:ascii="宋体" w:hAnsi="宋体" w:cs="宋体"/>
                <w:color w:val="auto"/>
                <w:highlight w:val="none"/>
              </w:rPr>
              <w:t>⑤漂烫用水：根据建设单位介绍，为确保切片品质，需在漂烫机内进行漂烫，水温控制在</w:t>
            </w:r>
            <w:r>
              <w:rPr>
                <w:rFonts w:ascii="Times New Roman" w:hAnsi="Times New Roman" w:cs="Times New Roman"/>
                <w:color w:val="auto"/>
                <w:highlight w:val="none"/>
              </w:rPr>
              <w:t>60~</w:t>
            </w:r>
            <w:r>
              <w:rPr>
                <w:rFonts w:hint="eastAsia" w:ascii="Times New Roman" w:hAnsi="Times New Roman" w:cs="Times New Roman"/>
                <w:color w:val="auto"/>
                <w:highlight w:val="none"/>
                <w:lang w:val="en-US" w:eastAsia="zh-CN"/>
              </w:rPr>
              <w:t>8</w:t>
            </w:r>
            <w:r>
              <w:rPr>
                <w:rFonts w:ascii="Times New Roman" w:hAnsi="Times New Roman" w:cs="Times New Roman"/>
                <w:color w:val="auto"/>
                <w:highlight w:val="none"/>
              </w:rPr>
              <w:t>0</w:t>
            </w:r>
            <w:r>
              <w:rPr>
                <w:rFonts w:hint="eastAsia" w:ascii="宋体" w:hAnsi="宋体" w:cs="宋体"/>
                <w:color w:val="auto"/>
                <w:highlight w:val="none"/>
              </w:rPr>
              <w:t>℃，热源来自生物质锅炉。该过程</w:t>
            </w:r>
            <w:r>
              <w:rPr>
                <w:rFonts w:hint="eastAsia" w:ascii="宋体" w:hAnsi="宋体" w:cs="宋体"/>
                <w:color w:val="auto"/>
                <w:highlight w:val="none"/>
                <w:lang w:eastAsia="zh-CN"/>
              </w:rPr>
              <w:t>用水量约</w:t>
            </w:r>
            <w:r>
              <w:rPr>
                <w:rFonts w:hint="eastAsia" w:ascii="Times New Roman" w:hAnsi="Times New Roman" w:eastAsia="华文新魏" w:cs="Times New Roman"/>
                <w:color w:val="auto"/>
                <w:highlight w:val="none"/>
                <w:lang w:val="en-US" w:eastAsia="zh-CN"/>
              </w:rPr>
              <w:t>1</w:t>
            </w:r>
            <w:r>
              <w:rPr>
                <w:rFonts w:ascii="Times New Roman" w:hAnsi="Times New Roman" w:cs="Times New Roman"/>
                <w:color w:val="auto"/>
                <w:highlight w:val="none"/>
              </w:rPr>
              <w:t>m</w:t>
            </w:r>
            <w:r>
              <w:rPr>
                <w:rFonts w:ascii="Times New Roman" w:hAnsi="Times New Roman" w:cs="Times New Roman"/>
                <w:color w:val="auto"/>
                <w:highlight w:val="none"/>
                <w:vertAlign w:val="superscript"/>
              </w:rPr>
              <w:t>3</w:t>
            </w:r>
            <w:r>
              <w:rPr>
                <w:rFonts w:ascii="Times New Roman" w:hAnsi="Times New Roman" w:cs="Times New Roman"/>
                <w:color w:val="auto"/>
                <w:highlight w:val="none"/>
              </w:rPr>
              <w:t>/d</w:t>
            </w:r>
            <w:r>
              <w:rPr>
                <w:rFonts w:hint="eastAsia" w:ascii="Times New Roman" w:hAnsi="Times New Roman" w:cs="Times New Roman"/>
                <w:color w:val="auto"/>
                <w:highlight w:val="none"/>
                <w:lang w:eastAsia="zh-CN"/>
              </w:rPr>
              <w:t>，蒸发损耗量约</w:t>
            </w:r>
            <w:r>
              <w:rPr>
                <w:rFonts w:hint="eastAsia" w:ascii="Times New Roman" w:hAnsi="Times New Roman" w:cs="Times New Roman"/>
                <w:color w:val="auto"/>
                <w:highlight w:val="none"/>
                <w:lang w:val="en-US" w:eastAsia="zh-CN"/>
              </w:rPr>
              <w:t>30%，切片带走约10%，剩余约60%（即0.6</w:t>
            </w:r>
            <w:r>
              <w:rPr>
                <w:rFonts w:ascii="Times New Roman" w:hAnsi="Times New Roman" w:cs="Times New Roman"/>
                <w:color w:val="auto"/>
                <w:highlight w:val="none"/>
              </w:rPr>
              <w:t>m</w:t>
            </w:r>
            <w:r>
              <w:rPr>
                <w:rFonts w:ascii="Times New Roman" w:hAnsi="Times New Roman" w:cs="Times New Roman"/>
                <w:color w:val="auto"/>
                <w:highlight w:val="none"/>
                <w:vertAlign w:val="superscript"/>
              </w:rPr>
              <w:t>3</w:t>
            </w:r>
            <w:r>
              <w:rPr>
                <w:rFonts w:ascii="Times New Roman" w:hAnsi="Times New Roman" w:cs="Times New Roman"/>
                <w:color w:val="auto"/>
                <w:highlight w:val="none"/>
              </w:rPr>
              <w:t>/d</w:t>
            </w:r>
            <w:r>
              <w:rPr>
                <w:rFonts w:hint="eastAsia" w:ascii="Times New Roman" w:hAnsi="Times New Roman" w:cs="Times New Roman"/>
                <w:color w:val="auto"/>
                <w:highlight w:val="none"/>
                <w:lang w:val="en-US" w:eastAsia="zh-CN"/>
              </w:rPr>
              <w:t>）的废水每天排至污水处理站处理。</w:t>
            </w:r>
          </w:p>
          <w:p w14:paraId="4A901DE5">
            <w:pPr>
              <w:spacing w:line="360" w:lineRule="auto"/>
              <w:ind w:firstLine="482"/>
              <w:rPr>
                <w:rFonts w:ascii="宋体" w:hAnsi="宋体" w:cs="宋体"/>
                <w:color w:val="auto"/>
                <w:sz w:val="24"/>
                <w:highlight w:val="none"/>
              </w:rPr>
            </w:pPr>
            <w:r>
              <w:rPr>
                <w:rFonts w:hint="eastAsia" w:ascii="宋体" w:hAnsi="宋体" w:cs="宋体"/>
                <w:color w:val="auto"/>
                <w:sz w:val="24"/>
                <w:highlight w:val="none"/>
              </w:rPr>
              <w:t>⑥浸渍用水：根据建设单位介绍，果蔬脆片加工过程需在浸渍池内进行风味融合，浸渍池主要为两种（咸味和甜味）。该过程主要为盐水制备用水和糖水制备用水，除少量的蒸发外（可忽略不计），无废水产生。预计用水</w:t>
            </w:r>
            <w:r>
              <w:rPr>
                <w:color w:val="auto"/>
                <w:sz w:val="24"/>
                <w:highlight w:val="none"/>
              </w:rPr>
              <w:t>量为0.05m</w:t>
            </w:r>
            <w:r>
              <w:rPr>
                <w:color w:val="auto"/>
                <w:sz w:val="24"/>
                <w:highlight w:val="none"/>
                <w:vertAlign w:val="superscript"/>
              </w:rPr>
              <w:t>3</w:t>
            </w:r>
            <w:r>
              <w:rPr>
                <w:color w:val="auto"/>
                <w:sz w:val="24"/>
                <w:highlight w:val="none"/>
              </w:rPr>
              <w:t>/d。</w:t>
            </w:r>
          </w:p>
          <w:p w14:paraId="11614EB7">
            <w:pPr>
              <w:spacing w:line="360" w:lineRule="auto"/>
              <w:ind w:firstLine="480" w:firstLineChars="200"/>
              <w:rPr>
                <w:rFonts w:ascii="宋体" w:hAnsi="宋体" w:cs="宋体"/>
                <w:color w:val="auto"/>
                <w:sz w:val="24"/>
                <w:highlight w:val="none"/>
              </w:rPr>
            </w:pPr>
            <w:r>
              <w:rPr>
                <w:color w:val="auto"/>
                <w:sz w:val="24"/>
                <w:highlight w:val="none"/>
              </w:rPr>
              <w:t>（2）</w:t>
            </w:r>
            <w:r>
              <w:rPr>
                <w:rFonts w:hint="eastAsia" w:ascii="宋体" w:hAnsi="宋体" w:cs="宋体"/>
                <w:color w:val="auto"/>
                <w:sz w:val="24"/>
                <w:highlight w:val="none"/>
              </w:rPr>
              <w:t>生活用水</w:t>
            </w:r>
          </w:p>
          <w:p w14:paraId="5D158949">
            <w:pPr>
              <w:snapToGrid w:val="0"/>
              <w:spacing w:line="360" w:lineRule="auto"/>
              <w:ind w:firstLine="480" w:firstLineChars="200"/>
              <w:rPr>
                <w:color w:val="auto"/>
                <w:sz w:val="24"/>
                <w:highlight w:val="none"/>
              </w:rPr>
            </w:pPr>
            <w:r>
              <w:rPr>
                <w:rFonts w:hint="eastAsia" w:ascii="宋体" w:hAnsi="宋体" w:cs="宋体"/>
                <w:color w:val="auto"/>
                <w:sz w:val="24"/>
                <w:highlight w:val="none"/>
              </w:rPr>
              <w:t>结合厂区工作制度和就餐情况，本项目</w:t>
            </w:r>
            <w:r>
              <w:rPr>
                <w:rFonts w:hint="eastAsia"/>
                <w:color w:val="auto"/>
                <w:sz w:val="24"/>
                <w:highlight w:val="none"/>
                <w:lang w:bidi="ar"/>
              </w:rPr>
              <w:t>生活用水量按《建筑给水排水设计标准》（GB50015-2019）中车间工人用水定额</w:t>
            </w:r>
            <w:r>
              <w:rPr>
                <w:rFonts w:hint="eastAsia"/>
                <w:color w:val="auto"/>
                <w:sz w:val="24"/>
                <w:highlight w:val="none"/>
                <w:lang w:eastAsia="zh-CN" w:bidi="ar"/>
              </w:rPr>
              <w:t>取</w:t>
            </w:r>
            <w:r>
              <w:rPr>
                <w:rFonts w:hint="eastAsia"/>
                <w:color w:val="auto"/>
                <w:sz w:val="24"/>
                <w:highlight w:val="none"/>
                <w:lang w:bidi="ar"/>
              </w:rPr>
              <w:t>50</w:t>
            </w:r>
            <w:r>
              <w:rPr>
                <w:color w:val="auto"/>
                <w:sz w:val="24"/>
                <w:highlight w:val="none"/>
                <w:lang w:bidi="ar"/>
              </w:rPr>
              <w:t>L/d</w:t>
            </w:r>
            <w:r>
              <w:rPr>
                <w:rFonts w:hint="eastAsia"/>
                <w:color w:val="auto"/>
                <w:sz w:val="24"/>
                <w:highlight w:val="none"/>
                <w:lang w:bidi="ar"/>
              </w:rPr>
              <w:t>·班计，则生活用水量0.5m</w:t>
            </w:r>
            <w:r>
              <w:rPr>
                <w:rFonts w:hint="eastAsia"/>
                <w:color w:val="auto"/>
                <w:sz w:val="24"/>
                <w:highlight w:val="none"/>
                <w:vertAlign w:val="superscript"/>
                <w:lang w:bidi="ar"/>
              </w:rPr>
              <w:t>3</w:t>
            </w:r>
            <w:r>
              <w:rPr>
                <w:color w:val="auto"/>
                <w:sz w:val="24"/>
                <w:highlight w:val="none"/>
                <w:lang w:bidi="ar"/>
              </w:rPr>
              <w:t>/</w:t>
            </w:r>
            <w:r>
              <w:rPr>
                <w:rFonts w:hint="eastAsia"/>
                <w:color w:val="auto"/>
                <w:sz w:val="24"/>
                <w:highlight w:val="none"/>
                <w:lang w:bidi="ar"/>
              </w:rPr>
              <w:t>d，排放系数取</w:t>
            </w:r>
            <w:r>
              <w:rPr>
                <w:color w:val="auto"/>
                <w:sz w:val="24"/>
                <w:highlight w:val="none"/>
                <w:lang w:bidi="ar"/>
              </w:rPr>
              <w:t>0.8</w:t>
            </w:r>
            <w:r>
              <w:rPr>
                <w:rFonts w:hint="eastAsia"/>
                <w:color w:val="auto"/>
                <w:sz w:val="24"/>
                <w:highlight w:val="none"/>
                <w:lang w:bidi="ar"/>
              </w:rPr>
              <w:t>，则生活污水产生量为0.4m</w:t>
            </w:r>
            <w:r>
              <w:rPr>
                <w:rFonts w:hint="eastAsia"/>
                <w:color w:val="auto"/>
                <w:sz w:val="24"/>
                <w:highlight w:val="none"/>
                <w:vertAlign w:val="superscript"/>
                <w:lang w:bidi="ar"/>
              </w:rPr>
              <w:t>3</w:t>
            </w:r>
            <w:r>
              <w:rPr>
                <w:color w:val="auto"/>
                <w:sz w:val="24"/>
                <w:highlight w:val="none"/>
                <w:lang w:bidi="ar"/>
              </w:rPr>
              <w:t>/</w:t>
            </w:r>
            <w:r>
              <w:rPr>
                <w:rFonts w:hint="eastAsia"/>
                <w:color w:val="auto"/>
                <w:sz w:val="24"/>
                <w:highlight w:val="none"/>
                <w:lang w:bidi="ar"/>
              </w:rPr>
              <w:t>d。</w:t>
            </w:r>
          </w:p>
          <w:p w14:paraId="1E40A850">
            <w:pPr>
              <w:spacing w:line="360" w:lineRule="auto"/>
              <w:ind w:firstLine="482"/>
              <w:rPr>
                <w:color w:val="auto"/>
                <w:sz w:val="24"/>
                <w:highlight w:val="none"/>
              </w:rPr>
            </w:pPr>
            <w:r>
              <w:rPr>
                <w:rFonts w:hint="eastAsia"/>
                <w:color w:val="auto"/>
                <w:sz w:val="24"/>
                <w:highlight w:val="none"/>
              </w:rPr>
              <w:t>综上，本项目运营期水平衡见图2-1。</w:t>
            </w:r>
          </w:p>
          <w:p w14:paraId="6622B5E7">
            <w:pPr>
              <w:spacing w:line="360" w:lineRule="auto"/>
              <w:jc w:val="center"/>
              <w:rPr>
                <w:color w:val="auto"/>
                <w:sz w:val="24"/>
                <w:highlight w:val="none"/>
              </w:rPr>
            </w:pPr>
            <w:r>
              <w:rPr>
                <w:color w:val="auto"/>
                <w:sz w:val="24"/>
                <w:highlight w:val="none"/>
              </w:rPr>
              <w:object>
                <v:shape id="_x0000_i1025" o:spt="75" type="#_x0000_t75" style="height:400.45pt;width:392.05pt;" o:ole="t" filled="f" o:preferrelative="t" stroked="f" coordsize="21600,21600">
                  <v:path/>
                  <v:fill on="f" focussize="0,0"/>
                  <v:stroke on="f"/>
                  <v:imagedata r:id="rId11" o:title=""/>
                  <o:lock v:ext="edit" aspectratio="f"/>
                  <w10:wrap type="none"/>
                  <w10:anchorlock/>
                </v:shape>
                <o:OLEObject Type="Embed" ProgID="Visio.Drawing.11" ShapeID="_x0000_i1025" DrawAspect="Content" ObjectID="_1468075725" r:id="rId10">
                  <o:LockedField>false</o:LockedField>
                </o:OLEObject>
              </w:object>
            </w:r>
          </w:p>
          <w:p w14:paraId="7397C5B2">
            <w:pPr>
              <w:spacing w:line="360" w:lineRule="auto"/>
              <w:jc w:val="center"/>
              <w:rPr>
                <w:b/>
                <w:bCs/>
                <w:color w:val="auto"/>
                <w:highlight w:val="none"/>
              </w:rPr>
            </w:pPr>
            <w:r>
              <w:rPr>
                <w:b/>
                <w:bCs/>
                <w:color w:val="auto"/>
                <w:highlight w:val="none"/>
              </w:rPr>
              <w:t>图</w:t>
            </w:r>
            <w:r>
              <w:rPr>
                <w:rFonts w:hint="eastAsia"/>
                <w:b/>
                <w:bCs/>
                <w:color w:val="auto"/>
                <w:highlight w:val="none"/>
              </w:rPr>
              <w:t>2-1</w:t>
            </w:r>
            <w:r>
              <w:rPr>
                <w:b/>
                <w:bCs/>
                <w:color w:val="auto"/>
                <w:highlight w:val="none"/>
              </w:rPr>
              <w:t xml:space="preserve">  </w:t>
            </w:r>
            <w:r>
              <w:rPr>
                <w:rFonts w:hint="eastAsia"/>
                <w:b/>
                <w:bCs/>
                <w:color w:val="auto"/>
                <w:highlight w:val="none"/>
              </w:rPr>
              <w:t>项目</w:t>
            </w:r>
            <w:r>
              <w:rPr>
                <w:b/>
                <w:bCs/>
                <w:color w:val="auto"/>
                <w:highlight w:val="none"/>
              </w:rPr>
              <w:t>水平衡图    单位m</w:t>
            </w:r>
            <w:r>
              <w:rPr>
                <w:b/>
                <w:bCs/>
                <w:color w:val="auto"/>
                <w:highlight w:val="none"/>
                <w:vertAlign w:val="superscript"/>
              </w:rPr>
              <w:t>3</w:t>
            </w:r>
            <w:r>
              <w:rPr>
                <w:b/>
                <w:bCs/>
                <w:color w:val="auto"/>
                <w:highlight w:val="none"/>
              </w:rPr>
              <w:t>/d</w:t>
            </w:r>
          </w:p>
          <w:p w14:paraId="20883BEC">
            <w:pPr>
              <w:adjustRightInd w:val="0"/>
              <w:snapToGrid w:val="0"/>
              <w:spacing w:line="360" w:lineRule="auto"/>
              <w:ind w:firstLine="480" w:firstLineChars="200"/>
              <w:rPr>
                <w:color w:val="auto"/>
                <w:sz w:val="24"/>
                <w:highlight w:val="none"/>
              </w:rPr>
            </w:pPr>
            <w:r>
              <w:rPr>
                <w:rFonts w:hint="eastAsia"/>
                <w:color w:val="auto"/>
                <w:sz w:val="24"/>
                <w:highlight w:val="none"/>
              </w:rPr>
              <w:t>9、项目物料平衡</w:t>
            </w:r>
          </w:p>
          <w:p w14:paraId="256F82C2">
            <w:pPr>
              <w:adjustRightInd w:val="0"/>
              <w:snapToGrid w:val="0"/>
              <w:spacing w:line="360" w:lineRule="auto"/>
              <w:ind w:firstLine="480" w:firstLineChars="200"/>
              <w:jc w:val="left"/>
              <w:rPr>
                <w:bCs/>
                <w:color w:val="auto"/>
                <w:sz w:val="24"/>
                <w:highlight w:val="none"/>
              </w:rPr>
            </w:pPr>
            <w:r>
              <w:rPr>
                <w:rFonts w:hint="eastAsia"/>
                <w:bCs/>
                <w:color w:val="auto"/>
                <w:sz w:val="24"/>
                <w:highlight w:val="none"/>
              </w:rPr>
              <w:t>本项目运营期物料平衡见表2-5。</w:t>
            </w:r>
          </w:p>
          <w:p w14:paraId="41F824E4">
            <w:pPr>
              <w:adjustRightInd w:val="0"/>
              <w:snapToGrid w:val="0"/>
              <w:jc w:val="center"/>
              <w:rPr>
                <w:b/>
                <w:color w:val="auto"/>
                <w:szCs w:val="21"/>
                <w:highlight w:val="none"/>
              </w:rPr>
            </w:pPr>
            <w:r>
              <w:rPr>
                <w:b/>
                <w:color w:val="auto"/>
                <w:szCs w:val="21"/>
                <w:highlight w:val="none"/>
              </w:rPr>
              <w:t>表</w:t>
            </w:r>
            <w:r>
              <w:rPr>
                <w:rFonts w:hint="eastAsia"/>
                <w:b/>
                <w:color w:val="auto"/>
                <w:szCs w:val="21"/>
                <w:highlight w:val="none"/>
              </w:rPr>
              <w:t>2-5  项目</w:t>
            </w:r>
            <w:r>
              <w:rPr>
                <w:b/>
                <w:color w:val="auto"/>
                <w:szCs w:val="18"/>
                <w:highlight w:val="none"/>
              </w:rPr>
              <w:t>物料平衡</w:t>
            </w:r>
            <w:r>
              <w:rPr>
                <w:b/>
                <w:color w:val="auto"/>
                <w:szCs w:val="21"/>
                <w:highlight w:val="none"/>
              </w:rPr>
              <w:t>表    单位</w:t>
            </w:r>
            <w:r>
              <w:rPr>
                <w:rFonts w:hint="eastAsia"/>
                <w:b/>
                <w:color w:val="auto"/>
                <w:szCs w:val="21"/>
                <w:highlight w:val="none"/>
              </w:rPr>
              <w:t xml:space="preserve"> </w:t>
            </w:r>
            <w:r>
              <w:rPr>
                <w:b/>
                <w:color w:val="auto"/>
                <w:szCs w:val="21"/>
                <w:highlight w:val="none"/>
              </w:rPr>
              <w:t>t/a</w:t>
            </w:r>
          </w:p>
          <w:tbl>
            <w:tblPr>
              <w:tblStyle w:val="35"/>
              <w:tblW w:w="8506"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50"/>
              <w:gridCol w:w="2217"/>
              <w:gridCol w:w="1467"/>
              <w:gridCol w:w="2038"/>
              <w:gridCol w:w="1634"/>
            </w:tblGrid>
            <w:tr w14:paraId="200E4F5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4834" w:type="dxa"/>
                  <w:gridSpan w:val="3"/>
                  <w:tcBorders>
                    <w:tl2br w:val="nil"/>
                    <w:tr2bl w:val="nil"/>
                  </w:tcBorders>
                  <w:vAlign w:val="center"/>
                </w:tcPr>
                <w:p w14:paraId="67AC258D">
                  <w:pPr>
                    <w:tabs>
                      <w:tab w:val="left" w:pos="2418"/>
                      <w:tab w:val="left" w:pos="4203"/>
                      <w:tab w:val="left" w:pos="5708"/>
                      <w:tab w:val="left" w:pos="7213"/>
                      <w:tab w:val="left" w:pos="8718"/>
                    </w:tabs>
                    <w:snapToGrid w:val="0"/>
                    <w:jc w:val="center"/>
                    <w:rPr>
                      <w:bCs/>
                      <w:color w:val="auto"/>
                      <w:szCs w:val="21"/>
                      <w:highlight w:val="none"/>
                    </w:rPr>
                  </w:pPr>
                  <w:r>
                    <w:rPr>
                      <w:bCs/>
                      <w:color w:val="auto"/>
                      <w:szCs w:val="21"/>
                      <w:highlight w:val="none"/>
                    </w:rPr>
                    <w:t>输入</w:t>
                  </w:r>
                </w:p>
              </w:tc>
              <w:tc>
                <w:tcPr>
                  <w:tcW w:w="3672" w:type="dxa"/>
                  <w:gridSpan w:val="2"/>
                  <w:tcBorders>
                    <w:tl2br w:val="nil"/>
                    <w:tr2bl w:val="nil"/>
                  </w:tcBorders>
                  <w:vAlign w:val="center"/>
                </w:tcPr>
                <w:p w14:paraId="5229938C">
                  <w:pPr>
                    <w:tabs>
                      <w:tab w:val="left" w:pos="2418"/>
                      <w:tab w:val="left" w:pos="4203"/>
                      <w:tab w:val="left" w:pos="5708"/>
                      <w:tab w:val="left" w:pos="7213"/>
                      <w:tab w:val="left" w:pos="8718"/>
                    </w:tabs>
                    <w:snapToGrid w:val="0"/>
                    <w:jc w:val="center"/>
                    <w:rPr>
                      <w:bCs/>
                      <w:color w:val="auto"/>
                      <w:szCs w:val="21"/>
                      <w:highlight w:val="none"/>
                    </w:rPr>
                  </w:pPr>
                  <w:r>
                    <w:rPr>
                      <w:bCs/>
                      <w:color w:val="auto"/>
                      <w:szCs w:val="21"/>
                      <w:highlight w:val="none"/>
                    </w:rPr>
                    <w:t>输出</w:t>
                  </w:r>
                </w:p>
              </w:tc>
            </w:tr>
            <w:tr w14:paraId="361249F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08" w:hRule="exact"/>
                <w:jc w:val="center"/>
              </w:trPr>
              <w:tc>
                <w:tcPr>
                  <w:tcW w:w="1150" w:type="dxa"/>
                  <w:tcBorders>
                    <w:tl2br w:val="nil"/>
                    <w:tr2bl w:val="nil"/>
                  </w:tcBorders>
                  <w:vAlign w:val="center"/>
                </w:tcPr>
                <w:p w14:paraId="600631D0">
                  <w:pPr>
                    <w:snapToGrid w:val="0"/>
                    <w:jc w:val="center"/>
                    <w:rPr>
                      <w:bCs/>
                      <w:color w:val="auto"/>
                      <w:szCs w:val="21"/>
                      <w:highlight w:val="none"/>
                    </w:rPr>
                  </w:pPr>
                  <w:r>
                    <w:rPr>
                      <w:rFonts w:hint="eastAsia"/>
                      <w:color w:val="auto"/>
                      <w:szCs w:val="21"/>
                      <w:highlight w:val="none"/>
                    </w:rPr>
                    <w:t>蔬菜类</w:t>
                  </w:r>
                </w:p>
              </w:tc>
              <w:tc>
                <w:tcPr>
                  <w:tcW w:w="2217" w:type="dxa"/>
                  <w:tcBorders>
                    <w:tl2br w:val="nil"/>
                    <w:tr2bl w:val="nil"/>
                  </w:tcBorders>
                  <w:vAlign w:val="center"/>
                </w:tcPr>
                <w:p w14:paraId="68B1F2C5">
                  <w:pPr>
                    <w:snapToGrid w:val="0"/>
                    <w:jc w:val="center"/>
                    <w:rPr>
                      <w:color w:val="auto"/>
                      <w:szCs w:val="21"/>
                      <w:highlight w:val="none"/>
                    </w:rPr>
                  </w:pPr>
                  <w:r>
                    <w:rPr>
                      <w:rFonts w:hint="eastAsia"/>
                      <w:color w:val="auto"/>
                      <w:szCs w:val="21"/>
                      <w:highlight w:val="none"/>
                    </w:rPr>
                    <w:t>萝卜、土豆、红薯、</w:t>
                  </w:r>
                </w:p>
                <w:p w14:paraId="0DBB5339">
                  <w:pPr>
                    <w:snapToGrid w:val="0"/>
                    <w:jc w:val="center"/>
                    <w:rPr>
                      <w:color w:val="auto"/>
                      <w:szCs w:val="21"/>
                      <w:highlight w:val="none"/>
                    </w:rPr>
                  </w:pPr>
                  <w:r>
                    <w:rPr>
                      <w:rFonts w:hint="eastAsia"/>
                      <w:color w:val="auto"/>
                      <w:szCs w:val="21"/>
                      <w:highlight w:val="none"/>
                    </w:rPr>
                    <w:t>紫薯、豇豆等）</w:t>
                  </w:r>
                </w:p>
              </w:tc>
              <w:tc>
                <w:tcPr>
                  <w:tcW w:w="1467" w:type="dxa"/>
                  <w:tcBorders>
                    <w:tl2br w:val="nil"/>
                    <w:tr2bl w:val="nil"/>
                  </w:tcBorders>
                  <w:vAlign w:val="center"/>
                </w:tcPr>
                <w:p w14:paraId="66747B82">
                  <w:pPr>
                    <w:keepNext w:val="0"/>
                    <w:keepLines w:val="0"/>
                    <w:widowControl/>
                    <w:suppressLineNumbers w:val="0"/>
                    <w:jc w:val="center"/>
                    <w:textAlignment w:val="center"/>
                    <w:rPr>
                      <w:color w:val="auto"/>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200</w:t>
                  </w:r>
                </w:p>
              </w:tc>
              <w:tc>
                <w:tcPr>
                  <w:tcW w:w="2038" w:type="dxa"/>
                  <w:tcBorders>
                    <w:tl2br w:val="nil"/>
                    <w:tr2bl w:val="nil"/>
                  </w:tcBorders>
                  <w:vAlign w:val="center"/>
                </w:tcPr>
                <w:p w14:paraId="1DB32736">
                  <w:pPr>
                    <w:jc w:val="center"/>
                    <w:rPr>
                      <w:bCs/>
                      <w:color w:val="auto"/>
                      <w:szCs w:val="21"/>
                      <w:highlight w:val="none"/>
                    </w:rPr>
                  </w:pPr>
                  <w:r>
                    <w:rPr>
                      <w:rFonts w:hint="eastAsia"/>
                      <w:color w:val="auto"/>
                      <w:szCs w:val="21"/>
                      <w:highlight w:val="none"/>
                    </w:rPr>
                    <w:t>果蔬脆片</w:t>
                  </w:r>
                </w:p>
              </w:tc>
              <w:tc>
                <w:tcPr>
                  <w:tcW w:w="1634" w:type="dxa"/>
                  <w:tcBorders>
                    <w:tl2br w:val="nil"/>
                    <w:tr2bl w:val="nil"/>
                  </w:tcBorders>
                  <w:vAlign w:val="center"/>
                </w:tcPr>
                <w:p w14:paraId="7CF3F531">
                  <w:pPr>
                    <w:keepNext w:val="0"/>
                    <w:keepLines w:val="0"/>
                    <w:widowControl/>
                    <w:suppressLineNumbers w:val="0"/>
                    <w:jc w:val="center"/>
                    <w:textAlignment w:val="center"/>
                    <w:rPr>
                      <w:bCs/>
                      <w:color w:val="auto"/>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60</w:t>
                  </w:r>
                </w:p>
              </w:tc>
            </w:tr>
            <w:tr w14:paraId="598DD08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9" w:hRule="exact"/>
                <w:jc w:val="center"/>
              </w:trPr>
              <w:tc>
                <w:tcPr>
                  <w:tcW w:w="1150" w:type="dxa"/>
                  <w:tcBorders>
                    <w:tl2br w:val="nil"/>
                    <w:tr2bl w:val="nil"/>
                  </w:tcBorders>
                  <w:vAlign w:val="center"/>
                </w:tcPr>
                <w:p w14:paraId="76AB872D">
                  <w:pPr>
                    <w:snapToGrid w:val="0"/>
                    <w:jc w:val="center"/>
                    <w:rPr>
                      <w:color w:val="auto"/>
                      <w:szCs w:val="21"/>
                      <w:highlight w:val="none"/>
                    </w:rPr>
                  </w:pPr>
                  <w:r>
                    <w:rPr>
                      <w:rFonts w:hint="eastAsia"/>
                      <w:color w:val="auto"/>
                      <w:szCs w:val="21"/>
                      <w:highlight w:val="none"/>
                    </w:rPr>
                    <w:t>水果类</w:t>
                  </w:r>
                </w:p>
              </w:tc>
              <w:tc>
                <w:tcPr>
                  <w:tcW w:w="2217" w:type="dxa"/>
                  <w:tcBorders>
                    <w:tl2br w:val="nil"/>
                    <w:tr2bl w:val="nil"/>
                  </w:tcBorders>
                  <w:vAlign w:val="center"/>
                </w:tcPr>
                <w:p w14:paraId="2D6DC761">
                  <w:pPr>
                    <w:snapToGrid w:val="0"/>
                    <w:jc w:val="center"/>
                    <w:rPr>
                      <w:color w:val="auto"/>
                      <w:szCs w:val="21"/>
                      <w:highlight w:val="none"/>
                    </w:rPr>
                  </w:pPr>
                  <w:r>
                    <w:rPr>
                      <w:rFonts w:hint="eastAsia"/>
                      <w:color w:val="auto"/>
                      <w:szCs w:val="21"/>
                      <w:highlight w:val="none"/>
                    </w:rPr>
                    <w:t>猕猴桃、水果、山楂等</w:t>
                  </w:r>
                </w:p>
              </w:tc>
              <w:tc>
                <w:tcPr>
                  <w:tcW w:w="1467" w:type="dxa"/>
                  <w:tcBorders>
                    <w:tl2br w:val="nil"/>
                    <w:tr2bl w:val="nil"/>
                  </w:tcBorders>
                  <w:vAlign w:val="center"/>
                </w:tcPr>
                <w:p w14:paraId="67869BCB">
                  <w:pPr>
                    <w:keepNext w:val="0"/>
                    <w:keepLines w:val="0"/>
                    <w:widowControl/>
                    <w:suppressLineNumbers w:val="0"/>
                    <w:jc w:val="center"/>
                    <w:textAlignment w:val="center"/>
                    <w:rPr>
                      <w:color w:val="auto"/>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501.2</w:t>
                  </w:r>
                </w:p>
              </w:tc>
              <w:tc>
                <w:tcPr>
                  <w:tcW w:w="2038" w:type="dxa"/>
                  <w:tcBorders>
                    <w:tl2br w:val="nil"/>
                    <w:tr2bl w:val="nil"/>
                  </w:tcBorders>
                  <w:vAlign w:val="center"/>
                </w:tcPr>
                <w:p w14:paraId="3213A67F">
                  <w:pPr>
                    <w:jc w:val="center"/>
                    <w:rPr>
                      <w:color w:val="auto"/>
                      <w:szCs w:val="21"/>
                      <w:highlight w:val="none"/>
                    </w:rPr>
                  </w:pPr>
                  <w:r>
                    <w:rPr>
                      <w:rFonts w:hint="eastAsia"/>
                      <w:color w:val="auto"/>
                      <w:szCs w:val="21"/>
                      <w:highlight w:val="none"/>
                    </w:rPr>
                    <w:t>果蔬干</w:t>
                  </w:r>
                </w:p>
              </w:tc>
              <w:tc>
                <w:tcPr>
                  <w:tcW w:w="1634" w:type="dxa"/>
                  <w:tcBorders>
                    <w:tl2br w:val="nil"/>
                    <w:tr2bl w:val="nil"/>
                  </w:tcBorders>
                  <w:vAlign w:val="center"/>
                </w:tcPr>
                <w:p w14:paraId="36E71142">
                  <w:pPr>
                    <w:keepNext w:val="0"/>
                    <w:keepLines w:val="0"/>
                    <w:widowControl/>
                    <w:suppressLineNumbers w:val="0"/>
                    <w:jc w:val="center"/>
                    <w:textAlignment w:val="center"/>
                    <w:rPr>
                      <w:bCs/>
                      <w:color w:val="auto"/>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500</w:t>
                  </w:r>
                </w:p>
              </w:tc>
            </w:tr>
            <w:tr w14:paraId="04521CA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6" w:hRule="exact"/>
                <w:jc w:val="center"/>
              </w:trPr>
              <w:tc>
                <w:tcPr>
                  <w:tcW w:w="1150" w:type="dxa"/>
                  <w:tcBorders>
                    <w:tl2br w:val="nil"/>
                    <w:tr2bl w:val="nil"/>
                  </w:tcBorders>
                  <w:vAlign w:val="center"/>
                </w:tcPr>
                <w:p w14:paraId="308532FE">
                  <w:pPr>
                    <w:snapToGrid w:val="0"/>
                    <w:jc w:val="center"/>
                    <w:rPr>
                      <w:color w:val="auto"/>
                      <w:szCs w:val="21"/>
                      <w:highlight w:val="none"/>
                    </w:rPr>
                  </w:pPr>
                  <w:r>
                    <w:rPr>
                      <w:rFonts w:hint="eastAsia"/>
                      <w:color w:val="auto"/>
                      <w:szCs w:val="21"/>
                      <w:highlight w:val="none"/>
                    </w:rPr>
                    <w:t>食用菌类</w:t>
                  </w:r>
                </w:p>
              </w:tc>
              <w:tc>
                <w:tcPr>
                  <w:tcW w:w="2217" w:type="dxa"/>
                  <w:tcBorders>
                    <w:tl2br w:val="nil"/>
                    <w:tr2bl w:val="nil"/>
                  </w:tcBorders>
                  <w:vAlign w:val="center"/>
                </w:tcPr>
                <w:p w14:paraId="0102085A">
                  <w:pPr>
                    <w:snapToGrid w:val="0"/>
                    <w:jc w:val="center"/>
                    <w:rPr>
                      <w:color w:val="auto"/>
                      <w:szCs w:val="21"/>
                      <w:highlight w:val="none"/>
                    </w:rPr>
                  </w:pPr>
                  <w:r>
                    <w:rPr>
                      <w:rFonts w:hint="eastAsia"/>
                      <w:color w:val="auto"/>
                      <w:szCs w:val="21"/>
                      <w:highlight w:val="none"/>
                    </w:rPr>
                    <w:t>香菇、木耳等</w:t>
                  </w:r>
                </w:p>
              </w:tc>
              <w:tc>
                <w:tcPr>
                  <w:tcW w:w="1467" w:type="dxa"/>
                  <w:tcBorders>
                    <w:tl2br w:val="nil"/>
                    <w:tr2bl w:val="nil"/>
                  </w:tcBorders>
                  <w:vAlign w:val="center"/>
                </w:tcPr>
                <w:p w14:paraId="46072283">
                  <w:pPr>
                    <w:keepNext w:val="0"/>
                    <w:keepLines w:val="0"/>
                    <w:widowControl/>
                    <w:suppressLineNumbers w:val="0"/>
                    <w:jc w:val="center"/>
                    <w:textAlignment w:val="center"/>
                    <w:rPr>
                      <w:bCs/>
                      <w:color w:val="auto"/>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1002.5</w:t>
                  </w:r>
                </w:p>
              </w:tc>
              <w:tc>
                <w:tcPr>
                  <w:tcW w:w="2038" w:type="dxa"/>
                  <w:tcBorders>
                    <w:tl2br w:val="nil"/>
                    <w:tr2bl w:val="nil"/>
                  </w:tcBorders>
                  <w:vAlign w:val="center"/>
                </w:tcPr>
                <w:p w14:paraId="1AC3CFD0">
                  <w:pPr>
                    <w:snapToGrid w:val="0"/>
                    <w:jc w:val="center"/>
                    <w:rPr>
                      <w:bCs/>
                      <w:color w:val="auto"/>
                      <w:szCs w:val="21"/>
                      <w:highlight w:val="none"/>
                    </w:rPr>
                  </w:pPr>
                  <w:r>
                    <w:rPr>
                      <w:rFonts w:hint="eastAsia"/>
                      <w:color w:val="auto"/>
                      <w:szCs w:val="21"/>
                      <w:highlight w:val="none"/>
                    </w:rPr>
                    <w:t>净菜</w:t>
                  </w:r>
                </w:p>
              </w:tc>
              <w:tc>
                <w:tcPr>
                  <w:tcW w:w="1634" w:type="dxa"/>
                  <w:tcBorders>
                    <w:tl2br w:val="nil"/>
                    <w:tr2bl w:val="nil"/>
                  </w:tcBorders>
                  <w:vAlign w:val="center"/>
                </w:tcPr>
                <w:p w14:paraId="650823CB">
                  <w:pPr>
                    <w:keepNext w:val="0"/>
                    <w:keepLines w:val="0"/>
                    <w:widowControl/>
                    <w:suppressLineNumbers w:val="0"/>
                    <w:jc w:val="center"/>
                    <w:textAlignment w:val="center"/>
                    <w:rPr>
                      <w:bCs/>
                      <w:color w:val="auto"/>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1000</w:t>
                  </w:r>
                </w:p>
              </w:tc>
            </w:tr>
            <w:tr w14:paraId="61ACDB5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9" w:hRule="exact"/>
                <w:jc w:val="center"/>
              </w:trPr>
              <w:tc>
                <w:tcPr>
                  <w:tcW w:w="3367" w:type="dxa"/>
                  <w:gridSpan w:val="2"/>
                  <w:tcBorders>
                    <w:tl2br w:val="nil"/>
                    <w:tr2bl w:val="nil"/>
                  </w:tcBorders>
                  <w:vAlign w:val="center"/>
                </w:tcPr>
                <w:p w14:paraId="5D2220D0">
                  <w:pPr>
                    <w:snapToGrid w:val="0"/>
                    <w:jc w:val="center"/>
                    <w:rPr>
                      <w:color w:val="auto"/>
                      <w:szCs w:val="21"/>
                      <w:highlight w:val="none"/>
                    </w:rPr>
                  </w:pPr>
                  <w:r>
                    <w:rPr>
                      <w:rFonts w:hint="eastAsia"/>
                      <w:color w:val="auto"/>
                      <w:szCs w:val="21"/>
                      <w:highlight w:val="none"/>
                    </w:rPr>
                    <w:t>食用油</w:t>
                  </w:r>
                </w:p>
              </w:tc>
              <w:tc>
                <w:tcPr>
                  <w:tcW w:w="1467" w:type="dxa"/>
                  <w:tcBorders>
                    <w:tl2br w:val="nil"/>
                    <w:tr2bl w:val="nil"/>
                  </w:tcBorders>
                  <w:vAlign w:val="center"/>
                </w:tcPr>
                <w:p w14:paraId="0151A5DB">
                  <w:pPr>
                    <w:keepNext w:val="0"/>
                    <w:keepLines w:val="0"/>
                    <w:widowControl/>
                    <w:suppressLineNumbers w:val="0"/>
                    <w:jc w:val="center"/>
                    <w:textAlignment w:val="center"/>
                    <w:rPr>
                      <w:color w:val="auto"/>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5</w:t>
                  </w:r>
                </w:p>
              </w:tc>
              <w:tc>
                <w:tcPr>
                  <w:tcW w:w="2038" w:type="dxa"/>
                  <w:tcBorders>
                    <w:tl2br w:val="nil"/>
                    <w:tr2bl w:val="nil"/>
                  </w:tcBorders>
                  <w:vAlign w:val="center"/>
                </w:tcPr>
                <w:p w14:paraId="34547151">
                  <w:pPr>
                    <w:snapToGrid w:val="0"/>
                    <w:jc w:val="center"/>
                    <w:rPr>
                      <w:color w:val="auto"/>
                      <w:szCs w:val="21"/>
                      <w:highlight w:val="none"/>
                    </w:rPr>
                  </w:pPr>
                  <w:r>
                    <w:rPr>
                      <w:rFonts w:hint="eastAsia"/>
                      <w:color w:val="auto"/>
                      <w:szCs w:val="21"/>
                      <w:highlight w:val="none"/>
                    </w:rPr>
                    <w:t>油烟</w:t>
                  </w:r>
                </w:p>
              </w:tc>
              <w:tc>
                <w:tcPr>
                  <w:tcW w:w="1634" w:type="dxa"/>
                  <w:tcBorders>
                    <w:tl2br w:val="nil"/>
                    <w:tr2bl w:val="nil"/>
                  </w:tcBorders>
                  <w:vAlign w:val="center"/>
                </w:tcPr>
                <w:p w14:paraId="268BF118">
                  <w:pPr>
                    <w:keepNext w:val="0"/>
                    <w:keepLines w:val="0"/>
                    <w:widowControl/>
                    <w:suppressLineNumbers w:val="0"/>
                    <w:jc w:val="center"/>
                    <w:textAlignment w:val="center"/>
                    <w:rPr>
                      <w:rFonts w:hint="default" w:eastAsia="宋体"/>
                      <w:color w:val="auto"/>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0.153</w:t>
                  </w:r>
                </w:p>
              </w:tc>
            </w:tr>
            <w:tr w14:paraId="5CE93B1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3" w:hRule="exact"/>
                <w:jc w:val="center"/>
              </w:trPr>
              <w:tc>
                <w:tcPr>
                  <w:tcW w:w="3367" w:type="dxa"/>
                  <w:gridSpan w:val="2"/>
                  <w:tcBorders>
                    <w:tl2br w:val="nil"/>
                    <w:tr2bl w:val="nil"/>
                  </w:tcBorders>
                  <w:vAlign w:val="center"/>
                </w:tcPr>
                <w:p w14:paraId="3F671127">
                  <w:pPr>
                    <w:snapToGrid w:val="0"/>
                    <w:jc w:val="center"/>
                    <w:rPr>
                      <w:color w:val="auto"/>
                      <w:szCs w:val="21"/>
                      <w:highlight w:val="none"/>
                    </w:rPr>
                  </w:pPr>
                  <w:r>
                    <w:rPr>
                      <w:rFonts w:hint="eastAsia"/>
                      <w:color w:val="auto"/>
                      <w:szCs w:val="21"/>
                      <w:highlight w:val="none"/>
                    </w:rPr>
                    <w:t>食用糖</w:t>
                  </w:r>
                </w:p>
              </w:tc>
              <w:tc>
                <w:tcPr>
                  <w:tcW w:w="1467" w:type="dxa"/>
                  <w:tcBorders>
                    <w:tl2br w:val="nil"/>
                    <w:tr2bl w:val="nil"/>
                  </w:tcBorders>
                  <w:vAlign w:val="center"/>
                </w:tcPr>
                <w:p w14:paraId="7009C90D">
                  <w:pPr>
                    <w:keepNext w:val="0"/>
                    <w:keepLines w:val="0"/>
                    <w:widowControl/>
                    <w:suppressLineNumbers w:val="0"/>
                    <w:jc w:val="center"/>
                    <w:textAlignment w:val="center"/>
                    <w:rPr>
                      <w:color w:val="auto"/>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0.05</w:t>
                  </w:r>
                </w:p>
              </w:tc>
              <w:tc>
                <w:tcPr>
                  <w:tcW w:w="2038" w:type="dxa"/>
                  <w:tcBorders>
                    <w:tl2br w:val="nil"/>
                    <w:tr2bl w:val="nil"/>
                  </w:tcBorders>
                  <w:vAlign w:val="center"/>
                </w:tcPr>
                <w:p w14:paraId="4272E74B">
                  <w:pPr>
                    <w:spacing w:before="48" w:beforeLines="20" w:after="48" w:afterLines="20"/>
                    <w:jc w:val="center"/>
                    <w:rPr>
                      <w:rFonts w:hint="default" w:eastAsia="宋体"/>
                      <w:color w:val="auto"/>
                      <w:szCs w:val="21"/>
                      <w:highlight w:val="none"/>
                      <w:lang w:val="en-US" w:eastAsia="zh-CN"/>
                    </w:rPr>
                  </w:pPr>
                  <w:r>
                    <w:rPr>
                      <w:rFonts w:hint="eastAsia"/>
                      <w:bCs/>
                      <w:color w:val="auto"/>
                      <w:szCs w:val="21"/>
                      <w:highlight w:val="none"/>
                      <w:lang w:eastAsia="zh-CN"/>
                    </w:rPr>
                    <w:t>果蔬皮</w:t>
                  </w:r>
                  <w:r>
                    <w:rPr>
                      <w:rFonts w:hint="eastAsia"/>
                      <w:bCs/>
                      <w:color w:val="auto"/>
                      <w:szCs w:val="21"/>
                      <w:highlight w:val="none"/>
                      <w:lang w:val="en-US" w:eastAsia="zh-CN"/>
                    </w:rPr>
                    <w:t>+不合格品</w:t>
                  </w:r>
                </w:p>
              </w:tc>
              <w:tc>
                <w:tcPr>
                  <w:tcW w:w="1634" w:type="dxa"/>
                  <w:tcBorders>
                    <w:tl2br w:val="nil"/>
                    <w:tr2bl w:val="nil"/>
                  </w:tcBorders>
                  <w:vAlign w:val="center"/>
                </w:tcPr>
                <w:p w14:paraId="4D1FED8E">
                  <w:pPr>
                    <w:keepNext w:val="0"/>
                    <w:keepLines w:val="0"/>
                    <w:widowControl/>
                    <w:suppressLineNumbers w:val="0"/>
                    <w:jc w:val="center"/>
                    <w:textAlignment w:val="center"/>
                    <w:rPr>
                      <w:color w:val="auto"/>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23.512</w:t>
                  </w:r>
                </w:p>
              </w:tc>
            </w:tr>
            <w:tr w14:paraId="736A45D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3367" w:type="dxa"/>
                  <w:gridSpan w:val="2"/>
                  <w:tcBorders>
                    <w:tl2br w:val="nil"/>
                    <w:tr2bl w:val="nil"/>
                  </w:tcBorders>
                  <w:vAlign w:val="center"/>
                </w:tcPr>
                <w:p w14:paraId="7A8D181A">
                  <w:pPr>
                    <w:snapToGrid w:val="0"/>
                    <w:jc w:val="center"/>
                    <w:rPr>
                      <w:color w:val="auto"/>
                      <w:szCs w:val="21"/>
                      <w:highlight w:val="none"/>
                    </w:rPr>
                  </w:pPr>
                  <w:r>
                    <w:rPr>
                      <w:rFonts w:hint="eastAsia"/>
                      <w:color w:val="auto"/>
                      <w:szCs w:val="21"/>
                      <w:highlight w:val="none"/>
                    </w:rPr>
                    <w:t>食用盐</w:t>
                  </w:r>
                </w:p>
              </w:tc>
              <w:tc>
                <w:tcPr>
                  <w:tcW w:w="1467" w:type="dxa"/>
                  <w:tcBorders>
                    <w:tl2br w:val="nil"/>
                    <w:tr2bl w:val="nil"/>
                  </w:tcBorders>
                  <w:vAlign w:val="center"/>
                </w:tcPr>
                <w:p w14:paraId="11E29E7A">
                  <w:pPr>
                    <w:keepNext w:val="0"/>
                    <w:keepLines w:val="0"/>
                    <w:widowControl/>
                    <w:suppressLineNumbers w:val="0"/>
                    <w:jc w:val="center"/>
                    <w:textAlignment w:val="center"/>
                    <w:rPr>
                      <w:bCs/>
                      <w:color w:val="auto"/>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0.05</w:t>
                  </w:r>
                </w:p>
              </w:tc>
              <w:tc>
                <w:tcPr>
                  <w:tcW w:w="2038" w:type="dxa"/>
                  <w:tcBorders>
                    <w:tl2br w:val="nil"/>
                    <w:tr2bl w:val="nil"/>
                  </w:tcBorders>
                  <w:vAlign w:val="center"/>
                </w:tcPr>
                <w:p w14:paraId="3DE659B4">
                  <w:pPr>
                    <w:spacing w:before="48" w:beforeLines="20" w:after="48" w:afterLines="20"/>
                    <w:jc w:val="center"/>
                    <w:rPr>
                      <w:bCs/>
                      <w:color w:val="auto"/>
                      <w:szCs w:val="21"/>
                      <w:highlight w:val="none"/>
                    </w:rPr>
                  </w:pPr>
                  <w:r>
                    <w:rPr>
                      <w:rFonts w:hint="eastAsia"/>
                      <w:bCs/>
                      <w:color w:val="auto"/>
                      <w:szCs w:val="21"/>
                      <w:highlight w:val="none"/>
                    </w:rPr>
                    <w:t>废油脂</w:t>
                  </w:r>
                </w:p>
              </w:tc>
              <w:tc>
                <w:tcPr>
                  <w:tcW w:w="1634" w:type="dxa"/>
                  <w:tcBorders>
                    <w:tl2br w:val="nil"/>
                    <w:tr2bl w:val="nil"/>
                  </w:tcBorders>
                  <w:vAlign w:val="center"/>
                </w:tcPr>
                <w:p w14:paraId="490C2EC0">
                  <w:pPr>
                    <w:keepNext w:val="0"/>
                    <w:keepLines w:val="0"/>
                    <w:widowControl/>
                    <w:suppressLineNumbers w:val="0"/>
                    <w:jc w:val="center"/>
                    <w:textAlignment w:val="center"/>
                    <w:rPr>
                      <w:bCs/>
                      <w:color w:val="auto"/>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0.135</w:t>
                  </w:r>
                </w:p>
              </w:tc>
            </w:tr>
            <w:tr w14:paraId="6D67337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3367" w:type="dxa"/>
                  <w:gridSpan w:val="2"/>
                  <w:tcBorders>
                    <w:tl2br w:val="nil"/>
                    <w:tr2bl w:val="nil"/>
                  </w:tcBorders>
                  <w:vAlign w:val="center"/>
                </w:tcPr>
                <w:p w14:paraId="4F06AEAF">
                  <w:pPr>
                    <w:snapToGrid w:val="0"/>
                    <w:jc w:val="center"/>
                    <w:rPr>
                      <w:color w:val="auto"/>
                      <w:szCs w:val="21"/>
                      <w:highlight w:val="none"/>
                    </w:rPr>
                  </w:pPr>
                  <w:r>
                    <w:rPr>
                      <w:rFonts w:hint="eastAsia"/>
                      <w:color w:val="auto"/>
                      <w:szCs w:val="21"/>
                      <w:highlight w:val="none"/>
                    </w:rPr>
                    <w:t>水（浸渍+漂烫）</w:t>
                  </w:r>
                </w:p>
              </w:tc>
              <w:tc>
                <w:tcPr>
                  <w:tcW w:w="1467" w:type="dxa"/>
                  <w:tcBorders>
                    <w:tl2br w:val="nil"/>
                    <w:tr2bl w:val="nil"/>
                  </w:tcBorders>
                  <w:vAlign w:val="center"/>
                </w:tcPr>
                <w:p w14:paraId="4E685E65">
                  <w:pPr>
                    <w:keepNext w:val="0"/>
                    <w:keepLines w:val="0"/>
                    <w:widowControl/>
                    <w:suppressLineNumbers w:val="0"/>
                    <w:jc w:val="center"/>
                    <w:textAlignment w:val="center"/>
                    <w:rPr>
                      <w:bCs/>
                      <w:color w:val="auto"/>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315</w:t>
                  </w:r>
                </w:p>
              </w:tc>
              <w:tc>
                <w:tcPr>
                  <w:tcW w:w="2038" w:type="dxa"/>
                  <w:tcBorders>
                    <w:tl2br w:val="nil"/>
                    <w:tr2bl w:val="nil"/>
                  </w:tcBorders>
                  <w:vAlign w:val="center"/>
                </w:tcPr>
                <w:p w14:paraId="14FA14F9">
                  <w:pPr>
                    <w:spacing w:before="48" w:beforeLines="20" w:after="48" w:afterLines="20"/>
                    <w:jc w:val="center"/>
                    <w:rPr>
                      <w:bCs/>
                      <w:color w:val="auto"/>
                      <w:szCs w:val="21"/>
                      <w:highlight w:val="none"/>
                    </w:rPr>
                  </w:pPr>
                  <w:r>
                    <w:rPr>
                      <w:rFonts w:hint="eastAsia"/>
                      <w:bCs/>
                      <w:color w:val="auto"/>
                      <w:szCs w:val="21"/>
                      <w:highlight w:val="none"/>
                    </w:rPr>
                    <w:t>蒸发损耗水</w:t>
                  </w:r>
                </w:p>
              </w:tc>
              <w:tc>
                <w:tcPr>
                  <w:tcW w:w="1634" w:type="dxa"/>
                  <w:tcBorders>
                    <w:tl2br w:val="nil"/>
                    <w:tr2bl w:val="nil"/>
                  </w:tcBorders>
                  <w:vAlign w:val="center"/>
                </w:tcPr>
                <w:p w14:paraId="5903447C">
                  <w:pPr>
                    <w:keepNext w:val="0"/>
                    <w:keepLines w:val="0"/>
                    <w:widowControl/>
                    <w:suppressLineNumbers w:val="0"/>
                    <w:jc w:val="center"/>
                    <w:textAlignment w:val="center"/>
                    <w:rPr>
                      <w:bCs/>
                      <w:color w:val="auto"/>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440</w:t>
                  </w:r>
                </w:p>
              </w:tc>
            </w:tr>
            <w:tr w14:paraId="405407A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3367" w:type="dxa"/>
                  <w:gridSpan w:val="2"/>
                  <w:tcBorders>
                    <w:tl2br w:val="nil"/>
                    <w:tr2bl w:val="nil"/>
                  </w:tcBorders>
                  <w:vAlign w:val="center"/>
                </w:tcPr>
                <w:p w14:paraId="2B2D738F">
                  <w:pPr>
                    <w:tabs>
                      <w:tab w:val="left" w:pos="2418"/>
                      <w:tab w:val="left" w:pos="4203"/>
                      <w:tab w:val="left" w:pos="5708"/>
                      <w:tab w:val="left" w:pos="7213"/>
                      <w:tab w:val="left" w:pos="8718"/>
                    </w:tabs>
                    <w:snapToGrid w:val="0"/>
                    <w:spacing w:before="72" w:beforeLines="30" w:after="72" w:afterLines="30"/>
                    <w:jc w:val="center"/>
                    <w:rPr>
                      <w:color w:val="auto"/>
                      <w:szCs w:val="21"/>
                      <w:highlight w:val="none"/>
                    </w:rPr>
                  </w:pPr>
                  <w:r>
                    <w:rPr>
                      <w:bCs/>
                      <w:color w:val="auto"/>
                      <w:szCs w:val="21"/>
                      <w:highlight w:val="none"/>
                    </w:rPr>
                    <w:t>总计</w:t>
                  </w:r>
                </w:p>
              </w:tc>
              <w:tc>
                <w:tcPr>
                  <w:tcW w:w="1467" w:type="dxa"/>
                  <w:tcBorders>
                    <w:tl2br w:val="nil"/>
                    <w:tr2bl w:val="nil"/>
                  </w:tcBorders>
                  <w:vAlign w:val="center"/>
                </w:tcPr>
                <w:p w14:paraId="09B6F205">
                  <w:pPr>
                    <w:spacing w:before="72" w:beforeLines="30" w:after="72" w:afterLines="30"/>
                    <w:jc w:val="center"/>
                    <w:rPr>
                      <w:rFonts w:hint="default" w:eastAsia="宋体"/>
                      <w:bCs/>
                      <w:color w:val="auto"/>
                      <w:szCs w:val="21"/>
                      <w:highlight w:val="none"/>
                      <w:lang w:val="en-US" w:eastAsia="zh-CN"/>
                    </w:rPr>
                  </w:pPr>
                  <w:r>
                    <w:rPr>
                      <w:rFonts w:hint="eastAsia"/>
                      <w:bCs/>
                      <w:color w:val="auto"/>
                      <w:szCs w:val="21"/>
                      <w:highlight w:val="none"/>
                      <w:lang w:val="en-US" w:eastAsia="zh-CN"/>
                    </w:rPr>
                    <w:t>2023.8</w:t>
                  </w:r>
                </w:p>
              </w:tc>
              <w:tc>
                <w:tcPr>
                  <w:tcW w:w="2038" w:type="dxa"/>
                  <w:tcBorders>
                    <w:tl2br w:val="nil"/>
                    <w:tr2bl w:val="nil"/>
                  </w:tcBorders>
                  <w:vAlign w:val="center"/>
                </w:tcPr>
                <w:p w14:paraId="4A6F5EB7">
                  <w:pPr>
                    <w:tabs>
                      <w:tab w:val="left" w:pos="2418"/>
                      <w:tab w:val="left" w:pos="4203"/>
                      <w:tab w:val="left" w:pos="5708"/>
                      <w:tab w:val="left" w:pos="7213"/>
                      <w:tab w:val="left" w:pos="8718"/>
                    </w:tabs>
                    <w:snapToGrid w:val="0"/>
                    <w:spacing w:before="72" w:beforeLines="30" w:after="72" w:afterLines="30"/>
                    <w:jc w:val="center"/>
                    <w:rPr>
                      <w:bCs/>
                      <w:color w:val="auto"/>
                      <w:szCs w:val="21"/>
                      <w:highlight w:val="none"/>
                    </w:rPr>
                  </w:pPr>
                  <w:r>
                    <w:rPr>
                      <w:bCs/>
                      <w:color w:val="auto"/>
                      <w:szCs w:val="21"/>
                      <w:highlight w:val="none"/>
                    </w:rPr>
                    <w:t>总计</w:t>
                  </w:r>
                </w:p>
              </w:tc>
              <w:tc>
                <w:tcPr>
                  <w:tcW w:w="1634" w:type="dxa"/>
                  <w:tcBorders>
                    <w:tl2br w:val="nil"/>
                    <w:tr2bl w:val="nil"/>
                  </w:tcBorders>
                  <w:vAlign w:val="center"/>
                </w:tcPr>
                <w:p w14:paraId="2D917576">
                  <w:pPr>
                    <w:tabs>
                      <w:tab w:val="left" w:pos="2418"/>
                      <w:tab w:val="left" w:pos="4203"/>
                      <w:tab w:val="left" w:pos="5708"/>
                      <w:tab w:val="left" w:pos="7213"/>
                      <w:tab w:val="left" w:pos="8718"/>
                    </w:tabs>
                    <w:snapToGrid w:val="0"/>
                    <w:spacing w:before="72" w:beforeLines="30" w:after="72" w:afterLines="30"/>
                    <w:jc w:val="center"/>
                    <w:rPr>
                      <w:rFonts w:hint="default" w:eastAsia="宋体"/>
                      <w:bCs/>
                      <w:color w:val="auto"/>
                      <w:szCs w:val="21"/>
                      <w:highlight w:val="none"/>
                      <w:lang w:val="en-US" w:eastAsia="zh-CN"/>
                    </w:rPr>
                  </w:pPr>
                  <w:r>
                    <w:rPr>
                      <w:rFonts w:hint="eastAsia"/>
                      <w:bCs/>
                      <w:color w:val="auto"/>
                      <w:szCs w:val="21"/>
                      <w:highlight w:val="none"/>
                      <w:lang w:val="en-US" w:eastAsia="zh-CN"/>
                    </w:rPr>
                    <w:t>2023.8</w:t>
                  </w:r>
                </w:p>
              </w:tc>
            </w:tr>
            <w:tr w14:paraId="5019D60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8506" w:type="dxa"/>
                  <w:gridSpan w:val="5"/>
                  <w:tcBorders>
                    <w:tl2br w:val="nil"/>
                    <w:tr2bl w:val="nil"/>
                  </w:tcBorders>
                  <w:vAlign w:val="center"/>
                </w:tcPr>
                <w:p w14:paraId="48E5D90F">
                  <w:pPr>
                    <w:tabs>
                      <w:tab w:val="left" w:pos="2418"/>
                      <w:tab w:val="left" w:pos="4203"/>
                      <w:tab w:val="left" w:pos="5708"/>
                      <w:tab w:val="left" w:pos="7213"/>
                      <w:tab w:val="left" w:pos="8718"/>
                    </w:tabs>
                    <w:snapToGrid w:val="0"/>
                    <w:spacing w:before="72" w:beforeLines="30" w:after="72" w:afterLines="30"/>
                    <w:jc w:val="both"/>
                    <w:rPr>
                      <w:rFonts w:hint="eastAsia"/>
                      <w:bCs/>
                      <w:color w:val="auto"/>
                      <w:szCs w:val="21"/>
                      <w:highlight w:val="none"/>
                      <w:lang w:val="en-US" w:eastAsia="zh-CN"/>
                    </w:rPr>
                  </w:pPr>
                  <w:r>
                    <w:rPr>
                      <w:rFonts w:hint="eastAsia"/>
                      <w:bCs/>
                      <w:color w:val="auto"/>
                      <w:szCs w:val="21"/>
                      <w:highlight w:val="none"/>
                      <w:lang w:val="en-US" w:eastAsia="zh-CN"/>
                    </w:rPr>
                    <w:t>注：去皮清洗产生的少量杂质（尘+泥）随废水一同进入污水处理站，表中不进行列举。</w:t>
                  </w:r>
                </w:p>
              </w:tc>
            </w:tr>
          </w:tbl>
          <w:p w14:paraId="72B799EA">
            <w:pPr>
              <w:adjustRightInd w:val="0"/>
              <w:snapToGrid w:val="0"/>
              <w:spacing w:line="360" w:lineRule="auto"/>
              <w:ind w:firstLine="480" w:firstLineChars="200"/>
              <w:jc w:val="left"/>
              <w:rPr>
                <w:bCs/>
                <w:color w:val="auto"/>
                <w:sz w:val="24"/>
                <w:highlight w:val="none"/>
              </w:rPr>
            </w:pPr>
            <w:r>
              <w:rPr>
                <w:rFonts w:hint="eastAsia"/>
                <w:bCs/>
                <w:color w:val="auto"/>
                <w:sz w:val="24"/>
                <w:highlight w:val="none"/>
              </w:rPr>
              <w:t>10、厂区平面布置</w:t>
            </w:r>
          </w:p>
          <w:p w14:paraId="0898A1F1">
            <w:pPr>
              <w:pStyle w:val="46"/>
              <w:spacing w:line="360" w:lineRule="auto"/>
              <w:ind w:firstLine="480" w:firstLineChars="200"/>
              <w:jc w:val="both"/>
              <w:rPr>
                <w:bCs/>
                <w:color w:val="auto"/>
                <w:highlight w:val="none"/>
              </w:rPr>
            </w:pPr>
            <w:r>
              <w:rPr>
                <w:rFonts w:hint="eastAsia" w:ascii="Times New Roman" w:cs="Times New Roman"/>
                <w:bCs/>
                <w:color w:val="auto"/>
                <w:highlight w:val="none"/>
              </w:rPr>
              <w:t>根据现场调查，厂区出入口位于北侧，连接有村道以及G108，便于</w:t>
            </w:r>
            <w:r>
              <w:rPr>
                <w:rFonts w:hint="eastAsia"/>
                <w:bCs/>
                <w:color w:val="auto"/>
                <w:highlight w:val="none"/>
              </w:rPr>
              <w:t>原料及产品运输。厂区北部分布有成品库房、生活休息区、食堂和材料暂存区，西部为包装区和污水处理站，南部为生产厂房和冷库，中部为回车区和厂区道路。</w:t>
            </w:r>
          </w:p>
          <w:p w14:paraId="62895ECF">
            <w:pPr>
              <w:pStyle w:val="46"/>
              <w:spacing w:line="360" w:lineRule="auto"/>
              <w:ind w:firstLine="480" w:firstLineChars="200"/>
              <w:jc w:val="both"/>
              <w:rPr>
                <w:bCs/>
                <w:color w:val="auto"/>
                <w:highlight w:val="none"/>
              </w:rPr>
            </w:pPr>
            <w:r>
              <w:rPr>
                <w:rFonts w:hint="eastAsia"/>
                <w:bCs/>
                <w:color w:val="auto"/>
                <w:highlight w:val="none"/>
              </w:rPr>
              <w:t>综上，厂区布置考虑了生产工序的连贯性，物料暂存和运输的便捷性等，整体而言，布局合理（详见附图</w:t>
            </w:r>
            <w:r>
              <w:rPr>
                <w:rFonts w:hint="eastAsia" w:ascii="Times New Roman" w:cs="Times New Roman"/>
                <w:bCs/>
                <w:color w:val="auto"/>
                <w:kern w:val="2"/>
                <w:highlight w:val="none"/>
              </w:rPr>
              <w:t>5</w:t>
            </w:r>
            <w:r>
              <w:rPr>
                <w:rFonts w:hint="eastAsia"/>
                <w:bCs/>
                <w:color w:val="auto"/>
                <w:highlight w:val="none"/>
              </w:rPr>
              <w:t>）。</w:t>
            </w:r>
          </w:p>
        </w:tc>
      </w:tr>
      <w:tr w14:paraId="2C85248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56" w:type="dxa"/>
            <w:vAlign w:val="center"/>
          </w:tcPr>
          <w:p w14:paraId="6A13A2E0">
            <w:pPr>
              <w:pStyle w:val="29"/>
              <w:adjustRightInd w:val="0"/>
              <w:snapToGrid w:val="0"/>
              <w:spacing w:before="0" w:beforeAutospacing="0" w:after="0" w:afterAutospacing="0"/>
              <w:jc w:val="both"/>
              <w:rPr>
                <w:rFonts w:cs="宋体"/>
                <w:color w:val="auto"/>
                <w:szCs w:val="24"/>
                <w:highlight w:val="none"/>
              </w:rPr>
            </w:pPr>
            <w:r>
              <w:rPr>
                <w:rFonts w:hint="eastAsia" w:cs="宋体"/>
                <w:color w:val="auto"/>
                <w:szCs w:val="24"/>
                <w:highlight w:val="none"/>
              </w:rPr>
              <w:t>工艺流程和产排污环节</w:t>
            </w:r>
          </w:p>
          <w:p w14:paraId="0E5C6729">
            <w:pPr>
              <w:pStyle w:val="29"/>
              <w:adjustRightInd w:val="0"/>
              <w:snapToGrid w:val="0"/>
              <w:spacing w:before="0" w:beforeAutospacing="0" w:after="0" w:afterAutospacing="0"/>
              <w:jc w:val="center"/>
              <w:rPr>
                <w:rFonts w:cs="宋体"/>
                <w:color w:val="auto"/>
                <w:szCs w:val="24"/>
                <w:highlight w:val="none"/>
              </w:rPr>
            </w:pPr>
          </w:p>
          <w:p w14:paraId="09EE4612">
            <w:pPr>
              <w:pStyle w:val="29"/>
              <w:adjustRightInd w:val="0"/>
              <w:snapToGrid w:val="0"/>
              <w:spacing w:before="0" w:beforeAutospacing="0" w:after="0" w:afterAutospacing="0"/>
              <w:jc w:val="both"/>
              <w:rPr>
                <w:rFonts w:cs="宋体"/>
                <w:color w:val="auto"/>
                <w:szCs w:val="24"/>
                <w:highlight w:val="none"/>
              </w:rPr>
            </w:pPr>
          </w:p>
        </w:tc>
        <w:tc>
          <w:tcPr>
            <w:tcW w:w="8604" w:type="dxa"/>
          </w:tcPr>
          <w:p w14:paraId="1502E088">
            <w:pPr>
              <w:adjustRightInd w:val="0"/>
              <w:snapToGrid w:val="0"/>
              <w:spacing w:line="360" w:lineRule="auto"/>
              <w:ind w:firstLine="482" w:firstLineChars="200"/>
              <w:rPr>
                <w:b/>
                <w:color w:val="auto"/>
                <w:sz w:val="24"/>
                <w:highlight w:val="none"/>
              </w:rPr>
            </w:pPr>
            <w:r>
              <w:rPr>
                <w:rFonts w:hint="eastAsia"/>
                <w:b/>
                <w:color w:val="auto"/>
                <w:sz w:val="24"/>
                <w:highlight w:val="none"/>
              </w:rPr>
              <w:t>（一）施工期工艺流程及产污环节</w:t>
            </w:r>
          </w:p>
          <w:p w14:paraId="2A6C7987">
            <w:pPr>
              <w:adjustRightInd w:val="0"/>
              <w:snapToGrid w:val="0"/>
              <w:spacing w:line="360" w:lineRule="auto"/>
              <w:ind w:firstLine="480" w:firstLineChars="200"/>
              <w:jc w:val="left"/>
              <w:rPr>
                <w:rFonts w:cs="宋体"/>
                <w:color w:val="auto"/>
                <w:sz w:val="24"/>
                <w:highlight w:val="none"/>
              </w:rPr>
            </w:pPr>
            <w:r>
              <w:rPr>
                <w:rFonts w:hint="eastAsia"/>
                <w:bCs/>
                <w:color w:val="auto"/>
                <w:sz w:val="24"/>
                <w:highlight w:val="none"/>
              </w:rPr>
              <w:t>经现场调查，厂区地面已完成硬化，生活区、生产区和包装区等主体已搭建完成，后期需进行污水处理站建设、设备安装、厂房及包装区封闭等工程。</w:t>
            </w:r>
            <w:r>
              <w:rPr>
                <w:rFonts w:hint="eastAsia" w:cs="宋体"/>
                <w:color w:val="auto"/>
                <w:sz w:val="24"/>
                <w:highlight w:val="none"/>
              </w:rPr>
              <w:t>项目施工期主要流程及产污环节见下图：</w:t>
            </w:r>
          </w:p>
          <w:p w14:paraId="1E7F0BC2">
            <w:pPr>
              <w:adjustRightInd w:val="0"/>
              <w:snapToGrid w:val="0"/>
              <w:spacing w:line="360" w:lineRule="auto"/>
              <w:jc w:val="center"/>
              <w:rPr>
                <w:bCs/>
                <w:color w:val="auto"/>
                <w:sz w:val="24"/>
                <w:highlight w:val="none"/>
              </w:rPr>
            </w:pPr>
            <w:r>
              <w:rPr>
                <w:rFonts w:hint="eastAsia"/>
                <w:bCs/>
                <w:color w:val="auto"/>
                <w:sz w:val="24"/>
                <w:highlight w:val="none"/>
              </w:rPr>
              <w:object>
                <v:shape id="_x0000_i1026" o:spt="75" type="#_x0000_t75" style="height:112.5pt;width:390.75pt;" o:ole="t" filled="f" o:preferrelative="t" stroked="f" coordsize="21600,21600">
                  <v:path/>
                  <v:fill on="f" focussize="0,0"/>
                  <v:stroke on="f" joinstyle="miter"/>
                  <v:imagedata r:id="rId13" o:title=""/>
                  <o:lock v:ext="edit" aspectratio="f"/>
                  <w10:wrap type="none"/>
                  <w10:anchorlock/>
                </v:shape>
                <o:OLEObject Type="Embed" ProgID="Visio.Drawing.11" ShapeID="_x0000_i1026" DrawAspect="Content" ObjectID="_1468075726" r:id="rId12">
                  <o:LockedField>false</o:LockedField>
                </o:OLEObject>
              </w:object>
            </w:r>
          </w:p>
          <w:p w14:paraId="0AF2D18B">
            <w:pPr>
              <w:pStyle w:val="11"/>
              <w:ind w:left="0" w:leftChars="0"/>
              <w:jc w:val="center"/>
              <w:rPr>
                <w:color w:val="auto"/>
                <w:highlight w:val="none"/>
              </w:rPr>
            </w:pPr>
            <w:r>
              <w:rPr>
                <w:rFonts w:ascii="Times New Roman" w:hAnsi="Times New Roman"/>
                <w:b/>
                <w:color w:val="auto"/>
                <w:szCs w:val="21"/>
                <w:highlight w:val="none"/>
              </w:rPr>
              <w:t>图2</w:t>
            </w:r>
            <w:r>
              <w:rPr>
                <w:rFonts w:hint="eastAsia" w:ascii="Times New Roman" w:hAnsi="Times New Roman"/>
                <w:b/>
                <w:color w:val="auto"/>
                <w:szCs w:val="21"/>
                <w:highlight w:val="none"/>
              </w:rPr>
              <w:t>-2</w:t>
            </w:r>
            <w:r>
              <w:rPr>
                <w:rFonts w:ascii="Times New Roman" w:hAnsi="Times New Roman"/>
                <w:b/>
                <w:color w:val="auto"/>
                <w:szCs w:val="21"/>
                <w:highlight w:val="none"/>
              </w:rPr>
              <w:t xml:space="preserve">  施工期基本工序及污染工艺流程图</w:t>
            </w:r>
          </w:p>
          <w:p w14:paraId="205D8097">
            <w:pPr>
              <w:adjustRightInd w:val="0"/>
              <w:snapToGrid w:val="0"/>
              <w:spacing w:line="360" w:lineRule="auto"/>
              <w:ind w:firstLine="482" w:firstLineChars="200"/>
              <w:rPr>
                <w:b/>
                <w:color w:val="auto"/>
                <w:sz w:val="24"/>
                <w:highlight w:val="none"/>
              </w:rPr>
            </w:pPr>
            <w:r>
              <w:rPr>
                <w:rFonts w:hint="eastAsia" w:cs="宋体"/>
                <w:b/>
                <w:color w:val="auto"/>
                <w:sz w:val="24"/>
                <w:highlight w:val="none"/>
              </w:rPr>
              <w:t>工艺流程简述：</w:t>
            </w:r>
          </w:p>
          <w:p w14:paraId="3E1AD215">
            <w:pPr>
              <w:adjustRightInd w:val="0"/>
              <w:snapToGrid w:val="0"/>
              <w:spacing w:line="360" w:lineRule="auto"/>
              <w:ind w:firstLine="480" w:firstLineChars="200"/>
              <w:rPr>
                <w:bCs/>
                <w:color w:val="auto"/>
                <w:sz w:val="24"/>
                <w:highlight w:val="none"/>
              </w:rPr>
            </w:pPr>
            <w:r>
              <w:rPr>
                <w:rFonts w:hint="eastAsia" w:ascii="宋体" w:hAnsi="宋体" w:cs="宋体"/>
                <w:bCs/>
                <w:color w:val="auto"/>
                <w:sz w:val="24"/>
                <w:highlight w:val="none"/>
              </w:rPr>
              <w:t>①在包装区北侧预留区进行污水处理站建设（包括地表清理、池体修建及管道建设等）</w:t>
            </w:r>
            <w:r>
              <w:rPr>
                <w:rFonts w:hint="eastAsia"/>
                <w:bCs/>
                <w:color w:val="auto"/>
                <w:sz w:val="24"/>
                <w:highlight w:val="none"/>
              </w:rPr>
              <w:t>；</w:t>
            </w:r>
          </w:p>
          <w:p w14:paraId="25FA566F">
            <w:pPr>
              <w:adjustRightInd w:val="0"/>
              <w:snapToGrid w:val="0"/>
              <w:spacing w:line="360" w:lineRule="auto"/>
              <w:ind w:firstLine="480" w:firstLineChars="200"/>
              <w:rPr>
                <w:bCs/>
                <w:color w:val="auto"/>
                <w:sz w:val="24"/>
                <w:highlight w:val="none"/>
              </w:rPr>
            </w:pPr>
            <w:r>
              <w:rPr>
                <w:rFonts w:hint="eastAsia" w:ascii="宋体" w:hAnsi="宋体" w:cs="宋体"/>
                <w:bCs/>
                <w:color w:val="auto"/>
                <w:sz w:val="24"/>
                <w:highlight w:val="none"/>
              </w:rPr>
              <w:t>②将外购的生产加工设备按照功能分区安装</w:t>
            </w:r>
            <w:r>
              <w:rPr>
                <w:rFonts w:hint="eastAsia"/>
                <w:bCs/>
                <w:color w:val="auto"/>
                <w:sz w:val="24"/>
                <w:highlight w:val="none"/>
              </w:rPr>
              <w:t>；</w:t>
            </w:r>
          </w:p>
          <w:p w14:paraId="0FD29BE5">
            <w:pPr>
              <w:adjustRightInd w:val="0"/>
              <w:snapToGrid w:val="0"/>
              <w:spacing w:line="360" w:lineRule="auto"/>
              <w:ind w:firstLine="480" w:firstLineChars="200"/>
              <w:rPr>
                <w:rFonts w:ascii="宋体" w:hAnsi="宋体" w:cs="宋体"/>
                <w:bCs/>
                <w:color w:val="auto"/>
                <w:sz w:val="24"/>
                <w:highlight w:val="none"/>
              </w:rPr>
            </w:pPr>
            <w:r>
              <w:rPr>
                <w:rFonts w:hint="eastAsia" w:ascii="宋体" w:hAnsi="宋体" w:cs="宋体"/>
                <w:bCs/>
                <w:color w:val="auto"/>
                <w:sz w:val="24"/>
                <w:highlight w:val="none"/>
              </w:rPr>
              <w:t>③利用钢结构材料对生产厂房及包装区四周进行封闭，保留出入口</w:t>
            </w:r>
            <w:r>
              <w:rPr>
                <w:rFonts w:hint="eastAsia"/>
                <w:bCs/>
                <w:color w:val="auto"/>
                <w:sz w:val="24"/>
                <w:highlight w:val="none"/>
              </w:rPr>
              <w:t>；</w:t>
            </w:r>
          </w:p>
          <w:p w14:paraId="1DB3632E">
            <w:pPr>
              <w:adjustRightInd w:val="0"/>
              <w:snapToGrid w:val="0"/>
              <w:spacing w:line="360" w:lineRule="auto"/>
              <w:ind w:firstLine="480" w:firstLineChars="200"/>
              <w:rPr>
                <w:bCs/>
                <w:color w:val="auto"/>
                <w:sz w:val="24"/>
                <w:highlight w:val="none"/>
              </w:rPr>
            </w:pPr>
            <w:r>
              <w:rPr>
                <w:rFonts w:hint="eastAsia" w:ascii="宋体" w:hAnsi="宋体" w:cs="宋体"/>
                <w:bCs/>
                <w:color w:val="auto"/>
                <w:sz w:val="24"/>
                <w:highlight w:val="none"/>
              </w:rPr>
              <w:t>④</w:t>
            </w:r>
            <w:r>
              <w:rPr>
                <w:rFonts w:hint="eastAsia"/>
                <w:bCs/>
                <w:color w:val="auto"/>
                <w:sz w:val="24"/>
                <w:highlight w:val="none"/>
              </w:rPr>
              <w:t>对施工时剩余的固废分类收集后，进行工程验收。</w:t>
            </w:r>
          </w:p>
          <w:p w14:paraId="05F09E07">
            <w:pPr>
              <w:adjustRightInd w:val="0"/>
              <w:snapToGrid w:val="0"/>
              <w:spacing w:line="360" w:lineRule="auto"/>
              <w:ind w:firstLine="482" w:firstLineChars="200"/>
              <w:rPr>
                <w:rFonts w:ascii="宋体" w:hAnsi="宋体"/>
                <w:b/>
                <w:color w:val="auto"/>
                <w:sz w:val="24"/>
                <w:highlight w:val="none"/>
              </w:rPr>
            </w:pPr>
            <w:r>
              <w:rPr>
                <w:rFonts w:hint="eastAsia" w:ascii="宋体" w:hAnsi="宋体"/>
                <w:b/>
                <w:color w:val="auto"/>
                <w:sz w:val="24"/>
                <w:highlight w:val="none"/>
              </w:rPr>
              <w:t>（</w:t>
            </w:r>
            <w:r>
              <w:rPr>
                <w:rFonts w:ascii="宋体" w:hAnsi="宋体"/>
                <w:b/>
                <w:color w:val="auto"/>
                <w:sz w:val="24"/>
                <w:highlight w:val="none"/>
              </w:rPr>
              <w:t>二</w:t>
            </w:r>
            <w:r>
              <w:rPr>
                <w:rFonts w:hint="eastAsia" w:ascii="宋体" w:hAnsi="宋体"/>
                <w:b/>
                <w:color w:val="auto"/>
                <w:sz w:val="24"/>
                <w:highlight w:val="none"/>
              </w:rPr>
              <w:t>）运营</w:t>
            </w:r>
            <w:r>
              <w:rPr>
                <w:rFonts w:ascii="宋体" w:hAnsi="宋体"/>
                <w:b/>
                <w:color w:val="auto"/>
                <w:sz w:val="24"/>
                <w:highlight w:val="none"/>
              </w:rPr>
              <w:t>期工艺流程及产污环节</w:t>
            </w:r>
          </w:p>
          <w:p w14:paraId="7AEB1C80">
            <w:pPr>
              <w:adjustRightInd w:val="0"/>
              <w:snapToGrid w:val="0"/>
              <w:spacing w:line="360" w:lineRule="auto"/>
              <w:ind w:firstLine="482" w:firstLineChars="200"/>
              <w:rPr>
                <w:b/>
                <w:bCs/>
                <w:color w:val="auto"/>
                <w:sz w:val="24"/>
                <w:highlight w:val="none"/>
              </w:rPr>
            </w:pPr>
            <w:r>
              <w:rPr>
                <w:rFonts w:hint="eastAsia"/>
                <w:b/>
                <w:bCs/>
                <w:color w:val="auto"/>
                <w:sz w:val="24"/>
                <w:highlight w:val="none"/>
              </w:rPr>
              <w:t>1、工艺流程及产污环节</w:t>
            </w:r>
          </w:p>
          <w:p w14:paraId="28B14FEA">
            <w:pPr>
              <w:adjustRightInd w:val="0"/>
              <w:snapToGrid w:val="0"/>
              <w:spacing w:line="360" w:lineRule="auto"/>
              <w:ind w:firstLine="480" w:firstLineChars="200"/>
              <w:rPr>
                <w:color w:val="auto"/>
                <w:highlight w:val="none"/>
              </w:rPr>
            </w:pPr>
            <w:r>
              <w:rPr>
                <w:rFonts w:hint="eastAsia"/>
                <w:color w:val="auto"/>
                <w:sz w:val="24"/>
                <w:highlight w:val="none"/>
              </w:rPr>
              <w:t>（1）果蔬脆片生产线工艺流程及产污环节图如下：</w:t>
            </w:r>
          </w:p>
          <w:p w14:paraId="35538FC3">
            <w:pPr>
              <w:pStyle w:val="43"/>
              <w:jc w:val="center"/>
              <w:rPr>
                <w:color w:val="auto"/>
                <w:highlight w:val="none"/>
              </w:rPr>
            </w:pPr>
            <w:r>
              <w:rPr>
                <w:color w:val="auto"/>
                <w:highlight w:val="none"/>
              </w:rPr>
              <w:object>
                <v:shape id="_x0000_i1027" o:spt="75" type="#_x0000_t75" style="height:538.25pt;width:344.8pt;" o:ole="t" filled="f" o:preferrelative="t" stroked="f" coordsize="21600,21600">
                  <v:path/>
                  <v:fill on="f" focussize="0,0"/>
                  <v:stroke on="f"/>
                  <v:imagedata r:id="rId15" o:title=""/>
                  <o:lock v:ext="edit" aspectratio="f"/>
                  <w10:wrap type="none"/>
                  <w10:anchorlock/>
                </v:shape>
                <o:OLEObject Type="Embed" ProgID="Visio.Drawing.11" ShapeID="_x0000_i1027" DrawAspect="Content" ObjectID="_1468075727" r:id="rId14">
                  <o:LockedField>false</o:LockedField>
                </o:OLEObject>
              </w:object>
            </w:r>
          </w:p>
          <w:p w14:paraId="61BEF7D1">
            <w:pPr>
              <w:pStyle w:val="46"/>
              <w:jc w:val="center"/>
              <w:rPr>
                <w:rFonts w:eastAsia="等线"/>
                <w:b/>
                <w:color w:val="auto"/>
                <w:highlight w:val="none"/>
              </w:rPr>
            </w:pPr>
            <w:r>
              <w:rPr>
                <w:rFonts w:ascii="Times New Roman" w:cs="Times New Roman"/>
                <w:b/>
                <w:bCs/>
                <w:color w:val="auto"/>
                <w:sz w:val="21"/>
                <w:szCs w:val="21"/>
                <w:highlight w:val="none"/>
              </w:rPr>
              <w:t>图</w:t>
            </w:r>
            <w:r>
              <w:rPr>
                <w:rFonts w:hint="eastAsia" w:ascii="Times New Roman" w:cs="Times New Roman"/>
                <w:b/>
                <w:bCs/>
                <w:color w:val="auto"/>
                <w:sz w:val="21"/>
                <w:szCs w:val="21"/>
                <w:highlight w:val="none"/>
              </w:rPr>
              <w:t>2-3</w:t>
            </w:r>
            <w:r>
              <w:rPr>
                <w:rFonts w:ascii="Times New Roman" w:cs="Times New Roman"/>
                <w:b/>
                <w:bCs/>
                <w:color w:val="auto"/>
                <w:sz w:val="21"/>
                <w:szCs w:val="21"/>
                <w:highlight w:val="none"/>
              </w:rPr>
              <w:t xml:space="preserve"> </w:t>
            </w:r>
            <w:r>
              <w:rPr>
                <w:rFonts w:hint="eastAsia" w:ascii="Times New Roman" w:cs="Times New Roman"/>
                <w:b/>
                <w:bCs/>
                <w:color w:val="auto"/>
                <w:sz w:val="21"/>
                <w:szCs w:val="21"/>
                <w:highlight w:val="none"/>
              </w:rPr>
              <w:t xml:space="preserve"> 果蔬脆片生产线</w:t>
            </w:r>
            <w:r>
              <w:rPr>
                <w:rFonts w:ascii="Times New Roman" w:cs="Times New Roman"/>
                <w:b/>
                <w:bCs/>
                <w:color w:val="auto"/>
                <w:sz w:val="21"/>
                <w:szCs w:val="21"/>
                <w:highlight w:val="none"/>
              </w:rPr>
              <w:t>工艺流程及产污环节图</w:t>
            </w:r>
          </w:p>
          <w:p w14:paraId="7635EDCE">
            <w:pPr>
              <w:snapToGrid w:val="0"/>
              <w:spacing w:line="360" w:lineRule="auto"/>
              <w:ind w:firstLine="482" w:firstLineChars="200"/>
              <w:rPr>
                <w:b/>
                <w:bCs/>
                <w:color w:val="auto"/>
                <w:sz w:val="24"/>
                <w:highlight w:val="none"/>
              </w:rPr>
            </w:pPr>
            <w:r>
              <w:rPr>
                <w:rFonts w:hint="eastAsia"/>
                <w:b/>
                <w:bCs/>
                <w:color w:val="auto"/>
                <w:sz w:val="24"/>
                <w:highlight w:val="none"/>
              </w:rPr>
              <w:t>工艺流程简述：</w:t>
            </w:r>
          </w:p>
          <w:p w14:paraId="0DF0F2B9">
            <w:pPr>
              <w:widowControl/>
              <w:adjustRightInd w:val="0"/>
              <w:snapToGrid w:val="0"/>
              <w:spacing w:line="360" w:lineRule="auto"/>
              <w:ind w:firstLine="480"/>
              <w:jc w:val="left"/>
              <w:rPr>
                <w:rFonts w:hAnsi="宋体" w:cs="Arial"/>
                <w:color w:val="auto"/>
                <w:sz w:val="24"/>
                <w:highlight w:val="none"/>
              </w:rPr>
            </w:pPr>
            <w:r>
              <w:rPr>
                <w:rFonts w:hint="eastAsia" w:ascii="宋体" w:hAnsi="宋体" w:cs="宋体"/>
                <w:color w:val="auto"/>
                <w:sz w:val="24"/>
                <w:highlight w:val="none"/>
              </w:rPr>
              <w:t>①</w:t>
            </w:r>
            <w:r>
              <w:rPr>
                <w:rFonts w:hint="eastAsia" w:hAnsi="宋体" w:cs="Arial"/>
                <w:color w:val="auto"/>
                <w:sz w:val="24"/>
                <w:highlight w:val="none"/>
              </w:rPr>
              <w:t>挑选：将冷库贮存的果蔬原料转运至挑选台，人工筛选出符合生产要求的果蔬。</w:t>
            </w:r>
          </w:p>
          <w:p w14:paraId="6F9C527C">
            <w:pPr>
              <w:widowControl/>
              <w:adjustRightInd w:val="0"/>
              <w:snapToGrid w:val="0"/>
              <w:spacing w:line="360" w:lineRule="auto"/>
              <w:ind w:firstLine="480"/>
              <w:jc w:val="left"/>
              <w:rPr>
                <w:rFonts w:ascii="宋体" w:hAnsi="宋体" w:cs="宋体"/>
                <w:color w:val="auto"/>
                <w:sz w:val="24"/>
                <w:highlight w:val="none"/>
              </w:rPr>
            </w:pPr>
            <w:r>
              <w:rPr>
                <w:rFonts w:hint="eastAsia" w:ascii="宋体" w:hAnsi="宋体" w:cs="宋体"/>
                <w:color w:val="auto"/>
                <w:sz w:val="24"/>
                <w:highlight w:val="none"/>
              </w:rPr>
              <w:t>②去皮：利用毛辊去皮清洗机同步进行去皮和清洗。</w:t>
            </w:r>
          </w:p>
          <w:p w14:paraId="5B15507D">
            <w:pPr>
              <w:widowControl/>
              <w:adjustRightInd w:val="0"/>
              <w:snapToGrid w:val="0"/>
              <w:spacing w:line="360" w:lineRule="auto"/>
              <w:ind w:firstLine="480"/>
              <w:jc w:val="left"/>
              <w:rPr>
                <w:rFonts w:ascii="宋体" w:hAnsi="宋体" w:cs="宋体"/>
                <w:color w:val="auto"/>
                <w:sz w:val="24"/>
                <w:highlight w:val="none"/>
              </w:rPr>
            </w:pPr>
            <w:r>
              <w:rPr>
                <w:rFonts w:hint="eastAsia" w:ascii="宋体" w:hAnsi="宋体" w:cs="宋体"/>
                <w:color w:val="auto"/>
                <w:sz w:val="24"/>
                <w:highlight w:val="none"/>
              </w:rPr>
              <w:t>③分切：去皮完成后，利用多功能切片机进行分切，确保切片满足产品质量和规格要求。</w:t>
            </w:r>
          </w:p>
          <w:p w14:paraId="5BBDA58C">
            <w:pPr>
              <w:widowControl/>
              <w:adjustRightInd w:val="0"/>
              <w:snapToGrid w:val="0"/>
              <w:spacing w:line="360" w:lineRule="auto"/>
              <w:ind w:firstLine="480"/>
              <w:jc w:val="left"/>
              <w:rPr>
                <w:rFonts w:ascii="宋体" w:hAnsi="宋体" w:cs="宋体"/>
                <w:color w:val="auto"/>
                <w:sz w:val="24"/>
                <w:highlight w:val="none"/>
              </w:rPr>
            </w:pPr>
            <w:r>
              <w:rPr>
                <w:rFonts w:hint="eastAsia" w:ascii="宋体" w:hAnsi="宋体" w:cs="宋体"/>
                <w:color w:val="auto"/>
                <w:sz w:val="24"/>
                <w:highlight w:val="none"/>
              </w:rPr>
              <w:t>④清洗：利用气泡清洗机对果蔬切片进行清洗，确保其干净、不含杂质。</w:t>
            </w:r>
          </w:p>
          <w:p w14:paraId="1584D968">
            <w:pPr>
              <w:widowControl/>
              <w:adjustRightInd w:val="0"/>
              <w:snapToGrid w:val="0"/>
              <w:spacing w:line="360" w:lineRule="auto"/>
              <w:ind w:firstLine="480"/>
              <w:jc w:val="left"/>
              <w:rPr>
                <w:color w:val="auto"/>
                <w:sz w:val="24"/>
                <w:highlight w:val="none"/>
              </w:rPr>
            </w:pPr>
            <w:r>
              <w:rPr>
                <w:rFonts w:hint="eastAsia" w:ascii="宋体" w:hAnsi="宋体" w:cs="宋体"/>
                <w:color w:val="auto"/>
                <w:sz w:val="24"/>
                <w:highlight w:val="none"/>
              </w:rPr>
              <w:t>⑤漂烫：为钝化果蔬中的氧化酶，防止品质劣变，本次将清洗后的切片放入漂烫机中进行漂烫，根据原料种类差异，水温一般控制在</w:t>
            </w:r>
            <w:r>
              <w:rPr>
                <w:color w:val="auto"/>
                <w:sz w:val="24"/>
                <w:highlight w:val="none"/>
              </w:rPr>
              <w:t>60~70</w:t>
            </w:r>
            <w:r>
              <w:rPr>
                <w:rFonts w:hint="eastAsia" w:ascii="宋体" w:hAnsi="宋体" w:cs="宋体"/>
                <w:color w:val="auto"/>
                <w:sz w:val="24"/>
                <w:highlight w:val="none"/>
              </w:rPr>
              <w:t>℃</w:t>
            </w:r>
            <w:r>
              <w:rPr>
                <w:rFonts w:hint="eastAsia"/>
                <w:color w:val="auto"/>
                <w:sz w:val="24"/>
                <w:highlight w:val="none"/>
              </w:rPr>
              <w:t>，时间控制在2~5min。</w:t>
            </w:r>
          </w:p>
          <w:p w14:paraId="249533B0">
            <w:pPr>
              <w:widowControl/>
              <w:adjustRightInd w:val="0"/>
              <w:snapToGrid w:val="0"/>
              <w:spacing w:line="360" w:lineRule="auto"/>
              <w:ind w:firstLine="480"/>
              <w:jc w:val="left"/>
              <w:rPr>
                <w:color w:val="auto"/>
                <w:sz w:val="24"/>
                <w:highlight w:val="none"/>
              </w:rPr>
            </w:pPr>
            <w:r>
              <w:rPr>
                <w:rFonts w:hint="eastAsia" w:ascii="宋体" w:hAnsi="宋体" w:cs="宋体"/>
                <w:color w:val="auto"/>
                <w:sz w:val="24"/>
                <w:highlight w:val="none"/>
              </w:rPr>
              <w:t>⑥</w:t>
            </w:r>
            <w:r>
              <w:rPr>
                <w:rFonts w:hint="eastAsia"/>
                <w:color w:val="auto"/>
                <w:sz w:val="24"/>
                <w:highlight w:val="none"/>
              </w:rPr>
              <w:t>冷却：漂烫后的切片进行水冷。</w:t>
            </w:r>
          </w:p>
          <w:p w14:paraId="0AECB6AA">
            <w:pPr>
              <w:widowControl/>
              <w:adjustRightInd w:val="0"/>
              <w:snapToGrid w:val="0"/>
              <w:spacing w:line="360" w:lineRule="auto"/>
              <w:ind w:firstLine="480"/>
              <w:jc w:val="left"/>
              <w:rPr>
                <w:color w:val="auto"/>
                <w:sz w:val="24"/>
                <w:highlight w:val="none"/>
              </w:rPr>
            </w:pPr>
            <w:r>
              <w:rPr>
                <w:rFonts w:hint="eastAsia" w:ascii="宋体" w:hAnsi="宋体" w:cs="宋体"/>
                <w:color w:val="auto"/>
                <w:sz w:val="24"/>
                <w:highlight w:val="none"/>
              </w:rPr>
              <w:t>⑦</w:t>
            </w:r>
            <w:r>
              <w:rPr>
                <w:rFonts w:hint="eastAsia"/>
                <w:color w:val="auto"/>
                <w:sz w:val="24"/>
                <w:highlight w:val="none"/>
              </w:rPr>
              <w:t>浸渍：将冷却后的切片放在浸渍池（包括盐水池和糖水池）中进行风味的融合。</w:t>
            </w:r>
          </w:p>
          <w:p w14:paraId="3628556D">
            <w:pPr>
              <w:widowControl/>
              <w:adjustRightInd w:val="0"/>
              <w:snapToGrid w:val="0"/>
              <w:spacing w:line="360" w:lineRule="auto"/>
              <w:ind w:firstLine="480"/>
              <w:jc w:val="left"/>
              <w:rPr>
                <w:color w:val="auto"/>
                <w:sz w:val="24"/>
                <w:highlight w:val="none"/>
              </w:rPr>
            </w:pPr>
            <w:r>
              <w:rPr>
                <w:rFonts w:hint="eastAsia" w:ascii="宋体" w:hAnsi="宋体" w:cs="宋体"/>
                <w:color w:val="auto"/>
                <w:sz w:val="24"/>
                <w:highlight w:val="none"/>
              </w:rPr>
              <w:t>⑧</w:t>
            </w:r>
            <w:r>
              <w:rPr>
                <w:rFonts w:hint="eastAsia"/>
                <w:color w:val="auto"/>
                <w:sz w:val="24"/>
                <w:highlight w:val="none"/>
              </w:rPr>
              <w:t>油炸：随后在低温油炸区进行切片油炸脱水，温度控制在</w:t>
            </w:r>
            <w:r>
              <w:rPr>
                <w:color w:val="auto"/>
                <w:sz w:val="24"/>
                <w:highlight w:val="none"/>
              </w:rPr>
              <w:t>60~70</w:t>
            </w:r>
            <w:r>
              <w:rPr>
                <w:rFonts w:hint="eastAsia" w:ascii="宋体" w:hAnsi="宋体" w:cs="宋体"/>
                <w:color w:val="auto"/>
                <w:sz w:val="24"/>
                <w:highlight w:val="none"/>
              </w:rPr>
              <w:t>℃，时间</w:t>
            </w:r>
            <w:r>
              <w:rPr>
                <w:color w:val="auto"/>
                <w:sz w:val="24"/>
                <w:highlight w:val="none"/>
              </w:rPr>
              <w:t>约2~3min</w:t>
            </w:r>
            <w:r>
              <w:rPr>
                <w:rFonts w:hint="eastAsia"/>
                <w:color w:val="auto"/>
                <w:sz w:val="24"/>
                <w:highlight w:val="none"/>
              </w:rPr>
              <w:t>。</w:t>
            </w:r>
          </w:p>
          <w:p w14:paraId="4461FCE1">
            <w:pPr>
              <w:widowControl/>
              <w:adjustRightInd w:val="0"/>
              <w:snapToGrid w:val="0"/>
              <w:spacing w:line="360" w:lineRule="auto"/>
              <w:ind w:firstLine="480"/>
              <w:jc w:val="left"/>
              <w:rPr>
                <w:rFonts w:ascii="宋体" w:hAnsi="宋体" w:cs="宋体"/>
                <w:color w:val="auto"/>
                <w:sz w:val="24"/>
                <w:highlight w:val="none"/>
              </w:rPr>
            </w:pPr>
            <w:r>
              <w:rPr>
                <w:rFonts w:hint="eastAsia" w:ascii="宋体" w:hAnsi="宋体" w:cs="宋体"/>
                <w:color w:val="auto"/>
                <w:sz w:val="24"/>
                <w:highlight w:val="none"/>
              </w:rPr>
              <w:t>⑨摊晾：将油炸后的风味果蔬脆片放置在摊晾平台进行自然晾干。</w:t>
            </w:r>
          </w:p>
          <w:p w14:paraId="7E2F2C1C">
            <w:pPr>
              <w:widowControl/>
              <w:adjustRightInd w:val="0"/>
              <w:snapToGrid w:val="0"/>
              <w:spacing w:line="360" w:lineRule="auto"/>
              <w:ind w:firstLine="480"/>
              <w:jc w:val="left"/>
              <w:rPr>
                <w:rFonts w:ascii="宋体" w:hAnsi="宋体" w:cs="宋体"/>
                <w:color w:val="auto"/>
                <w:sz w:val="24"/>
                <w:highlight w:val="none"/>
              </w:rPr>
            </w:pPr>
            <w:r>
              <w:rPr>
                <w:rFonts w:hint="eastAsia" w:ascii="宋体" w:hAnsi="宋体" w:cs="宋体"/>
                <w:color w:val="auto"/>
                <w:sz w:val="24"/>
                <w:highlight w:val="none"/>
              </w:rPr>
              <w:t>⑩检</w:t>
            </w:r>
            <w:r>
              <w:rPr>
                <w:rFonts w:hint="eastAsia" w:ascii="宋体" w:hAnsi="宋体" w:cs="宋体"/>
                <w:color w:val="auto"/>
                <w:sz w:val="24"/>
                <w:highlight w:val="none"/>
                <w:lang w:eastAsia="zh-CN"/>
              </w:rPr>
              <w:t>验</w:t>
            </w:r>
            <w:r>
              <w:rPr>
                <w:rFonts w:hint="eastAsia" w:ascii="宋体" w:hAnsi="宋体" w:cs="宋体"/>
                <w:color w:val="auto"/>
                <w:sz w:val="24"/>
                <w:highlight w:val="none"/>
              </w:rPr>
              <w:t>及包装：对生产出的产品进行</w:t>
            </w:r>
            <w:r>
              <w:rPr>
                <w:rFonts w:hint="eastAsia" w:ascii="宋体" w:hAnsi="宋体" w:cs="宋体"/>
                <w:color w:val="auto"/>
                <w:sz w:val="24"/>
                <w:highlight w:val="none"/>
                <w:lang w:eastAsia="zh-CN"/>
              </w:rPr>
              <w:t>人工</w:t>
            </w:r>
            <w:r>
              <w:rPr>
                <w:rFonts w:hint="eastAsia" w:ascii="宋体" w:hAnsi="宋体" w:cs="宋体"/>
                <w:color w:val="auto"/>
                <w:sz w:val="24"/>
                <w:highlight w:val="none"/>
              </w:rPr>
              <w:t>检验，合格品进行内外包装后及时外运出厂、未能及时销售的暂存于厂区成品库房；不合格品与</w:t>
            </w:r>
            <w:r>
              <w:rPr>
                <w:rFonts w:hint="eastAsia" w:ascii="宋体" w:hAnsi="宋体" w:cs="宋体"/>
                <w:color w:val="auto"/>
                <w:kern w:val="0"/>
                <w:sz w:val="24"/>
                <w:highlight w:val="none"/>
              </w:rPr>
              <w:t>果蔬表皮统一</w:t>
            </w:r>
            <w:r>
              <w:rPr>
                <w:rFonts w:hint="eastAsia" w:ascii="宋体" w:hAnsi="宋体" w:cs="宋体"/>
                <w:color w:val="auto"/>
                <w:kern w:val="0"/>
                <w:sz w:val="24"/>
                <w:highlight w:val="none"/>
                <w:lang w:eastAsia="zh-CN"/>
              </w:rPr>
              <w:t>收集后堆肥处置</w:t>
            </w:r>
            <w:r>
              <w:rPr>
                <w:rFonts w:hint="eastAsia" w:ascii="宋体" w:hAnsi="宋体" w:cs="宋体"/>
                <w:color w:val="auto"/>
                <w:sz w:val="24"/>
                <w:highlight w:val="none"/>
              </w:rPr>
              <w:t>。</w:t>
            </w:r>
          </w:p>
          <w:p w14:paraId="72BC2F58">
            <w:pPr>
              <w:spacing w:line="360" w:lineRule="auto"/>
              <w:ind w:firstLine="480" w:firstLineChars="200"/>
              <w:rPr>
                <w:color w:val="auto"/>
                <w:sz w:val="24"/>
                <w:highlight w:val="none"/>
              </w:rPr>
            </w:pPr>
            <w:r>
              <w:rPr>
                <w:rFonts w:hint="eastAsia"/>
                <w:color w:val="auto"/>
                <w:sz w:val="24"/>
                <w:highlight w:val="none"/>
              </w:rPr>
              <w:t>（2）果蔬干生产线工艺流程及产污环节图如下：</w:t>
            </w:r>
          </w:p>
          <w:p w14:paraId="387148DE">
            <w:pPr>
              <w:pStyle w:val="46"/>
              <w:jc w:val="both"/>
              <w:rPr>
                <w:b/>
                <w:bCs/>
                <w:color w:val="auto"/>
                <w:highlight w:val="none"/>
              </w:rPr>
            </w:pPr>
            <w:r>
              <w:rPr>
                <w:b/>
                <w:bCs/>
                <w:color w:val="auto"/>
                <w:highlight w:val="none"/>
              </w:rPr>
              <w:object>
                <v:shape id="_x0000_i1028" o:spt="75" type="#_x0000_t75" style="height:479.2pt;width:377.35pt;" o:ole="t" filled="f" o:preferrelative="t" stroked="f" coordsize="21600,21600">
                  <v:path/>
                  <v:fill on="f" focussize="0,0"/>
                  <v:stroke on="f"/>
                  <v:imagedata r:id="rId17" o:title=""/>
                  <o:lock v:ext="edit" aspectratio="f"/>
                  <w10:wrap type="none"/>
                  <w10:anchorlock/>
                </v:shape>
                <o:OLEObject Type="Embed" ProgID="Visio.Drawing.11" ShapeID="_x0000_i1028" DrawAspect="Content" ObjectID="_1468075728" r:id="rId16">
                  <o:LockedField>false</o:LockedField>
                </o:OLEObject>
              </w:object>
            </w:r>
          </w:p>
          <w:p w14:paraId="6D0536E6">
            <w:pPr>
              <w:pStyle w:val="46"/>
              <w:jc w:val="center"/>
              <w:rPr>
                <w:rFonts w:eastAsia="等线"/>
                <w:b/>
                <w:color w:val="auto"/>
                <w:highlight w:val="none"/>
              </w:rPr>
            </w:pPr>
            <w:r>
              <w:rPr>
                <w:rFonts w:ascii="Times New Roman" w:cs="Times New Roman"/>
                <w:b/>
                <w:bCs/>
                <w:color w:val="auto"/>
                <w:sz w:val="21"/>
                <w:szCs w:val="21"/>
                <w:highlight w:val="none"/>
              </w:rPr>
              <w:t>图</w:t>
            </w:r>
            <w:r>
              <w:rPr>
                <w:rFonts w:hint="eastAsia" w:ascii="Times New Roman" w:cs="Times New Roman"/>
                <w:b/>
                <w:bCs/>
                <w:color w:val="auto"/>
                <w:sz w:val="21"/>
                <w:szCs w:val="21"/>
                <w:highlight w:val="none"/>
              </w:rPr>
              <w:t>2-4</w:t>
            </w:r>
            <w:r>
              <w:rPr>
                <w:rFonts w:ascii="Times New Roman" w:cs="Times New Roman"/>
                <w:b/>
                <w:bCs/>
                <w:color w:val="auto"/>
                <w:sz w:val="21"/>
                <w:szCs w:val="21"/>
                <w:highlight w:val="none"/>
              </w:rPr>
              <w:t xml:space="preserve"> </w:t>
            </w:r>
            <w:r>
              <w:rPr>
                <w:rFonts w:hint="eastAsia" w:ascii="Times New Roman" w:cs="Times New Roman"/>
                <w:b/>
                <w:bCs/>
                <w:color w:val="auto"/>
                <w:sz w:val="21"/>
                <w:szCs w:val="21"/>
                <w:highlight w:val="none"/>
              </w:rPr>
              <w:t xml:space="preserve"> 果蔬干生产线</w:t>
            </w:r>
            <w:r>
              <w:rPr>
                <w:rFonts w:ascii="Times New Roman" w:cs="Times New Roman"/>
                <w:b/>
                <w:bCs/>
                <w:color w:val="auto"/>
                <w:sz w:val="21"/>
                <w:szCs w:val="21"/>
                <w:highlight w:val="none"/>
              </w:rPr>
              <w:t>工艺流程及产污环节图</w:t>
            </w:r>
          </w:p>
          <w:p w14:paraId="7C1815FA">
            <w:pPr>
              <w:snapToGrid w:val="0"/>
              <w:spacing w:line="360" w:lineRule="auto"/>
              <w:ind w:firstLine="482" w:firstLineChars="200"/>
              <w:rPr>
                <w:b/>
                <w:bCs/>
                <w:color w:val="auto"/>
                <w:sz w:val="24"/>
                <w:highlight w:val="none"/>
              </w:rPr>
            </w:pPr>
            <w:r>
              <w:rPr>
                <w:rFonts w:hint="eastAsia"/>
                <w:b/>
                <w:bCs/>
                <w:color w:val="auto"/>
                <w:sz w:val="24"/>
                <w:highlight w:val="none"/>
              </w:rPr>
              <w:t>工艺流程简述：</w:t>
            </w:r>
          </w:p>
          <w:p w14:paraId="431024E9">
            <w:pPr>
              <w:widowControl/>
              <w:adjustRightInd w:val="0"/>
              <w:snapToGrid w:val="0"/>
              <w:spacing w:line="360" w:lineRule="auto"/>
              <w:ind w:firstLine="480"/>
              <w:jc w:val="left"/>
              <w:rPr>
                <w:rFonts w:hAnsi="宋体" w:cs="Arial"/>
                <w:color w:val="auto"/>
                <w:sz w:val="24"/>
                <w:highlight w:val="none"/>
              </w:rPr>
            </w:pPr>
            <w:r>
              <w:rPr>
                <w:rFonts w:hint="eastAsia" w:ascii="宋体" w:hAnsi="宋体" w:cs="宋体"/>
                <w:color w:val="auto"/>
                <w:sz w:val="24"/>
                <w:highlight w:val="none"/>
              </w:rPr>
              <w:t>①</w:t>
            </w:r>
            <w:r>
              <w:rPr>
                <w:rFonts w:hint="eastAsia" w:hAnsi="宋体" w:cs="Arial"/>
                <w:color w:val="auto"/>
                <w:sz w:val="24"/>
                <w:highlight w:val="none"/>
              </w:rPr>
              <w:t>挑选：将冷库贮存的果蔬原料转运至挑选台，人工筛选出符合生产要求的果蔬。</w:t>
            </w:r>
          </w:p>
          <w:p w14:paraId="5D64D9AE">
            <w:pPr>
              <w:widowControl/>
              <w:adjustRightInd w:val="0"/>
              <w:snapToGrid w:val="0"/>
              <w:spacing w:line="360" w:lineRule="auto"/>
              <w:ind w:firstLine="480"/>
              <w:jc w:val="left"/>
              <w:rPr>
                <w:rFonts w:ascii="宋体" w:hAnsi="宋体" w:cs="宋体"/>
                <w:color w:val="auto"/>
                <w:sz w:val="24"/>
                <w:highlight w:val="none"/>
              </w:rPr>
            </w:pPr>
            <w:r>
              <w:rPr>
                <w:rFonts w:hint="eastAsia" w:ascii="宋体" w:hAnsi="宋体" w:cs="宋体"/>
                <w:color w:val="auto"/>
                <w:sz w:val="24"/>
                <w:highlight w:val="none"/>
              </w:rPr>
              <w:t>②清洗：利用气泡清洗机对果蔬进行清洗，确保其干净、不含杂质。</w:t>
            </w:r>
          </w:p>
          <w:p w14:paraId="00FFDCA7">
            <w:pPr>
              <w:widowControl/>
              <w:adjustRightInd w:val="0"/>
              <w:snapToGrid w:val="0"/>
              <w:spacing w:line="360" w:lineRule="auto"/>
              <w:ind w:firstLine="480"/>
              <w:jc w:val="left"/>
              <w:rPr>
                <w:rFonts w:ascii="宋体" w:hAnsi="宋体" w:cs="宋体"/>
                <w:color w:val="auto"/>
                <w:sz w:val="24"/>
                <w:highlight w:val="none"/>
              </w:rPr>
            </w:pPr>
            <w:r>
              <w:rPr>
                <w:rFonts w:hint="eastAsia" w:ascii="宋体" w:hAnsi="宋体" w:cs="宋体"/>
                <w:color w:val="auto"/>
                <w:sz w:val="24"/>
                <w:highlight w:val="none"/>
              </w:rPr>
              <w:t>③分切：清洗后利用多功能切片机进行分切，确保切片满足产品质量和规格要求。</w:t>
            </w:r>
          </w:p>
          <w:p w14:paraId="72C0B07B">
            <w:pPr>
              <w:widowControl/>
              <w:adjustRightInd w:val="0"/>
              <w:snapToGrid w:val="0"/>
              <w:spacing w:line="360" w:lineRule="auto"/>
              <w:ind w:firstLine="480"/>
              <w:jc w:val="left"/>
              <w:rPr>
                <w:color w:val="auto"/>
                <w:sz w:val="24"/>
                <w:highlight w:val="none"/>
              </w:rPr>
            </w:pPr>
            <w:r>
              <w:rPr>
                <w:rFonts w:hint="eastAsia" w:ascii="宋体" w:hAnsi="宋体" w:cs="宋体"/>
                <w:color w:val="auto"/>
                <w:sz w:val="24"/>
                <w:highlight w:val="none"/>
              </w:rPr>
              <w:t>④漂烫：为钝化果蔬中的氧化酶，防止品质劣变，本次将切片放入漂烫机中进行漂烫，根据原料种类差异，水温一般控制在</w:t>
            </w:r>
            <w:r>
              <w:rPr>
                <w:color w:val="auto"/>
                <w:sz w:val="24"/>
                <w:highlight w:val="none"/>
              </w:rPr>
              <w:t>60~70</w:t>
            </w:r>
            <w:r>
              <w:rPr>
                <w:rFonts w:hint="eastAsia" w:ascii="宋体" w:hAnsi="宋体" w:cs="宋体"/>
                <w:color w:val="auto"/>
                <w:sz w:val="24"/>
                <w:highlight w:val="none"/>
              </w:rPr>
              <w:t>℃</w:t>
            </w:r>
            <w:r>
              <w:rPr>
                <w:rFonts w:hint="eastAsia"/>
                <w:color w:val="auto"/>
                <w:sz w:val="24"/>
                <w:highlight w:val="none"/>
              </w:rPr>
              <w:t>，时间控制在2~5min。</w:t>
            </w:r>
          </w:p>
          <w:p w14:paraId="653F5944">
            <w:pPr>
              <w:widowControl/>
              <w:adjustRightInd w:val="0"/>
              <w:snapToGrid w:val="0"/>
              <w:spacing w:line="360" w:lineRule="auto"/>
              <w:ind w:firstLine="480"/>
              <w:rPr>
                <w:color w:val="auto"/>
                <w:sz w:val="24"/>
                <w:highlight w:val="none"/>
              </w:rPr>
            </w:pPr>
            <w:r>
              <w:rPr>
                <w:rFonts w:hint="eastAsia" w:ascii="宋体" w:hAnsi="宋体" w:cs="宋体"/>
                <w:color w:val="auto"/>
                <w:sz w:val="24"/>
                <w:highlight w:val="none"/>
              </w:rPr>
              <w:t>⑤</w:t>
            </w:r>
            <w:r>
              <w:rPr>
                <w:color w:val="auto"/>
                <w:sz w:val="24"/>
                <w:highlight w:val="none"/>
              </w:rPr>
              <w:t>烘干：漂烫后及时利用烘干机对切片进行烘干脱水（温度控制在100~150℃）</w:t>
            </w:r>
            <w:r>
              <w:rPr>
                <w:rFonts w:hint="eastAsia"/>
                <w:color w:val="auto"/>
                <w:sz w:val="24"/>
                <w:highlight w:val="none"/>
              </w:rPr>
              <w:t>。</w:t>
            </w:r>
          </w:p>
          <w:p w14:paraId="4A507160">
            <w:pPr>
              <w:widowControl/>
              <w:adjustRightInd w:val="0"/>
              <w:snapToGrid w:val="0"/>
              <w:spacing w:line="360" w:lineRule="auto"/>
              <w:ind w:firstLine="480"/>
              <w:rPr>
                <w:rFonts w:ascii="宋体" w:hAnsi="宋体" w:cs="宋体"/>
                <w:color w:val="auto"/>
                <w:sz w:val="24"/>
                <w:highlight w:val="none"/>
              </w:rPr>
            </w:pPr>
            <w:r>
              <w:rPr>
                <w:rFonts w:hint="eastAsia" w:ascii="宋体" w:hAnsi="宋体" w:cs="宋体"/>
                <w:color w:val="auto"/>
                <w:sz w:val="24"/>
                <w:highlight w:val="none"/>
              </w:rPr>
              <w:t>⑥包装：脱水后对果蔬干进行内外包装。</w:t>
            </w:r>
          </w:p>
          <w:p w14:paraId="0B1A4A64">
            <w:pPr>
              <w:widowControl/>
              <w:adjustRightInd w:val="0"/>
              <w:snapToGrid w:val="0"/>
              <w:spacing w:line="360" w:lineRule="auto"/>
              <w:ind w:firstLine="480"/>
              <w:rPr>
                <w:rFonts w:ascii="宋体" w:hAnsi="宋体" w:cs="宋体"/>
                <w:color w:val="auto"/>
                <w:sz w:val="24"/>
                <w:highlight w:val="none"/>
              </w:rPr>
            </w:pPr>
            <w:r>
              <w:rPr>
                <w:rFonts w:hint="eastAsia" w:ascii="宋体" w:hAnsi="宋体" w:cs="宋体"/>
                <w:color w:val="auto"/>
                <w:sz w:val="24"/>
                <w:highlight w:val="none"/>
              </w:rPr>
              <w:t>⑦灭菌：利用外购的微波灭菌设备进行灭菌。</w:t>
            </w:r>
          </w:p>
          <w:p w14:paraId="0AA4A1FE">
            <w:pPr>
              <w:widowControl/>
              <w:adjustRightInd w:val="0"/>
              <w:snapToGrid w:val="0"/>
              <w:spacing w:line="360" w:lineRule="auto"/>
              <w:ind w:firstLine="480"/>
              <w:jc w:val="left"/>
              <w:rPr>
                <w:rFonts w:ascii="宋体" w:hAnsi="宋体" w:cs="宋体"/>
                <w:color w:val="auto"/>
                <w:sz w:val="24"/>
                <w:highlight w:val="none"/>
              </w:rPr>
            </w:pPr>
            <w:r>
              <w:rPr>
                <w:rFonts w:hint="eastAsia" w:ascii="宋体" w:hAnsi="宋体" w:cs="宋体"/>
                <w:color w:val="auto"/>
                <w:sz w:val="24"/>
                <w:highlight w:val="none"/>
              </w:rPr>
              <w:t>⑧检验：对生产出的产品进行</w:t>
            </w:r>
            <w:r>
              <w:rPr>
                <w:rFonts w:hint="eastAsia" w:ascii="宋体" w:hAnsi="宋体" w:cs="宋体"/>
                <w:color w:val="auto"/>
                <w:sz w:val="24"/>
                <w:highlight w:val="none"/>
                <w:lang w:eastAsia="zh-CN"/>
              </w:rPr>
              <w:t>人工</w:t>
            </w:r>
            <w:r>
              <w:rPr>
                <w:rFonts w:hint="eastAsia" w:ascii="宋体" w:hAnsi="宋体" w:cs="宋体"/>
                <w:color w:val="auto"/>
                <w:sz w:val="24"/>
                <w:highlight w:val="none"/>
              </w:rPr>
              <w:t>检验，合格品及时外运出厂、未能及时销售的暂存于厂区成品库房；不合格品与</w:t>
            </w:r>
            <w:r>
              <w:rPr>
                <w:rFonts w:hint="eastAsia" w:ascii="宋体" w:hAnsi="宋体" w:cs="宋体"/>
                <w:color w:val="auto"/>
                <w:kern w:val="0"/>
                <w:sz w:val="24"/>
                <w:highlight w:val="none"/>
              </w:rPr>
              <w:t>果蔬表皮统一</w:t>
            </w:r>
            <w:r>
              <w:rPr>
                <w:rFonts w:hint="eastAsia" w:ascii="宋体" w:hAnsi="宋体" w:cs="宋体"/>
                <w:color w:val="auto"/>
                <w:kern w:val="0"/>
                <w:sz w:val="24"/>
                <w:highlight w:val="none"/>
                <w:lang w:eastAsia="zh-CN"/>
              </w:rPr>
              <w:t>收集后堆肥处置</w:t>
            </w:r>
            <w:r>
              <w:rPr>
                <w:rFonts w:hint="eastAsia" w:ascii="宋体" w:hAnsi="宋体" w:cs="宋体"/>
                <w:color w:val="auto"/>
                <w:sz w:val="24"/>
                <w:highlight w:val="none"/>
              </w:rPr>
              <w:t>。</w:t>
            </w:r>
          </w:p>
          <w:p w14:paraId="68E74192">
            <w:pPr>
              <w:spacing w:line="360" w:lineRule="auto"/>
              <w:ind w:firstLine="480" w:firstLineChars="200"/>
              <w:rPr>
                <w:color w:val="auto"/>
                <w:sz w:val="24"/>
                <w:highlight w:val="none"/>
              </w:rPr>
            </w:pPr>
            <w:r>
              <w:rPr>
                <w:rFonts w:hint="eastAsia"/>
                <w:color w:val="auto"/>
                <w:sz w:val="24"/>
                <w:highlight w:val="none"/>
              </w:rPr>
              <w:t>（3）净菜生产线工艺流程及产污环节图如下：</w:t>
            </w:r>
          </w:p>
          <w:p w14:paraId="671D2321">
            <w:pPr>
              <w:spacing w:line="360" w:lineRule="auto"/>
              <w:jc w:val="center"/>
              <w:rPr>
                <w:b/>
                <w:bCs/>
                <w:color w:val="auto"/>
                <w:sz w:val="24"/>
                <w:highlight w:val="none"/>
              </w:rPr>
            </w:pPr>
            <w:r>
              <w:rPr>
                <w:b/>
                <w:bCs/>
                <w:color w:val="auto"/>
                <w:sz w:val="24"/>
                <w:highlight w:val="none"/>
              </w:rPr>
              <w:object>
                <v:shape id="_x0000_i1029" o:spt="75" type="#_x0000_t75" style="height:430.6pt;width:218.35pt;" o:ole="t" filled="f" o:preferrelative="t" stroked="f" coordsize="21600,21600">
                  <v:path/>
                  <v:fill on="f" focussize="0,0"/>
                  <v:stroke on="f"/>
                  <v:imagedata r:id="rId19" o:title=""/>
                  <o:lock v:ext="edit" aspectratio="f"/>
                  <w10:wrap type="none"/>
                  <w10:anchorlock/>
                </v:shape>
                <o:OLEObject Type="Embed" ProgID="Visio.Drawing.11" ShapeID="_x0000_i1029" DrawAspect="Content" ObjectID="_1468075729" r:id="rId18">
                  <o:LockedField>false</o:LockedField>
                </o:OLEObject>
              </w:object>
            </w:r>
          </w:p>
          <w:p w14:paraId="3A7AB06C">
            <w:pPr>
              <w:spacing w:line="360" w:lineRule="auto"/>
              <w:jc w:val="center"/>
              <w:rPr>
                <w:b/>
                <w:bCs/>
                <w:color w:val="auto"/>
                <w:sz w:val="24"/>
                <w:highlight w:val="none"/>
              </w:rPr>
            </w:pPr>
            <w:r>
              <w:rPr>
                <w:b/>
                <w:bCs/>
                <w:color w:val="auto"/>
                <w:szCs w:val="21"/>
                <w:highlight w:val="none"/>
              </w:rPr>
              <w:t>图</w:t>
            </w:r>
            <w:r>
              <w:rPr>
                <w:rFonts w:hint="eastAsia"/>
                <w:b/>
                <w:bCs/>
                <w:color w:val="auto"/>
                <w:szCs w:val="21"/>
                <w:highlight w:val="none"/>
              </w:rPr>
              <w:t>2-5</w:t>
            </w:r>
            <w:r>
              <w:rPr>
                <w:b/>
                <w:bCs/>
                <w:color w:val="auto"/>
                <w:szCs w:val="21"/>
                <w:highlight w:val="none"/>
              </w:rPr>
              <w:t xml:space="preserve"> </w:t>
            </w:r>
            <w:r>
              <w:rPr>
                <w:rFonts w:hint="eastAsia"/>
                <w:b/>
                <w:bCs/>
                <w:color w:val="auto"/>
                <w:szCs w:val="21"/>
                <w:highlight w:val="none"/>
              </w:rPr>
              <w:t xml:space="preserve"> 净菜生产线</w:t>
            </w:r>
            <w:r>
              <w:rPr>
                <w:b/>
                <w:bCs/>
                <w:color w:val="auto"/>
                <w:szCs w:val="21"/>
                <w:highlight w:val="none"/>
              </w:rPr>
              <w:t>工艺流程及产污环节图</w:t>
            </w:r>
          </w:p>
          <w:p w14:paraId="0FCEF195">
            <w:pPr>
              <w:snapToGrid w:val="0"/>
              <w:spacing w:line="360" w:lineRule="auto"/>
              <w:ind w:firstLine="482" w:firstLineChars="200"/>
              <w:rPr>
                <w:b/>
                <w:bCs/>
                <w:color w:val="auto"/>
                <w:sz w:val="24"/>
                <w:highlight w:val="none"/>
              </w:rPr>
            </w:pPr>
            <w:r>
              <w:rPr>
                <w:rFonts w:hint="eastAsia"/>
                <w:b/>
                <w:bCs/>
                <w:color w:val="auto"/>
                <w:sz w:val="24"/>
                <w:highlight w:val="none"/>
              </w:rPr>
              <w:t>工艺流程简述：</w:t>
            </w:r>
          </w:p>
          <w:p w14:paraId="1116AC83">
            <w:pPr>
              <w:widowControl/>
              <w:adjustRightInd w:val="0"/>
              <w:snapToGrid w:val="0"/>
              <w:spacing w:line="360" w:lineRule="auto"/>
              <w:ind w:firstLine="480"/>
              <w:jc w:val="left"/>
              <w:rPr>
                <w:rFonts w:hAnsi="宋体" w:cs="Arial"/>
                <w:color w:val="auto"/>
                <w:sz w:val="24"/>
                <w:highlight w:val="none"/>
              </w:rPr>
            </w:pPr>
            <w:r>
              <w:rPr>
                <w:rFonts w:hint="eastAsia" w:ascii="宋体" w:hAnsi="宋体" w:cs="宋体"/>
                <w:color w:val="auto"/>
                <w:sz w:val="24"/>
                <w:highlight w:val="none"/>
              </w:rPr>
              <w:t>①</w:t>
            </w:r>
            <w:r>
              <w:rPr>
                <w:rFonts w:hint="eastAsia" w:hAnsi="宋体" w:cs="Arial"/>
                <w:color w:val="auto"/>
                <w:sz w:val="24"/>
                <w:highlight w:val="none"/>
              </w:rPr>
              <w:t>挑选：将冷库贮存的果蔬原料转运至挑选台，人工筛选出符合生产要求的果蔬。</w:t>
            </w:r>
          </w:p>
          <w:p w14:paraId="2DE4C6BA">
            <w:pPr>
              <w:widowControl/>
              <w:adjustRightInd w:val="0"/>
              <w:snapToGrid w:val="0"/>
              <w:spacing w:line="360" w:lineRule="auto"/>
              <w:ind w:firstLine="480"/>
              <w:jc w:val="left"/>
              <w:rPr>
                <w:rFonts w:ascii="宋体" w:hAnsi="宋体" w:cs="宋体"/>
                <w:color w:val="auto"/>
                <w:sz w:val="24"/>
                <w:highlight w:val="none"/>
              </w:rPr>
            </w:pPr>
            <w:r>
              <w:rPr>
                <w:rFonts w:hint="eastAsia" w:ascii="宋体" w:hAnsi="宋体" w:cs="宋体"/>
                <w:color w:val="auto"/>
                <w:sz w:val="24"/>
                <w:highlight w:val="none"/>
              </w:rPr>
              <w:t>②去皮：利用毛辊去皮清洗机同步进行去皮和清洗。</w:t>
            </w:r>
          </w:p>
          <w:p w14:paraId="3CA89CB2">
            <w:pPr>
              <w:widowControl/>
              <w:adjustRightInd w:val="0"/>
              <w:snapToGrid w:val="0"/>
              <w:spacing w:line="360" w:lineRule="auto"/>
              <w:ind w:firstLine="480"/>
              <w:jc w:val="left"/>
              <w:rPr>
                <w:rFonts w:ascii="宋体" w:hAnsi="宋体" w:cs="宋体"/>
                <w:color w:val="auto"/>
                <w:sz w:val="24"/>
                <w:highlight w:val="none"/>
              </w:rPr>
            </w:pPr>
            <w:r>
              <w:rPr>
                <w:rFonts w:hint="eastAsia" w:ascii="宋体" w:hAnsi="宋体" w:cs="宋体"/>
                <w:color w:val="auto"/>
                <w:sz w:val="24"/>
                <w:highlight w:val="none"/>
              </w:rPr>
              <w:t>③分切：去皮完成后，利用多功能切片机进行分切，确保切片满足产品质量和规格要求。</w:t>
            </w:r>
          </w:p>
          <w:p w14:paraId="2B902B50">
            <w:pPr>
              <w:widowControl/>
              <w:adjustRightInd w:val="0"/>
              <w:snapToGrid w:val="0"/>
              <w:spacing w:line="360" w:lineRule="auto"/>
              <w:ind w:firstLine="480"/>
              <w:jc w:val="left"/>
              <w:rPr>
                <w:rFonts w:ascii="宋体" w:hAnsi="宋体" w:cs="宋体"/>
                <w:color w:val="auto"/>
                <w:sz w:val="24"/>
                <w:highlight w:val="none"/>
              </w:rPr>
            </w:pPr>
            <w:r>
              <w:rPr>
                <w:rFonts w:hint="eastAsia" w:ascii="宋体" w:hAnsi="宋体" w:cs="宋体"/>
                <w:color w:val="auto"/>
                <w:sz w:val="24"/>
                <w:highlight w:val="none"/>
              </w:rPr>
              <w:t>④清洗：利用除渣涡流清洗机和涡流清洗机对果蔬切片进行清洗，确保其干净、不含杂质。</w:t>
            </w:r>
          </w:p>
          <w:p w14:paraId="54DA5CF3">
            <w:pPr>
              <w:widowControl/>
              <w:adjustRightInd w:val="0"/>
              <w:snapToGrid w:val="0"/>
              <w:spacing w:line="360" w:lineRule="auto"/>
              <w:ind w:firstLine="480"/>
              <w:jc w:val="left"/>
              <w:rPr>
                <w:color w:val="auto"/>
                <w:sz w:val="24"/>
                <w:highlight w:val="none"/>
              </w:rPr>
            </w:pPr>
            <w:r>
              <w:rPr>
                <w:rFonts w:hint="eastAsia" w:ascii="宋体" w:hAnsi="宋体" w:cs="宋体"/>
                <w:color w:val="auto"/>
                <w:sz w:val="24"/>
                <w:highlight w:val="none"/>
              </w:rPr>
              <w:t>⑤振动沥水：清洗后利用振动筛进行振动沥水，减少水分，便于后续风干。</w:t>
            </w:r>
          </w:p>
          <w:p w14:paraId="582CBBA7">
            <w:pPr>
              <w:widowControl/>
              <w:adjustRightInd w:val="0"/>
              <w:snapToGrid w:val="0"/>
              <w:spacing w:line="360" w:lineRule="auto"/>
              <w:ind w:firstLine="480"/>
              <w:jc w:val="left"/>
              <w:rPr>
                <w:color w:val="auto"/>
                <w:sz w:val="24"/>
                <w:highlight w:val="none"/>
              </w:rPr>
            </w:pPr>
            <w:r>
              <w:rPr>
                <w:rFonts w:hint="eastAsia" w:ascii="宋体" w:hAnsi="宋体" w:cs="宋体"/>
                <w:color w:val="auto"/>
                <w:sz w:val="24"/>
                <w:highlight w:val="none"/>
              </w:rPr>
              <w:t>⑥</w:t>
            </w:r>
            <w:r>
              <w:rPr>
                <w:rFonts w:hint="eastAsia"/>
                <w:color w:val="auto"/>
                <w:sz w:val="24"/>
                <w:highlight w:val="none"/>
              </w:rPr>
              <w:t>风干：利用风干机随沥水后的净菜进行进一步脱水。</w:t>
            </w:r>
          </w:p>
          <w:p w14:paraId="4727ECA7">
            <w:pPr>
              <w:widowControl/>
              <w:adjustRightInd w:val="0"/>
              <w:snapToGrid w:val="0"/>
              <w:spacing w:line="360" w:lineRule="auto"/>
              <w:ind w:firstLine="480"/>
              <w:rPr>
                <w:rFonts w:ascii="宋体" w:hAnsi="宋体" w:cs="宋体"/>
                <w:color w:val="auto"/>
                <w:sz w:val="24"/>
                <w:highlight w:val="none"/>
              </w:rPr>
            </w:pPr>
            <w:r>
              <w:rPr>
                <w:rFonts w:hint="eastAsia" w:ascii="宋体" w:hAnsi="宋体" w:cs="宋体"/>
                <w:color w:val="auto"/>
                <w:sz w:val="24"/>
                <w:highlight w:val="none"/>
              </w:rPr>
              <w:t>⑦包装：风干后对净菜进行内外包装。</w:t>
            </w:r>
          </w:p>
          <w:p w14:paraId="61AEAD97">
            <w:pPr>
              <w:widowControl/>
              <w:adjustRightInd w:val="0"/>
              <w:snapToGrid w:val="0"/>
              <w:spacing w:line="360" w:lineRule="auto"/>
              <w:ind w:firstLine="480"/>
              <w:rPr>
                <w:rFonts w:ascii="宋体" w:hAnsi="宋体" w:cs="宋体"/>
                <w:color w:val="auto"/>
                <w:sz w:val="24"/>
                <w:highlight w:val="none"/>
              </w:rPr>
            </w:pPr>
            <w:r>
              <w:rPr>
                <w:rFonts w:hint="eastAsia" w:ascii="宋体" w:hAnsi="宋体" w:cs="宋体"/>
                <w:color w:val="auto"/>
                <w:sz w:val="24"/>
                <w:highlight w:val="none"/>
              </w:rPr>
              <w:t>⑧灭菌：利用外购的微波灭菌设备进行灭菌。</w:t>
            </w:r>
          </w:p>
          <w:p w14:paraId="05465B6A">
            <w:pPr>
              <w:widowControl/>
              <w:adjustRightInd w:val="0"/>
              <w:snapToGrid w:val="0"/>
              <w:spacing w:line="360" w:lineRule="auto"/>
              <w:ind w:firstLine="480"/>
              <w:rPr>
                <w:b/>
                <w:bCs/>
                <w:color w:val="auto"/>
                <w:sz w:val="24"/>
                <w:highlight w:val="none"/>
              </w:rPr>
            </w:pPr>
            <w:r>
              <w:rPr>
                <w:rFonts w:hint="eastAsia" w:ascii="宋体" w:hAnsi="宋体" w:cs="宋体"/>
                <w:color w:val="auto"/>
                <w:sz w:val="24"/>
                <w:highlight w:val="none"/>
              </w:rPr>
              <w:t>⑨检验：对生产出的产品进行</w:t>
            </w:r>
            <w:r>
              <w:rPr>
                <w:rFonts w:hint="eastAsia" w:ascii="宋体" w:hAnsi="宋体" w:cs="宋体"/>
                <w:color w:val="auto"/>
                <w:sz w:val="24"/>
                <w:highlight w:val="none"/>
                <w:lang w:eastAsia="zh-CN"/>
              </w:rPr>
              <w:t>人工</w:t>
            </w:r>
            <w:r>
              <w:rPr>
                <w:rFonts w:hint="eastAsia" w:ascii="宋体" w:hAnsi="宋体" w:cs="宋体"/>
                <w:color w:val="auto"/>
                <w:sz w:val="24"/>
                <w:highlight w:val="none"/>
              </w:rPr>
              <w:t>检验，合格品及时外运出厂、未能及时销售的暂存于厂区成品库房；不合格品与</w:t>
            </w:r>
            <w:r>
              <w:rPr>
                <w:rFonts w:hint="eastAsia" w:ascii="宋体" w:hAnsi="宋体" w:cs="宋体"/>
                <w:color w:val="auto"/>
                <w:kern w:val="0"/>
                <w:sz w:val="24"/>
                <w:highlight w:val="none"/>
              </w:rPr>
              <w:t>果蔬表皮统一</w:t>
            </w:r>
            <w:r>
              <w:rPr>
                <w:rFonts w:hint="eastAsia" w:ascii="宋体" w:hAnsi="宋体" w:cs="宋体"/>
                <w:color w:val="auto"/>
                <w:kern w:val="0"/>
                <w:sz w:val="24"/>
                <w:highlight w:val="none"/>
                <w:lang w:eastAsia="zh-CN"/>
              </w:rPr>
              <w:t>收集后堆肥处置</w:t>
            </w:r>
            <w:r>
              <w:rPr>
                <w:rFonts w:hint="eastAsia" w:ascii="宋体" w:hAnsi="宋体" w:cs="宋体"/>
                <w:color w:val="auto"/>
                <w:sz w:val="24"/>
                <w:highlight w:val="none"/>
              </w:rPr>
              <w:t>。</w:t>
            </w:r>
          </w:p>
          <w:p w14:paraId="772DB803">
            <w:pPr>
              <w:spacing w:line="360" w:lineRule="auto"/>
              <w:ind w:firstLine="482" w:firstLineChars="200"/>
              <w:rPr>
                <w:b/>
                <w:color w:val="auto"/>
                <w:sz w:val="24"/>
                <w:highlight w:val="none"/>
              </w:rPr>
            </w:pPr>
            <w:r>
              <w:rPr>
                <w:rFonts w:hint="eastAsia"/>
                <w:b/>
                <w:bCs/>
                <w:color w:val="auto"/>
                <w:sz w:val="24"/>
                <w:highlight w:val="none"/>
              </w:rPr>
              <w:t>2、</w:t>
            </w:r>
            <w:r>
              <w:rPr>
                <w:rFonts w:hint="eastAsia"/>
                <w:b/>
                <w:color w:val="auto"/>
                <w:sz w:val="24"/>
                <w:highlight w:val="none"/>
              </w:rPr>
              <w:t>主要产排污环节</w:t>
            </w:r>
          </w:p>
          <w:p w14:paraId="2FF9485F">
            <w:pPr>
              <w:adjustRightInd w:val="0"/>
              <w:snapToGrid w:val="0"/>
              <w:spacing w:line="360" w:lineRule="auto"/>
              <w:ind w:firstLine="482"/>
              <w:rPr>
                <w:color w:val="auto"/>
                <w:sz w:val="24"/>
                <w:highlight w:val="none"/>
              </w:rPr>
            </w:pPr>
            <w:r>
              <w:rPr>
                <w:rFonts w:hint="eastAsia"/>
                <w:color w:val="auto"/>
                <w:sz w:val="24"/>
                <w:highlight w:val="none"/>
              </w:rPr>
              <w:t>1）</w:t>
            </w:r>
            <w:r>
              <w:rPr>
                <w:color w:val="auto"/>
                <w:sz w:val="24"/>
                <w:highlight w:val="none"/>
              </w:rPr>
              <w:t>废气</w:t>
            </w:r>
            <w:r>
              <w:rPr>
                <w:rFonts w:hint="eastAsia"/>
                <w:color w:val="auto"/>
                <w:sz w:val="24"/>
                <w:highlight w:val="none"/>
              </w:rPr>
              <w:t>：</w:t>
            </w:r>
            <w:r>
              <w:rPr>
                <w:rFonts w:hint="eastAsia"/>
                <w:bCs/>
                <w:color w:val="auto"/>
                <w:sz w:val="24"/>
                <w:highlight w:val="none"/>
              </w:rPr>
              <w:t>本项目</w:t>
            </w:r>
            <w:r>
              <w:rPr>
                <w:rFonts w:hint="eastAsia"/>
                <w:color w:val="auto"/>
                <w:sz w:val="24"/>
                <w:highlight w:val="none"/>
              </w:rPr>
              <w:t>大气污染物主要为生物质锅炉燃烧废气、油烟、恶臭。</w:t>
            </w:r>
          </w:p>
          <w:p w14:paraId="095A32F7">
            <w:pPr>
              <w:adjustRightInd w:val="0"/>
              <w:snapToGrid w:val="0"/>
              <w:spacing w:line="360" w:lineRule="auto"/>
              <w:ind w:firstLine="482"/>
              <w:rPr>
                <w:color w:val="auto"/>
                <w:sz w:val="24"/>
                <w:highlight w:val="none"/>
              </w:rPr>
            </w:pPr>
            <w:r>
              <w:rPr>
                <w:color w:val="auto"/>
                <w:sz w:val="24"/>
                <w:highlight w:val="none"/>
              </w:rPr>
              <w:t>2</w:t>
            </w:r>
            <w:r>
              <w:rPr>
                <w:rFonts w:hint="eastAsia"/>
                <w:color w:val="auto"/>
                <w:sz w:val="24"/>
                <w:highlight w:val="none"/>
              </w:rPr>
              <w:t>）</w:t>
            </w:r>
            <w:r>
              <w:rPr>
                <w:color w:val="auto"/>
                <w:sz w:val="24"/>
                <w:highlight w:val="none"/>
              </w:rPr>
              <w:t>废水</w:t>
            </w:r>
            <w:r>
              <w:rPr>
                <w:rFonts w:hint="eastAsia"/>
                <w:color w:val="auto"/>
                <w:sz w:val="24"/>
                <w:highlight w:val="none"/>
              </w:rPr>
              <w:t>：</w:t>
            </w:r>
            <w:r>
              <w:rPr>
                <w:rFonts w:hint="eastAsia"/>
                <w:bCs/>
                <w:color w:val="auto"/>
                <w:sz w:val="24"/>
                <w:highlight w:val="none"/>
              </w:rPr>
              <w:t>本项目</w:t>
            </w:r>
            <w:r>
              <w:rPr>
                <w:color w:val="auto"/>
                <w:sz w:val="24"/>
                <w:highlight w:val="none"/>
              </w:rPr>
              <w:t>废水包括</w:t>
            </w:r>
            <w:r>
              <w:rPr>
                <w:rFonts w:hint="eastAsia"/>
                <w:color w:val="auto"/>
                <w:sz w:val="24"/>
                <w:highlight w:val="none"/>
              </w:rPr>
              <w:t>生产废水和生活污水</w:t>
            </w:r>
            <w:r>
              <w:rPr>
                <w:color w:val="auto"/>
                <w:sz w:val="24"/>
                <w:highlight w:val="none"/>
              </w:rPr>
              <w:t>。</w:t>
            </w:r>
          </w:p>
          <w:p w14:paraId="6461E806">
            <w:pPr>
              <w:adjustRightInd w:val="0"/>
              <w:snapToGrid w:val="0"/>
              <w:spacing w:line="360" w:lineRule="auto"/>
              <w:ind w:firstLine="482"/>
              <w:rPr>
                <w:bCs/>
                <w:color w:val="auto"/>
                <w:sz w:val="24"/>
                <w:highlight w:val="none"/>
              </w:rPr>
            </w:pPr>
            <w:r>
              <w:rPr>
                <w:color w:val="auto"/>
                <w:sz w:val="24"/>
                <w:highlight w:val="none"/>
              </w:rPr>
              <w:t>3</w:t>
            </w:r>
            <w:r>
              <w:rPr>
                <w:rFonts w:hint="eastAsia"/>
                <w:color w:val="auto"/>
                <w:sz w:val="24"/>
                <w:highlight w:val="none"/>
              </w:rPr>
              <w:t>）</w:t>
            </w:r>
            <w:r>
              <w:rPr>
                <w:color w:val="auto"/>
                <w:sz w:val="24"/>
                <w:highlight w:val="none"/>
              </w:rPr>
              <w:t>噪声</w:t>
            </w:r>
            <w:r>
              <w:rPr>
                <w:rFonts w:hint="eastAsia"/>
                <w:color w:val="auto"/>
                <w:sz w:val="24"/>
                <w:highlight w:val="none"/>
              </w:rPr>
              <w:t>：</w:t>
            </w:r>
            <w:r>
              <w:rPr>
                <w:rFonts w:hint="eastAsia"/>
                <w:bCs/>
                <w:color w:val="auto"/>
                <w:sz w:val="24"/>
                <w:highlight w:val="none"/>
              </w:rPr>
              <w:t>本项目</w:t>
            </w:r>
            <w:r>
              <w:rPr>
                <w:bCs/>
                <w:color w:val="auto"/>
                <w:sz w:val="24"/>
                <w:highlight w:val="none"/>
              </w:rPr>
              <w:t>噪声源主要</w:t>
            </w:r>
            <w:r>
              <w:rPr>
                <w:rFonts w:hint="eastAsia"/>
                <w:bCs/>
                <w:color w:val="auto"/>
                <w:sz w:val="24"/>
                <w:highlight w:val="none"/>
              </w:rPr>
              <w:t>来自生产设备及运输车辆</w:t>
            </w:r>
            <w:r>
              <w:rPr>
                <w:bCs/>
                <w:color w:val="auto"/>
                <w:sz w:val="24"/>
                <w:highlight w:val="none"/>
              </w:rPr>
              <w:t>等</w:t>
            </w:r>
            <w:r>
              <w:rPr>
                <w:rFonts w:hint="eastAsia"/>
                <w:bCs/>
                <w:color w:val="auto"/>
                <w:sz w:val="24"/>
                <w:highlight w:val="none"/>
              </w:rPr>
              <w:t>机械设备。</w:t>
            </w:r>
          </w:p>
          <w:p w14:paraId="1B0F1429">
            <w:pPr>
              <w:adjustRightInd w:val="0"/>
              <w:snapToGrid w:val="0"/>
              <w:spacing w:line="360" w:lineRule="auto"/>
              <w:ind w:firstLine="480" w:firstLineChars="200"/>
              <w:rPr>
                <w:rFonts w:hAnsi="宋体"/>
                <w:color w:val="auto"/>
                <w:sz w:val="24"/>
                <w:highlight w:val="none"/>
              </w:rPr>
            </w:pPr>
            <w:r>
              <w:rPr>
                <w:color w:val="auto"/>
                <w:sz w:val="24"/>
                <w:highlight w:val="none"/>
              </w:rPr>
              <w:t>4</w:t>
            </w:r>
            <w:r>
              <w:rPr>
                <w:rFonts w:hint="eastAsia"/>
                <w:color w:val="auto"/>
                <w:sz w:val="24"/>
                <w:highlight w:val="none"/>
              </w:rPr>
              <w:t>）</w:t>
            </w:r>
            <w:r>
              <w:rPr>
                <w:color w:val="auto"/>
                <w:sz w:val="24"/>
                <w:highlight w:val="none"/>
              </w:rPr>
              <w:t>固体废物</w:t>
            </w:r>
            <w:r>
              <w:rPr>
                <w:rFonts w:hint="eastAsia"/>
                <w:color w:val="auto"/>
                <w:sz w:val="24"/>
                <w:highlight w:val="none"/>
              </w:rPr>
              <w:t>：</w:t>
            </w:r>
            <w:r>
              <w:rPr>
                <w:rFonts w:hint="eastAsia"/>
                <w:color w:val="auto"/>
                <w:sz w:val="24"/>
                <w:highlight w:val="none"/>
                <w:lang w:eastAsia="zh-CN"/>
              </w:rPr>
              <w:t>除生活垃圾外，本</w:t>
            </w:r>
            <w:r>
              <w:rPr>
                <w:rFonts w:hint="eastAsia" w:hAnsi="宋体"/>
                <w:color w:val="auto"/>
                <w:sz w:val="24"/>
                <w:highlight w:val="none"/>
              </w:rPr>
              <w:t>项目运营期固废主要为</w:t>
            </w:r>
            <w:r>
              <w:rPr>
                <w:rFonts w:hint="eastAsia" w:hAnsi="宋体"/>
                <w:color w:val="auto"/>
                <w:sz w:val="24"/>
                <w:highlight w:val="none"/>
                <w:lang w:eastAsia="zh-CN"/>
              </w:rPr>
              <w:t>果蔬皮与不合格品</w:t>
            </w:r>
            <w:r>
              <w:rPr>
                <w:rFonts w:hint="eastAsia" w:hAnsi="宋体"/>
                <w:color w:val="auto"/>
                <w:sz w:val="24"/>
                <w:highlight w:val="none"/>
              </w:rPr>
              <w:t>、废油脂、废弃包装袋、灰渣、污泥。</w:t>
            </w:r>
          </w:p>
        </w:tc>
      </w:tr>
      <w:tr w14:paraId="531E967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56" w:type="dxa"/>
            <w:vAlign w:val="center"/>
          </w:tcPr>
          <w:p w14:paraId="0AD78C17">
            <w:pPr>
              <w:pStyle w:val="29"/>
              <w:adjustRightInd w:val="0"/>
              <w:snapToGrid w:val="0"/>
              <w:spacing w:before="0" w:beforeAutospacing="0" w:after="0" w:afterAutospacing="0"/>
              <w:jc w:val="both"/>
              <w:rPr>
                <w:rFonts w:cs="宋体"/>
                <w:color w:val="auto"/>
                <w:szCs w:val="24"/>
                <w:highlight w:val="none"/>
              </w:rPr>
            </w:pPr>
            <w:r>
              <w:rPr>
                <w:rFonts w:hint="eastAsia" w:cs="宋体"/>
                <w:bCs/>
                <w:color w:val="auto"/>
                <w:kern w:val="2"/>
                <w:szCs w:val="24"/>
                <w:highlight w:val="none"/>
              </w:rPr>
              <w:t>与项目有关的原有环境污染问题</w:t>
            </w:r>
          </w:p>
        </w:tc>
        <w:tc>
          <w:tcPr>
            <w:tcW w:w="8604" w:type="dxa"/>
          </w:tcPr>
          <w:p w14:paraId="0A260C8D">
            <w:pPr>
              <w:pStyle w:val="46"/>
              <w:spacing w:line="360" w:lineRule="auto"/>
              <w:ind w:firstLine="480" w:firstLineChars="200"/>
              <w:jc w:val="both"/>
              <w:rPr>
                <w:rFonts w:ascii="Times New Roman" w:cs="Times New Roman"/>
                <w:bCs/>
                <w:color w:val="auto"/>
                <w:sz w:val="32"/>
                <w:szCs w:val="32"/>
                <w:highlight w:val="none"/>
              </w:rPr>
            </w:pPr>
            <w:r>
              <w:rPr>
                <w:rFonts w:hint="eastAsia" w:ascii="Times New Roman" w:cs="Times New Roman"/>
                <w:bCs/>
                <w:color w:val="auto"/>
                <w:szCs w:val="21"/>
                <w:highlight w:val="none"/>
              </w:rPr>
              <w:t>本项目为新建项目。经现场踏勘，</w:t>
            </w:r>
            <w:r>
              <w:rPr>
                <w:rFonts w:hint="eastAsia"/>
                <w:bCs/>
                <w:color w:val="auto"/>
                <w:highlight w:val="none"/>
                <w:lang w:eastAsia="zh-CN"/>
              </w:rPr>
              <w:t>厂址区域前期未进行过其他生产活动，目前厂区</w:t>
            </w:r>
            <w:r>
              <w:rPr>
                <w:rFonts w:hint="eastAsia"/>
                <w:bCs/>
                <w:color w:val="auto"/>
                <w:highlight w:val="none"/>
              </w:rPr>
              <w:t>地面已完成硬化，生活区、生产区和包装区等主体已搭建完成，场地内无剩余废建材和生活垃圾等，无与项目有关的原有环境污染问题。</w:t>
            </w:r>
          </w:p>
          <w:p w14:paraId="70BC278E">
            <w:pPr>
              <w:pStyle w:val="46"/>
              <w:jc w:val="both"/>
              <w:rPr>
                <w:rFonts w:hAnsi="宋体"/>
                <w:bCs/>
                <w:color w:val="auto"/>
                <w:szCs w:val="21"/>
                <w:highlight w:val="none"/>
              </w:rPr>
            </w:pPr>
          </w:p>
          <w:p w14:paraId="7D466479">
            <w:pPr>
              <w:pStyle w:val="46"/>
              <w:jc w:val="both"/>
              <w:rPr>
                <w:rFonts w:hAnsi="宋体"/>
                <w:bCs/>
                <w:color w:val="auto"/>
                <w:szCs w:val="21"/>
                <w:highlight w:val="none"/>
              </w:rPr>
            </w:pPr>
          </w:p>
          <w:p w14:paraId="108979C2">
            <w:pPr>
              <w:pStyle w:val="46"/>
              <w:jc w:val="both"/>
              <w:rPr>
                <w:rFonts w:hAnsi="宋体"/>
                <w:bCs/>
                <w:color w:val="auto"/>
                <w:szCs w:val="21"/>
                <w:highlight w:val="none"/>
              </w:rPr>
            </w:pPr>
          </w:p>
          <w:p w14:paraId="0510CE70">
            <w:pPr>
              <w:pStyle w:val="46"/>
              <w:jc w:val="both"/>
              <w:rPr>
                <w:rFonts w:hAnsi="宋体"/>
                <w:bCs/>
                <w:color w:val="auto"/>
                <w:szCs w:val="21"/>
                <w:highlight w:val="none"/>
              </w:rPr>
            </w:pPr>
          </w:p>
          <w:p w14:paraId="70CC52AF">
            <w:pPr>
              <w:pStyle w:val="46"/>
              <w:jc w:val="both"/>
              <w:rPr>
                <w:rFonts w:hAnsi="宋体"/>
                <w:bCs/>
                <w:color w:val="auto"/>
                <w:szCs w:val="21"/>
                <w:highlight w:val="none"/>
              </w:rPr>
            </w:pPr>
          </w:p>
          <w:p w14:paraId="698D0606">
            <w:pPr>
              <w:pStyle w:val="46"/>
              <w:jc w:val="both"/>
              <w:rPr>
                <w:rFonts w:hAnsi="宋体"/>
                <w:bCs/>
                <w:color w:val="auto"/>
                <w:szCs w:val="21"/>
                <w:highlight w:val="none"/>
              </w:rPr>
            </w:pPr>
          </w:p>
          <w:p w14:paraId="622CF728">
            <w:pPr>
              <w:pStyle w:val="46"/>
              <w:jc w:val="both"/>
              <w:rPr>
                <w:rFonts w:hAnsi="宋体"/>
                <w:bCs/>
                <w:color w:val="auto"/>
                <w:szCs w:val="21"/>
                <w:highlight w:val="none"/>
              </w:rPr>
            </w:pPr>
          </w:p>
          <w:p w14:paraId="7212B7B5">
            <w:pPr>
              <w:pStyle w:val="46"/>
              <w:jc w:val="both"/>
              <w:rPr>
                <w:rFonts w:hAnsi="宋体"/>
                <w:bCs/>
                <w:color w:val="auto"/>
                <w:szCs w:val="21"/>
                <w:highlight w:val="none"/>
              </w:rPr>
            </w:pPr>
          </w:p>
        </w:tc>
      </w:tr>
    </w:tbl>
    <w:p w14:paraId="577F0282">
      <w:pPr>
        <w:pStyle w:val="29"/>
        <w:spacing w:before="0" w:beforeAutospacing="0" w:after="0" w:afterAutospacing="0"/>
        <w:jc w:val="center"/>
        <w:rPr>
          <w:rFonts w:ascii="黑体" w:hAnsi="黑体" w:eastAsia="黑体"/>
          <w:snapToGrid w:val="0"/>
          <w:color w:val="auto"/>
          <w:sz w:val="36"/>
          <w:szCs w:val="36"/>
          <w:highlight w:val="none"/>
        </w:rPr>
        <w:sectPr>
          <w:pgSz w:w="11906" w:h="16838"/>
          <w:pgMar w:top="1701" w:right="1531" w:bottom="1701" w:left="1531" w:header="851" w:footer="851" w:gutter="0"/>
          <w:cols w:space="720" w:num="1"/>
          <w:docGrid w:linePitch="312" w:charSpace="0"/>
        </w:sectPr>
      </w:pPr>
    </w:p>
    <w:p w14:paraId="3E9026AB">
      <w:pPr>
        <w:pStyle w:val="29"/>
        <w:spacing w:before="0" w:beforeAutospacing="0" w:after="0" w:afterAutospacing="0"/>
        <w:jc w:val="center"/>
        <w:outlineLvl w:val="0"/>
        <w:rPr>
          <w:rFonts w:ascii="黑体" w:hAnsi="黑体" w:eastAsia="黑体"/>
          <w:snapToGrid w:val="0"/>
          <w:color w:val="auto"/>
          <w:sz w:val="30"/>
          <w:szCs w:val="30"/>
          <w:highlight w:val="none"/>
        </w:rPr>
      </w:pPr>
      <w:r>
        <w:rPr>
          <w:rFonts w:hint="eastAsia" w:ascii="黑体" w:hAnsi="黑体" w:eastAsia="黑体"/>
          <w:snapToGrid w:val="0"/>
          <w:color w:val="auto"/>
          <w:sz w:val="30"/>
          <w:szCs w:val="30"/>
          <w:highlight w:val="none"/>
        </w:rPr>
        <w:t>三、区域环境质量现状、环境保护目标及评价标准</w:t>
      </w:r>
    </w:p>
    <w:tbl>
      <w:tblPr>
        <w:tblStyle w:val="35"/>
        <w:tblW w:w="899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678"/>
        <w:gridCol w:w="8312"/>
      </w:tblGrid>
      <w:tr w14:paraId="68536D8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971" w:hRule="atLeast"/>
          <w:jc w:val="center"/>
        </w:trPr>
        <w:tc>
          <w:tcPr>
            <w:tcW w:w="678" w:type="dxa"/>
            <w:vAlign w:val="center"/>
          </w:tcPr>
          <w:p w14:paraId="3B28481C">
            <w:pPr>
              <w:adjustRightInd w:val="0"/>
              <w:snapToGrid w:val="0"/>
              <w:jc w:val="center"/>
              <w:rPr>
                <w:color w:val="auto"/>
                <w:highlight w:val="none"/>
              </w:rPr>
            </w:pPr>
          </w:p>
          <w:p w14:paraId="136339C9">
            <w:pPr>
              <w:adjustRightInd w:val="0"/>
              <w:snapToGrid w:val="0"/>
              <w:jc w:val="center"/>
              <w:rPr>
                <w:color w:val="auto"/>
                <w:highlight w:val="none"/>
              </w:rPr>
            </w:pPr>
          </w:p>
          <w:p w14:paraId="60AC7ECD">
            <w:pPr>
              <w:adjustRightInd w:val="0"/>
              <w:snapToGrid w:val="0"/>
              <w:jc w:val="center"/>
              <w:rPr>
                <w:color w:val="auto"/>
                <w:highlight w:val="none"/>
              </w:rPr>
            </w:pPr>
          </w:p>
          <w:p w14:paraId="548973CF">
            <w:pPr>
              <w:adjustRightInd w:val="0"/>
              <w:snapToGrid w:val="0"/>
              <w:jc w:val="center"/>
              <w:rPr>
                <w:color w:val="auto"/>
                <w:highlight w:val="none"/>
              </w:rPr>
            </w:pPr>
          </w:p>
          <w:p w14:paraId="382CB746">
            <w:pPr>
              <w:adjustRightInd w:val="0"/>
              <w:snapToGrid w:val="0"/>
              <w:jc w:val="center"/>
              <w:rPr>
                <w:color w:val="auto"/>
                <w:highlight w:val="none"/>
              </w:rPr>
            </w:pPr>
          </w:p>
          <w:p w14:paraId="267FC190">
            <w:pPr>
              <w:adjustRightInd w:val="0"/>
              <w:snapToGrid w:val="0"/>
              <w:jc w:val="center"/>
              <w:rPr>
                <w:color w:val="auto"/>
                <w:highlight w:val="none"/>
              </w:rPr>
            </w:pPr>
          </w:p>
          <w:p w14:paraId="0E316F95">
            <w:pPr>
              <w:adjustRightInd w:val="0"/>
              <w:snapToGrid w:val="0"/>
              <w:jc w:val="center"/>
              <w:rPr>
                <w:color w:val="auto"/>
                <w:highlight w:val="none"/>
              </w:rPr>
            </w:pPr>
          </w:p>
          <w:p w14:paraId="1992586F">
            <w:pPr>
              <w:adjustRightInd w:val="0"/>
              <w:snapToGrid w:val="0"/>
              <w:jc w:val="center"/>
              <w:rPr>
                <w:color w:val="auto"/>
                <w:highlight w:val="none"/>
              </w:rPr>
            </w:pPr>
          </w:p>
          <w:p w14:paraId="1E5761BC">
            <w:pPr>
              <w:adjustRightInd w:val="0"/>
              <w:snapToGrid w:val="0"/>
              <w:jc w:val="center"/>
              <w:rPr>
                <w:color w:val="auto"/>
                <w:highlight w:val="none"/>
              </w:rPr>
            </w:pPr>
          </w:p>
          <w:p w14:paraId="194D20BF">
            <w:pPr>
              <w:adjustRightInd w:val="0"/>
              <w:snapToGrid w:val="0"/>
              <w:jc w:val="center"/>
              <w:rPr>
                <w:color w:val="auto"/>
                <w:highlight w:val="none"/>
              </w:rPr>
            </w:pPr>
          </w:p>
          <w:p w14:paraId="3EEE02BF">
            <w:pPr>
              <w:adjustRightInd w:val="0"/>
              <w:snapToGrid w:val="0"/>
              <w:jc w:val="center"/>
              <w:rPr>
                <w:color w:val="auto"/>
                <w:highlight w:val="none"/>
              </w:rPr>
            </w:pPr>
          </w:p>
          <w:p w14:paraId="4BEC3E8A">
            <w:pPr>
              <w:adjustRightInd w:val="0"/>
              <w:snapToGrid w:val="0"/>
              <w:jc w:val="center"/>
              <w:rPr>
                <w:color w:val="auto"/>
                <w:highlight w:val="none"/>
              </w:rPr>
            </w:pPr>
          </w:p>
          <w:p w14:paraId="41281637">
            <w:pPr>
              <w:adjustRightInd w:val="0"/>
              <w:snapToGrid w:val="0"/>
              <w:jc w:val="center"/>
              <w:rPr>
                <w:color w:val="auto"/>
                <w:highlight w:val="none"/>
              </w:rPr>
            </w:pPr>
          </w:p>
          <w:p w14:paraId="39E90CE7">
            <w:pPr>
              <w:adjustRightInd w:val="0"/>
              <w:snapToGrid w:val="0"/>
              <w:jc w:val="center"/>
              <w:rPr>
                <w:color w:val="auto"/>
                <w:highlight w:val="none"/>
              </w:rPr>
            </w:pPr>
          </w:p>
          <w:p w14:paraId="3CA0DA5A">
            <w:pPr>
              <w:adjustRightInd w:val="0"/>
              <w:snapToGrid w:val="0"/>
              <w:jc w:val="center"/>
              <w:rPr>
                <w:color w:val="auto"/>
                <w:highlight w:val="none"/>
              </w:rPr>
            </w:pPr>
          </w:p>
          <w:p w14:paraId="01E57FC6">
            <w:pPr>
              <w:adjustRightInd w:val="0"/>
              <w:snapToGrid w:val="0"/>
              <w:jc w:val="center"/>
              <w:rPr>
                <w:color w:val="auto"/>
                <w:highlight w:val="none"/>
              </w:rPr>
            </w:pPr>
          </w:p>
          <w:p w14:paraId="5C637092">
            <w:pPr>
              <w:adjustRightInd w:val="0"/>
              <w:snapToGrid w:val="0"/>
              <w:jc w:val="center"/>
              <w:rPr>
                <w:color w:val="auto"/>
                <w:highlight w:val="none"/>
              </w:rPr>
            </w:pPr>
          </w:p>
          <w:p w14:paraId="6DE2803C">
            <w:pPr>
              <w:adjustRightInd w:val="0"/>
              <w:snapToGrid w:val="0"/>
              <w:jc w:val="center"/>
              <w:rPr>
                <w:color w:val="auto"/>
                <w:highlight w:val="none"/>
              </w:rPr>
            </w:pPr>
          </w:p>
          <w:p w14:paraId="255E5D8F">
            <w:pPr>
              <w:adjustRightInd w:val="0"/>
              <w:snapToGrid w:val="0"/>
              <w:jc w:val="center"/>
              <w:rPr>
                <w:color w:val="auto"/>
                <w:highlight w:val="none"/>
              </w:rPr>
            </w:pPr>
          </w:p>
          <w:p w14:paraId="3037EFD2">
            <w:pPr>
              <w:adjustRightInd w:val="0"/>
              <w:snapToGrid w:val="0"/>
              <w:jc w:val="center"/>
              <w:rPr>
                <w:color w:val="auto"/>
                <w:highlight w:val="none"/>
              </w:rPr>
            </w:pPr>
          </w:p>
          <w:p w14:paraId="6CF81FF5">
            <w:pPr>
              <w:adjustRightInd w:val="0"/>
              <w:snapToGrid w:val="0"/>
              <w:jc w:val="center"/>
              <w:rPr>
                <w:color w:val="auto"/>
                <w:sz w:val="24"/>
                <w:highlight w:val="none"/>
              </w:rPr>
            </w:pPr>
            <w:r>
              <w:rPr>
                <w:rFonts w:hint="eastAsia"/>
                <w:color w:val="auto"/>
                <w:sz w:val="24"/>
                <w:highlight w:val="none"/>
              </w:rPr>
              <w:t>区</w:t>
            </w:r>
          </w:p>
          <w:p w14:paraId="05EEDD96">
            <w:pPr>
              <w:adjustRightInd w:val="0"/>
              <w:snapToGrid w:val="0"/>
              <w:jc w:val="center"/>
              <w:rPr>
                <w:color w:val="auto"/>
                <w:sz w:val="24"/>
                <w:highlight w:val="none"/>
              </w:rPr>
            </w:pPr>
            <w:r>
              <w:rPr>
                <w:rFonts w:hint="eastAsia"/>
                <w:color w:val="auto"/>
                <w:sz w:val="24"/>
                <w:highlight w:val="none"/>
              </w:rPr>
              <w:t>域</w:t>
            </w:r>
          </w:p>
          <w:p w14:paraId="37B78667">
            <w:pPr>
              <w:adjustRightInd w:val="0"/>
              <w:snapToGrid w:val="0"/>
              <w:jc w:val="center"/>
              <w:rPr>
                <w:color w:val="auto"/>
                <w:sz w:val="24"/>
                <w:highlight w:val="none"/>
              </w:rPr>
            </w:pPr>
            <w:r>
              <w:rPr>
                <w:rFonts w:hint="eastAsia"/>
                <w:color w:val="auto"/>
                <w:sz w:val="24"/>
                <w:highlight w:val="none"/>
              </w:rPr>
              <w:t>环</w:t>
            </w:r>
          </w:p>
          <w:p w14:paraId="16ABFF21">
            <w:pPr>
              <w:adjustRightInd w:val="0"/>
              <w:snapToGrid w:val="0"/>
              <w:jc w:val="center"/>
              <w:rPr>
                <w:color w:val="auto"/>
                <w:sz w:val="24"/>
                <w:highlight w:val="none"/>
              </w:rPr>
            </w:pPr>
            <w:r>
              <w:rPr>
                <w:rFonts w:hint="eastAsia"/>
                <w:color w:val="auto"/>
                <w:sz w:val="24"/>
                <w:highlight w:val="none"/>
              </w:rPr>
              <w:t>境</w:t>
            </w:r>
          </w:p>
          <w:p w14:paraId="5F674311">
            <w:pPr>
              <w:adjustRightInd w:val="0"/>
              <w:snapToGrid w:val="0"/>
              <w:jc w:val="center"/>
              <w:rPr>
                <w:color w:val="auto"/>
                <w:sz w:val="24"/>
                <w:highlight w:val="none"/>
              </w:rPr>
            </w:pPr>
            <w:r>
              <w:rPr>
                <w:rFonts w:hint="eastAsia"/>
                <w:color w:val="auto"/>
                <w:sz w:val="24"/>
                <w:highlight w:val="none"/>
              </w:rPr>
              <w:t>质</w:t>
            </w:r>
          </w:p>
          <w:p w14:paraId="1784D837">
            <w:pPr>
              <w:adjustRightInd w:val="0"/>
              <w:snapToGrid w:val="0"/>
              <w:jc w:val="center"/>
              <w:rPr>
                <w:color w:val="auto"/>
                <w:sz w:val="24"/>
                <w:highlight w:val="none"/>
              </w:rPr>
            </w:pPr>
            <w:r>
              <w:rPr>
                <w:rFonts w:hint="eastAsia"/>
                <w:color w:val="auto"/>
                <w:sz w:val="24"/>
                <w:highlight w:val="none"/>
              </w:rPr>
              <w:t>量</w:t>
            </w:r>
          </w:p>
          <w:p w14:paraId="5E67852E">
            <w:pPr>
              <w:adjustRightInd w:val="0"/>
              <w:snapToGrid w:val="0"/>
              <w:jc w:val="center"/>
              <w:rPr>
                <w:color w:val="auto"/>
                <w:sz w:val="24"/>
                <w:highlight w:val="none"/>
              </w:rPr>
            </w:pPr>
            <w:r>
              <w:rPr>
                <w:rFonts w:hint="eastAsia"/>
                <w:color w:val="auto"/>
                <w:sz w:val="24"/>
                <w:highlight w:val="none"/>
              </w:rPr>
              <w:t>现</w:t>
            </w:r>
          </w:p>
          <w:p w14:paraId="446D0F53">
            <w:pPr>
              <w:adjustRightInd w:val="0"/>
              <w:snapToGrid w:val="0"/>
              <w:jc w:val="center"/>
              <w:rPr>
                <w:color w:val="auto"/>
                <w:sz w:val="24"/>
                <w:highlight w:val="none"/>
              </w:rPr>
            </w:pPr>
            <w:r>
              <w:rPr>
                <w:rFonts w:hint="eastAsia"/>
                <w:color w:val="auto"/>
                <w:sz w:val="24"/>
                <w:highlight w:val="none"/>
              </w:rPr>
              <w:t>状</w:t>
            </w:r>
          </w:p>
          <w:p w14:paraId="26F1C649">
            <w:pPr>
              <w:adjustRightInd w:val="0"/>
              <w:snapToGrid w:val="0"/>
              <w:jc w:val="center"/>
              <w:rPr>
                <w:color w:val="auto"/>
                <w:highlight w:val="none"/>
              </w:rPr>
            </w:pPr>
          </w:p>
          <w:p w14:paraId="24509DE9">
            <w:pPr>
              <w:adjustRightInd w:val="0"/>
              <w:snapToGrid w:val="0"/>
              <w:jc w:val="center"/>
              <w:rPr>
                <w:color w:val="auto"/>
                <w:highlight w:val="none"/>
              </w:rPr>
            </w:pPr>
          </w:p>
          <w:p w14:paraId="43C6C0BF">
            <w:pPr>
              <w:adjustRightInd w:val="0"/>
              <w:snapToGrid w:val="0"/>
              <w:jc w:val="center"/>
              <w:rPr>
                <w:color w:val="auto"/>
                <w:highlight w:val="none"/>
              </w:rPr>
            </w:pPr>
          </w:p>
          <w:p w14:paraId="3ADD35B4">
            <w:pPr>
              <w:adjustRightInd w:val="0"/>
              <w:snapToGrid w:val="0"/>
              <w:jc w:val="center"/>
              <w:rPr>
                <w:color w:val="auto"/>
                <w:highlight w:val="none"/>
              </w:rPr>
            </w:pPr>
          </w:p>
          <w:p w14:paraId="53621DD2">
            <w:pPr>
              <w:adjustRightInd w:val="0"/>
              <w:snapToGrid w:val="0"/>
              <w:jc w:val="center"/>
              <w:rPr>
                <w:color w:val="auto"/>
                <w:highlight w:val="none"/>
              </w:rPr>
            </w:pPr>
          </w:p>
          <w:p w14:paraId="761EDC8C">
            <w:pPr>
              <w:adjustRightInd w:val="0"/>
              <w:snapToGrid w:val="0"/>
              <w:jc w:val="center"/>
              <w:rPr>
                <w:color w:val="auto"/>
                <w:highlight w:val="none"/>
              </w:rPr>
            </w:pPr>
          </w:p>
          <w:p w14:paraId="18FFF035">
            <w:pPr>
              <w:adjustRightInd w:val="0"/>
              <w:snapToGrid w:val="0"/>
              <w:jc w:val="center"/>
              <w:rPr>
                <w:color w:val="auto"/>
                <w:highlight w:val="none"/>
              </w:rPr>
            </w:pPr>
          </w:p>
          <w:p w14:paraId="2DAED2C8">
            <w:pPr>
              <w:adjustRightInd w:val="0"/>
              <w:snapToGrid w:val="0"/>
              <w:jc w:val="center"/>
              <w:rPr>
                <w:color w:val="auto"/>
                <w:highlight w:val="none"/>
              </w:rPr>
            </w:pPr>
          </w:p>
          <w:p w14:paraId="26D91EF8">
            <w:pPr>
              <w:adjustRightInd w:val="0"/>
              <w:snapToGrid w:val="0"/>
              <w:jc w:val="center"/>
              <w:rPr>
                <w:color w:val="auto"/>
                <w:highlight w:val="none"/>
              </w:rPr>
            </w:pPr>
          </w:p>
          <w:p w14:paraId="7285E18A">
            <w:pPr>
              <w:adjustRightInd w:val="0"/>
              <w:snapToGrid w:val="0"/>
              <w:jc w:val="center"/>
              <w:rPr>
                <w:color w:val="auto"/>
                <w:highlight w:val="none"/>
              </w:rPr>
            </w:pPr>
          </w:p>
          <w:p w14:paraId="152A55FC">
            <w:pPr>
              <w:adjustRightInd w:val="0"/>
              <w:snapToGrid w:val="0"/>
              <w:jc w:val="center"/>
              <w:rPr>
                <w:color w:val="auto"/>
                <w:highlight w:val="none"/>
              </w:rPr>
            </w:pPr>
          </w:p>
          <w:p w14:paraId="143158ED">
            <w:pPr>
              <w:adjustRightInd w:val="0"/>
              <w:snapToGrid w:val="0"/>
              <w:jc w:val="center"/>
              <w:rPr>
                <w:color w:val="auto"/>
                <w:highlight w:val="none"/>
              </w:rPr>
            </w:pPr>
          </w:p>
          <w:p w14:paraId="442D2E4D">
            <w:pPr>
              <w:adjustRightInd w:val="0"/>
              <w:snapToGrid w:val="0"/>
              <w:jc w:val="center"/>
              <w:rPr>
                <w:color w:val="auto"/>
                <w:highlight w:val="none"/>
              </w:rPr>
            </w:pPr>
          </w:p>
          <w:p w14:paraId="14560E47">
            <w:pPr>
              <w:adjustRightInd w:val="0"/>
              <w:snapToGrid w:val="0"/>
              <w:jc w:val="center"/>
              <w:rPr>
                <w:color w:val="auto"/>
                <w:highlight w:val="none"/>
              </w:rPr>
            </w:pPr>
          </w:p>
          <w:p w14:paraId="446E6627">
            <w:pPr>
              <w:adjustRightInd w:val="0"/>
              <w:snapToGrid w:val="0"/>
              <w:jc w:val="center"/>
              <w:rPr>
                <w:color w:val="auto"/>
                <w:highlight w:val="none"/>
              </w:rPr>
            </w:pPr>
          </w:p>
          <w:p w14:paraId="5A51AE06">
            <w:pPr>
              <w:adjustRightInd w:val="0"/>
              <w:snapToGrid w:val="0"/>
              <w:jc w:val="center"/>
              <w:rPr>
                <w:color w:val="auto"/>
                <w:highlight w:val="none"/>
              </w:rPr>
            </w:pPr>
          </w:p>
          <w:p w14:paraId="0A8DFD71">
            <w:pPr>
              <w:adjustRightInd w:val="0"/>
              <w:snapToGrid w:val="0"/>
              <w:jc w:val="center"/>
              <w:rPr>
                <w:color w:val="auto"/>
                <w:highlight w:val="none"/>
              </w:rPr>
            </w:pPr>
          </w:p>
          <w:p w14:paraId="044082B0">
            <w:pPr>
              <w:adjustRightInd w:val="0"/>
              <w:snapToGrid w:val="0"/>
              <w:jc w:val="center"/>
              <w:rPr>
                <w:color w:val="auto"/>
                <w:highlight w:val="none"/>
              </w:rPr>
            </w:pPr>
          </w:p>
          <w:p w14:paraId="39E25AFA">
            <w:pPr>
              <w:adjustRightInd w:val="0"/>
              <w:snapToGrid w:val="0"/>
              <w:jc w:val="center"/>
              <w:rPr>
                <w:color w:val="auto"/>
                <w:highlight w:val="none"/>
              </w:rPr>
            </w:pPr>
          </w:p>
          <w:p w14:paraId="3BC8F5C6">
            <w:pPr>
              <w:adjustRightInd w:val="0"/>
              <w:snapToGrid w:val="0"/>
              <w:jc w:val="center"/>
              <w:rPr>
                <w:color w:val="auto"/>
                <w:highlight w:val="none"/>
              </w:rPr>
            </w:pPr>
          </w:p>
          <w:p w14:paraId="27897550">
            <w:pPr>
              <w:adjustRightInd w:val="0"/>
              <w:snapToGrid w:val="0"/>
              <w:jc w:val="center"/>
              <w:rPr>
                <w:color w:val="auto"/>
                <w:highlight w:val="none"/>
              </w:rPr>
            </w:pPr>
          </w:p>
          <w:p w14:paraId="5F66435F">
            <w:pPr>
              <w:adjustRightInd w:val="0"/>
              <w:snapToGrid w:val="0"/>
              <w:jc w:val="center"/>
              <w:rPr>
                <w:color w:val="auto"/>
                <w:highlight w:val="none"/>
              </w:rPr>
            </w:pPr>
          </w:p>
          <w:p w14:paraId="71336E06">
            <w:pPr>
              <w:adjustRightInd w:val="0"/>
              <w:snapToGrid w:val="0"/>
              <w:jc w:val="center"/>
              <w:rPr>
                <w:color w:val="auto"/>
                <w:highlight w:val="none"/>
              </w:rPr>
            </w:pPr>
          </w:p>
          <w:p w14:paraId="5D10C634">
            <w:pPr>
              <w:adjustRightInd w:val="0"/>
              <w:snapToGrid w:val="0"/>
              <w:jc w:val="center"/>
              <w:rPr>
                <w:color w:val="auto"/>
                <w:highlight w:val="none"/>
              </w:rPr>
            </w:pPr>
          </w:p>
          <w:p w14:paraId="679093A0">
            <w:pPr>
              <w:adjustRightInd w:val="0"/>
              <w:snapToGrid w:val="0"/>
              <w:jc w:val="center"/>
              <w:rPr>
                <w:color w:val="auto"/>
                <w:highlight w:val="none"/>
              </w:rPr>
            </w:pPr>
          </w:p>
          <w:p w14:paraId="307C600E">
            <w:pPr>
              <w:adjustRightInd w:val="0"/>
              <w:snapToGrid w:val="0"/>
              <w:jc w:val="center"/>
              <w:rPr>
                <w:color w:val="auto"/>
                <w:highlight w:val="none"/>
              </w:rPr>
            </w:pPr>
          </w:p>
          <w:p w14:paraId="2E7DC763">
            <w:pPr>
              <w:adjustRightInd w:val="0"/>
              <w:snapToGrid w:val="0"/>
              <w:jc w:val="center"/>
              <w:rPr>
                <w:color w:val="auto"/>
                <w:highlight w:val="none"/>
              </w:rPr>
            </w:pPr>
          </w:p>
          <w:p w14:paraId="2A56F3B0">
            <w:pPr>
              <w:adjustRightInd w:val="0"/>
              <w:snapToGrid w:val="0"/>
              <w:jc w:val="center"/>
              <w:rPr>
                <w:color w:val="auto"/>
                <w:highlight w:val="none"/>
              </w:rPr>
            </w:pPr>
          </w:p>
          <w:p w14:paraId="64CF6ECB">
            <w:pPr>
              <w:adjustRightInd w:val="0"/>
              <w:snapToGrid w:val="0"/>
              <w:jc w:val="center"/>
              <w:rPr>
                <w:color w:val="auto"/>
                <w:highlight w:val="none"/>
              </w:rPr>
            </w:pPr>
          </w:p>
          <w:p w14:paraId="04DA4302">
            <w:pPr>
              <w:adjustRightInd w:val="0"/>
              <w:snapToGrid w:val="0"/>
              <w:jc w:val="center"/>
              <w:rPr>
                <w:color w:val="auto"/>
                <w:highlight w:val="none"/>
              </w:rPr>
            </w:pPr>
          </w:p>
          <w:p w14:paraId="44494E5C">
            <w:pPr>
              <w:adjustRightInd w:val="0"/>
              <w:snapToGrid w:val="0"/>
              <w:rPr>
                <w:color w:val="auto"/>
                <w:highlight w:val="none"/>
              </w:rPr>
            </w:pPr>
          </w:p>
          <w:p w14:paraId="4B5006D3">
            <w:pPr>
              <w:adjustRightInd w:val="0"/>
              <w:snapToGrid w:val="0"/>
              <w:jc w:val="center"/>
              <w:rPr>
                <w:color w:val="auto"/>
                <w:sz w:val="24"/>
                <w:highlight w:val="none"/>
              </w:rPr>
            </w:pPr>
          </w:p>
          <w:p w14:paraId="5822999A">
            <w:pPr>
              <w:adjustRightInd w:val="0"/>
              <w:snapToGrid w:val="0"/>
              <w:jc w:val="center"/>
              <w:rPr>
                <w:color w:val="auto"/>
                <w:sz w:val="24"/>
                <w:highlight w:val="none"/>
              </w:rPr>
            </w:pPr>
            <w:r>
              <w:rPr>
                <w:rFonts w:hint="eastAsia"/>
                <w:color w:val="auto"/>
                <w:sz w:val="24"/>
                <w:highlight w:val="none"/>
              </w:rPr>
              <w:t>区域</w:t>
            </w:r>
          </w:p>
          <w:p w14:paraId="426B97B1">
            <w:pPr>
              <w:adjustRightInd w:val="0"/>
              <w:snapToGrid w:val="0"/>
              <w:jc w:val="center"/>
              <w:rPr>
                <w:color w:val="auto"/>
                <w:sz w:val="24"/>
                <w:highlight w:val="none"/>
              </w:rPr>
            </w:pPr>
            <w:r>
              <w:rPr>
                <w:rFonts w:hint="eastAsia"/>
                <w:color w:val="auto"/>
                <w:sz w:val="24"/>
                <w:highlight w:val="none"/>
              </w:rPr>
              <w:t>环境</w:t>
            </w:r>
          </w:p>
          <w:p w14:paraId="34A7269C">
            <w:pPr>
              <w:adjustRightInd w:val="0"/>
              <w:snapToGrid w:val="0"/>
              <w:jc w:val="center"/>
              <w:rPr>
                <w:color w:val="auto"/>
                <w:sz w:val="24"/>
                <w:highlight w:val="none"/>
              </w:rPr>
            </w:pPr>
            <w:r>
              <w:rPr>
                <w:rFonts w:hint="eastAsia"/>
                <w:color w:val="auto"/>
                <w:sz w:val="24"/>
                <w:highlight w:val="none"/>
              </w:rPr>
              <w:t>质量</w:t>
            </w:r>
          </w:p>
          <w:p w14:paraId="0B810930">
            <w:pPr>
              <w:adjustRightInd w:val="0"/>
              <w:snapToGrid w:val="0"/>
              <w:jc w:val="center"/>
              <w:rPr>
                <w:rFonts w:hAnsi="宋体"/>
                <w:color w:val="auto"/>
                <w:szCs w:val="21"/>
                <w:highlight w:val="none"/>
              </w:rPr>
            </w:pPr>
            <w:r>
              <w:rPr>
                <w:rFonts w:hint="eastAsia"/>
                <w:color w:val="auto"/>
                <w:sz w:val="24"/>
                <w:highlight w:val="none"/>
              </w:rPr>
              <w:t>现状</w:t>
            </w:r>
          </w:p>
        </w:tc>
        <w:tc>
          <w:tcPr>
            <w:tcW w:w="8312" w:type="dxa"/>
          </w:tcPr>
          <w:p w14:paraId="704A3A18">
            <w:pPr>
              <w:spacing w:line="360" w:lineRule="auto"/>
              <w:ind w:firstLine="482" w:firstLineChars="200"/>
              <w:rPr>
                <w:b/>
                <w:bCs/>
                <w:color w:val="auto"/>
                <w:sz w:val="24"/>
                <w:highlight w:val="none"/>
              </w:rPr>
            </w:pPr>
            <w:r>
              <w:rPr>
                <w:rFonts w:hint="eastAsia"/>
                <w:b/>
                <w:bCs/>
                <w:color w:val="auto"/>
                <w:sz w:val="24"/>
                <w:highlight w:val="none"/>
              </w:rPr>
              <w:t>（一）</w:t>
            </w:r>
            <w:r>
              <w:rPr>
                <w:b/>
                <w:bCs/>
                <w:color w:val="auto"/>
                <w:sz w:val="24"/>
                <w:highlight w:val="none"/>
              </w:rPr>
              <w:t>环境空气质量现状</w:t>
            </w:r>
          </w:p>
          <w:p w14:paraId="6AA3ABBE">
            <w:pPr>
              <w:spacing w:line="360" w:lineRule="auto"/>
              <w:ind w:firstLine="482" w:firstLineChars="200"/>
              <w:rPr>
                <w:b/>
                <w:bCs/>
                <w:color w:val="auto"/>
                <w:sz w:val="24"/>
                <w:highlight w:val="none"/>
              </w:rPr>
            </w:pPr>
            <w:r>
              <w:rPr>
                <w:b/>
                <w:bCs/>
                <w:color w:val="auto"/>
                <w:sz w:val="24"/>
                <w:highlight w:val="none"/>
              </w:rPr>
              <w:t>1、</w:t>
            </w:r>
            <w:r>
              <w:rPr>
                <w:rFonts w:hint="eastAsia"/>
                <w:b/>
                <w:bCs/>
                <w:color w:val="auto"/>
                <w:sz w:val="24"/>
                <w:highlight w:val="none"/>
              </w:rPr>
              <w:t>常规污染物</w:t>
            </w:r>
          </w:p>
          <w:p w14:paraId="24009023">
            <w:pPr>
              <w:snapToGrid w:val="0"/>
              <w:spacing w:line="360" w:lineRule="auto"/>
              <w:ind w:firstLine="480" w:firstLineChars="200"/>
              <w:rPr>
                <w:color w:val="auto"/>
                <w:sz w:val="24"/>
                <w:highlight w:val="none"/>
              </w:rPr>
            </w:pPr>
            <w:r>
              <w:rPr>
                <w:color w:val="auto"/>
                <w:sz w:val="24"/>
                <w:highlight w:val="none"/>
              </w:rPr>
              <w:t>项目评价区域内环境空气质量执行《环境空气质量标准》</w:t>
            </w:r>
            <w:r>
              <w:rPr>
                <w:rFonts w:hint="eastAsia"/>
                <w:color w:val="auto"/>
                <w:sz w:val="24"/>
                <w:highlight w:val="none"/>
                <w:lang w:eastAsia="zh-CN"/>
              </w:rPr>
              <w:t>（</w:t>
            </w:r>
            <w:r>
              <w:rPr>
                <w:color w:val="auto"/>
                <w:sz w:val="24"/>
                <w:highlight w:val="none"/>
              </w:rPr>
              <w:t>GB3095-2012</w:t>
            </w:r>
            <w:r>
              <w:rPr>
                <w:rFonts w:hint="eastAsia"/>
                <w:color w:val="auto"/>
                <w:sz w:val="24"/>
                <w:highlight w:val="none"/>
                <w:lang w:eastAsia="zh-CN"/>
              </w:rPr>
              <w:t>）</w:t>
            </w:r>
            <w:r>
              <w:rPr>
                <w:color w:val="auto"/>
                <w:sz w:val="24"/>
                <w:highlight w:val="none"/>
              </w:rPr>
              <w:t>中二级标准。项目所在区域</w:t>
            </w:r>
            <w:r>
              <w:rPr>
                <w:rFonts w:hint="eastAsia"/>
                <w:color w:val="auto"/>
                <w:sz w:val="24"/>
                <w:highlight w:val="none"/>
              </w:rPr>
              <w:t>常规污染物</w:t>
            </w:r>
            <w:r>
              <w:rPr>
                <w:color w:val="auto"/>
                <w:sz w:val="24"/>
                <w:highlight w:val="none"/>
              </w:rPr>
              <w:t>判定优先采用国家或地方生态环境主管部门发布的评价基准年环境质量公告或环境质量报告中的数据或结论。</w:t>
            </w:r>
          </w:p>
          <w:p w14:paraId="44A648B6">
            <w:pPr>
              <w:adjustRightInd w:val="0"/>
              <w:snapToGrid w:val="0"/>
              <w:spacing w:line="360" w:lineRule="auto"/>
              <w:ind w:firstLine="480" w:firstLineChars="200"/>
              <w:jc w:val="left"/>
              <w:rPr>
                <w:color w:val="auto"/>
                <w:sz w:val="24"/>
                <w:highlight w:val="none"/>
              </w:rPr>
            </w:pPr>
            <w:r>
              <w:rPr>
                <w:color w:val="auto"/>
                <w:sz w:val="24"/>
                <w:highlight w:val="none"/>
              </w:rPr>
              <w:t>本次评价引用陕西省生态环境厅办公室发布的《环保快报（202</w:t>
            </w:r>
            <w:r>
              <w:rPr>
                <w:rFonts w:hint="eastAsia"/>
                <w:color w:val="auto"/>
                <w:sz w:val="24"/>
                <w:highlight w:val="none"/>
              </w:rPr>
              <w:t>5</w:t>
            </w:r>
            <w:r>
              <w:rPr>
                <w:color w:val="auto"/>
                <w:sz w:val="24"/>
                <w:highlight w:val="none"/>
              </w:rPr>
              <w:t>-</w:t>
            </w:r>
            <w:r>
              <w:rPr>
                <w:rFonts w:hint="eastAsia"/>
                <w:color w:val="auto"/>
                <w:sz w:val="24"/>
                <w:highlight w:val="none"/>
              </w:rPr>
              <w:t>1</w:t>
            </w:r>
            <w:r>
              <w:rPr>
                <w:color w:val="auto"/>
                <w:sz w:val="24"/>
                <w:highlight w:val="none"/>
              </w:rPr>
              <w:t>）202</w:t>
            </w:r>
            <w:r>
              <w:rPr>
                <w:rFonts w:hint="eastAsia"/>
                <w:color w:val="auto"/>
                <w:sz w:val="24"/>
                <w:highlight w:val="none"/>
              </w:rPr>
              <w:t>4</w:t>
            </w:r>
            <w:r>
              <w:rPr>
                <w:color w:val="auto"/>
                <w:sz w:val="24"/>
                <w:highlight w:val="none"/>
              </w:rPr>
              <w:t>年12月及1～12月全省环境空气质量状况》数据</w:t>
            </w:r>
            <w:r>
              <w:rPr>
                <w:rFonts w:hint="eastAsia"/>
                <w:color w:val="auto"/>
                <w:sz w:val="24"/>
                <w:highlight w:val="none"/>
              </w:rPr>
              <w:t>，洋县空气优良天数352天</w:t>
            </w:r>
            <w:r>
              <w:rPr>
                <w:color w:val="auto"/>
                <w:sz w:val="24"/>
                <w:highlight w:val="none"/>
              </w:rPr>
              <w:t>，见表3-1。</w:t>
            </w:r>
          </w:p>
          <w:p w14:paraId="3A403839">
            <w:pPr>
              <w:tabs>
                <w:tab w:val="left" w:leader="middleDot" w:pos="8399"/>
              </w:tabs>
              <w:ind w:firstLine="420"/>
              <w:jc w:val="center"/>
              <w:rPr>
                <w:b/>
                <w:color w:val="auto"/>
                <w:szCs w:val="21"/>
                <w:highlight w:val="none"/>
              </w:rPr>
            </w:pPr>
            <w:r>
              <w:rPr>
                <w:rFonts w:hint="eastAsia"/>
                <w:b/>
                <w:color w:val="auto"/>
                <w:szCs w:val="21"/>
                <w:highlight w:val="none"/>
              </w:rPr>
              <w:t>表3-1  项目所在区域环境质量现状评价表</w:t>
            </w:r>
          </w:p>
          <w:tbl>
            <w:tblPr>
              <w:tblStyle w:val="35"/>
              <w:tblW w:w="8080"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06"/>
              <w:gridCol w:w="3118"/>
              <w:gridCol w:w="1110"/>
              <w:gridCol w:w="960"/>
              <w:gridCol w:w="876"/>
              <w:gridCol w:w="1110"/>
            </w:tblGrid>
            <w:tr w14:paraId="1C0ED5A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06" w:type="dxa"/>
                  <w:vAlign w:val="center"/>
                </w:tcPr>
                <w:p w14:paraId="4CB9AED5">
                  <w:pPr>
                    <w:pStyle w:val="46"/>
                    <w:jc w:val="center"/>
                    <w:rPr>
                      <w:rFonts w:ascii="Times New Roman" w:cs="Times New Roman"/>
                      <w:b/>
                      <w:bCs/>
                      <w:color w:val="auto"/>
                      <w:sz w:val="21"/>
                      <w:szCs w:val="21"/>
                      <w:highlight w:val="none"/>
                    </w:rPr>
                  </w:pPr>
                  <w:r>
                    <w:rPr>
                      <w:rFonts w:ascii="Times New Roman" w:cs="Times New Roman"/>
                      <w:b/>
                      <w:bCs/>
                      <w:color w:val="auto"/>
                      <w:sz w:val="21"/>
                      <w:szCs w:val="21"/>
                      <w:highlight w:val="none"/>
                    </w:rPr>
                    <w:t>污染物</w:t>
                  </w:r>
                </w:p>
              </w:tc>
              <w:tc>
                <w:tcPr>
                  <w:tcW w:w="3118" w:type="dxa"/>
                  <w:vAlign w:val="center"/>
                </w:tcPr>
                <w:p w14:paraId="0A751034">
                  <w:pPr>
                    <w:pStyle w:val="46"/>
                    <w:jc w:val="center"/>
                    <w:rPr>
                      <w:rFonts w:ascii="Times New Roman" w:cs="Times New Roman"/>
                      <w:b/>
                      <w:bCs/>
                      <w:color w:val="auto"/>
                      <w:sz w:val="21"/>
                      <w:szCs w:val="21"/>
                      <w:highlight w:val="none"/>
                    </w:rPr>
                  </w:pPr>
                  <w:r>
                    <w:rPr>
                      <w:rFonts w:ascii="Times New Roman" w:cs="Times New Roman"/>
                      <w:b/>
                      <w:bCs/>
                      <w:color w:val="auto"/>
                      <w:sz w:val="21"/>
                      <w:szCs w:val="21"/>
                      <w:highlight w:val="none"/>
                    </w:rPr>
                    <w:t>年评价指标</w:t>
                  </w:r>
                </w:p>
              </w:tc>
              <w:tc>
                <w:tcPr>
                  <w:tcW w:w="1110" w:type="dxa"/>
                  <w:vAlign w:val="center"/>
                </w:tcPr>
                <w:p w14:paraId="47FB40CE">
                  <w:pPr>
                    <w:pStyle w:val="46"/>
                    <w:jc w:val="center"/>
                    <w:rPr>
                      <w:rFonts w:ascii="Times New Roman" w:cs="Times New Roman"/>
                      <w:b/>
                      <w:bCs/>
                      <w:color w:val="auto"/>
                      <w:sz w:val="21"/>
                      <w:szCs w:val="21"/>
                      <w:highlight w:val="none"/>
                    </w:rPr>
                  </w:pPr>
                  <w:r>
                    <w:rPr>
                      <w:rFonts w:ascii="Times New Roman" w:cs="Times New Roman"/>
                      <w:b/>
                      <w:bCs/>
                      <w:color w:val="auto"/>
                      <w:sz w:val="21"/>
                      <w:szCs w:val="21"/>
                      <w:highlight w:val="none"/>
                    </w:rPr>
                    <w:t>现状浓度/(μg/m</w:t>
                  </w:r>
                  <w:r>
                    <w:rPr>
                      <w:rFonts w:ascii="Times New Roman" w:cs="Times New Roman"/>
                      <w:b/>
                      <w:bCs/>
                      <w:color w:val="auto"/>
                      <w:sz w:val="21"/>
                      <w:szCs w:val="21"/>
                      <w:highlight w:val="none"/>
                      <w:vertAlign w:val="superscript"/>
                    </w:rPr>
                    <w:t>3</w:t>
                  </w:r>
                  <w:r>
                    <w:rPr>
                      <w:rFonts w:ascii="Times New Roman" w:cs="Times New Roman"/>
                      <w:b/>
                      <w:bCs/>
                      <w:color w:val="auto"/>
                      <w:sz w:val="21"/>
                      <w:szCs w:val="21"/>
                      <w:highlight w:val="none"/>
                    </w:rPr>
                    <w:t>)</w:t>
                  </w:r>
                </w:p>
              </w:tc>
              <w:tc>
                <w:tcPr>
                  <w:tcW w:w="960" w:type="dxa"/>
                  <w:vAlign w:val="center"/>
                </w:tcPr>
                <w:p w14:paraId="0CF1F53B">
                  <w:pPr>
                    <w:pStyle w:val="46"/>
                    <w:jc w:val="center"/>
                    <w:rPr>
                      <w:rFonts w:ascii="Times New Roman" w:cs="Times New Roman"/>
                      <w:b/>
                      <w:bCs/>
                      <w:color w:val="auto"/>
                      <w:sz w:val="21"/>
                      <w:szCs w:val="21"/>
                      <w:highlight w:val="none"/>
                    </w:rPr>
                  </w:pPr>
                  <w:r>
                    <w:rPr>
                      <w:rFonts w:ascii="Times New Roman" w:cs="Times New Roman"/>
                      <w:b/>
                      <w:bCs/>
                      <w:color w:val="auto"/>
                      <w:sz w:val="21"/>
                      <w:szCs w:val="21"/>
                      <w:highlight w:val="none"/>
                    </w:rPr>
                    <w:t>标准值/(μg/m</w:t>
                  </w:r>
                  <w:r>
                    <w:rPr>
                      <w:rFonts w:ascii="Times New Roman" w:cs="Times New Roman"/>
                      <w:b/>
                      <w:bCs/>
                      <w:color w:val="auto"/>
                      <w:sz w:val="21"/>
                      <w:szCs w:val="21"/>
                      <w:highlight w:val="none"/>
                      <w:vertAlign w:val="superscript"/>
                    </w:rPr>
                    <w:t>3</w:t>
                  </w:r>
                  <w:r>
                    <w:rPr>
                      <w:rFonts w:ascii="Times New Roman" w:cs="Times New Roman"/>
                      <w:b/>
                      <w:bCs/>
                      <w:color w:val="auto"/>
                      <w:sz w:val="21"/>
                      <w:szCs w:val="21"/>
                      <w:highlight w:val="none"/>
                    </w:rPr>
                    <w:t>)</w:t>
                  </w:r>
                </w:p>
              </w:tc>
              <w:tc>
                <w:tcPr>
                  <w:tcW w:w="876" w:type="dxa"/>
                  <w:vAlign w:val="center"/>
                </w:tcPr>
                <w:p w14:paraId="39599C78">
                  <w:pPr>
                    <w:pStyle w:val="46"/>
                    <w:jc w:val="center"/>
                    <w:rPr>
                      <w:rFonts w:ascii="Times New Roman" w:cs="Times New Roman"/>
                      <w:b/>
                      <w:bCs/>
                      <w:color w:val="auto"/>
                      <w:sz w:val="21"/>
                      <w:szCs w:val="21"/>
                      <w:highlight w:val="none"/>
                    </w:rPr>
                  </w:pPr>
                  <w:r>
                    <w:rPr>
                      <w:rFonts w:ascii="Times New Roman" w:cs="Times New Roman"/>
                      <w:b/>
                      <w:bCs/>
                      <w:color w:val="auto"/>
                      <w:sz w:val="21"/>
                      <w:szCs w:val="21"/>
                      <w:highlight w:val="none"/>
                    </w:rPr>
                    <w:t>占标率</w:t>
                  </w:r>
                </w:p>
              </w:tc>
              <w:tc>
                <w:tcPr>
                  <w:tcW w:w="1110" w:type="dxa"/>
                  <w:vAlign w:val="center"/>
                </w:tcPr>
                <w:p w14:paraId="3DD47EBC">
                  <w:pPr>
                    <w:pStyle w:val="46"/>
                    <w:jc w:val="center"/>
                    <w:rPr>
                      <w:rFonts w:ascii="Times New Roman" w:cs="Times New Roman"/>
                      <w:b/>
                      <w:bCs/>
                      <w:color w:val="auto"/>
                      <w:sz w:val="21"/>
                      <w:szCs w:val="21"/>
                      <w:highlight w:val="none"/>
                    </w:rPr>
                  </w:pPr>
                  <w:r>
                    <w:rPr>
                      <w:rFonts w:ascii="Times New Roman" w:cs="Times New Roman"/>
                      <w:b/>
                      <w:bCs/>
                      <w:color w:val="auto"/>
                      <w:sz w:val="21"/>
                      <w:szCs w:val="21"/>
                      <w:highlight w:val="none"/>
                    </w:rPr>
                    <w:t>达标情况</w:t>
                  </w:r>
                </w:p>
              </w:tc>
            </w:tr>
            <w:tr w14:paraId="0C3B638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06" w:type="dxa"/>
                  <w:vAlign w:val="center"/>
                </w:tcPr>
                <w:p w14:paraId="00273BF7">
                  <w:pPr>
                    <w:widowControl/>
                    <w:jc w:val="center"/>
                    <w:textAlignment w:val="center"/>
                    <w:rPr>
                      <w:color w:val="auto"/>
                      <w:szCs w:val="21"/>
                      <w:highlight w:val="none"/>
                    </w:rPr>
                  </w:pPr>
                  <w:r>
                    <w:rPr>
                      <w:color w:val="auto"/>
                      <w:kern w:val="0"/>
                      <w:szCs w:val="21"/>
                      <w:highlight w:val="none"/>
                    </w:rPr>
                    <w:t>PM</w:t>
                  </w:r>
                  <w:r>
                    <w:rPr>
                      <w:color w:val="auto"/>
                      <w:kern w:val="0"/>
                      <w:szCs w:val="21"/>
                      <w:highlight w:val="none"/>
                      <w:vertAlign w:val="subscript"/>
                    </w:rPr>
                    <w:t>10</w:t>
                  </w:r>
                </w:p>
              </w:tc>
              <w:tc>
                <w:tcPr>
                  <w:tcW w:w="3118" w:type="dxa"/>
                  <w:vAlign w:val="center"/>
                </w:tcPr>
                <w:p w14:paraId="7C343377">
                  <w:pPr>
                    <w:widowControl/>
                    <w:jc w:val="center"/>
                    <w:textAlignment w:val="center"/>
                    <w:rPr>
                      <w:color w:val="auto"/>
                      <w:szCs w:val="21"/>
                      <w:highlight w:val="none"/>
                    </w:rPr>
                  </w:pPr>
                  <w:r>
                    <w:rPr>
                      <w:rFonts w:hint="eastAsia" w:ascii="宋体" w:hAnsi="宋体" w:cs="宋体"/>
                      <w:color w:val="auto"/>
                      <w:kern w:val="0"/>
                      <w:szCs w:val="21"/>
                      <w:highlight w:val="none"/>
                    </w:rPr>
                    <w:t>年平均质量浓度</w:t>
                  </w:r>
                </w:p>
              </w:tc>
              <w:tc>
                <w:tcPr>
                  <w:tcW w:w="1110" w:type="dxa"/>
                  <w:vAlign w:val="center"/>
                </w:tcPr>
                <w:p w14:paraId="79A75A09">
                  <w:pPr>
                    <w:widowControl/>
                    <w:jc w:val="center"/>
                    <w:textAlignment w:val="center"/>
                    <w:rPr>
                      <w:color w:val="auto"/>
                      <w:szCs w:val="21"/>
                      <w:highlight w:val="none"/>
                    </w:rPr>
                  </w:pPr>
                  <w:r>
                    <w:rPr>
                      <w:color w:val="auto"/>
                      <w:kern w:val="0"/>
                      <w:szCs w:val="21"/>
                      <w:highlight w:val="none"/>
                    </w:rPr>
                    <w:t>4</w:t>
                  </w:r>
                  <w:r>
                    <w:rPr>
                      <w:rFonts w:hint="eastAsia"/>
                      <w:color w:val="auto"/>
                      <w:kern w:val="0"/>
                      <w:szCs w:val="21"/>
                      <w:highlight w:val="none"/>
                    </w:rPr>
                    <w:t>0</w:t>
                  </w:r>
                </w:p>
              </w:tc>
              <w:tc>
                <w:tcPr>
                  <w:tcW w:w="960" w:type="dxa"/>
                  <w:vAlign w:val="center"/>
                </w:tcPr>
                <w:p w14:paraId="2435F299">
                  <w:pPr>
                    <w:widowControl/>
                    <w:jc w:val="center"/>
                    <w:textAlignment w:val="center"/>
                    <w:rPr>
                      <w:color w:val="auto"/>
                      <w:szCs w:val="21"/>
                      <w:highlight w:val="none"/>
                    </w:rPr>
                  </w:pPr>
                  <w:r>
                    <w:rPr>
                      <w:color w:val="auto"/>
                      <w:kern w:val="0"/>
                      <w:szCs w:val="21"/>
                      <w:highlight w:val="none"/>
                    </w:rPr>
                    <w:t>70</w:t>
                  </w:r>
                </w:p>
              </w:tc>
              <w:tc>
                <w:tcPr>
                  <w:tcW w:w="876" w:type="dxa"/>
                  <w:vAlign w:val="center"/>
                </w:tcPr>
                <w:p w14:paraId="44A89DA4">
                  <w:pPr>
                    <w:widowControl/>
                    <w:jc w:val="center"/>
                    <w:textAlignment w:val="center"/>
                    <w:rPr>
                      <w:color w:val="auto"/>
                      <w:szCs w:val="21"/>
                      <w:highlight w:val="none"/>
                    </w:rPr>
                  </w:pPr>
                  <w:r>
                    <w:rPr>
                      <w:rFonts w:hint="eastAsia"/>
                      <w:color w:val="auto"/>
                      <w:kern w:val="0"/>
                      <w:szCs w:val="21"/>
                      <w:highlight w:val="none"/>
                    </w:rPr>
                    <w:t>57.14</w:t>
                  </w:r>
                  <w:r>
                    <w:rPr>
                      <w:color w:val="auto"/>
                      <w:kern w:val="0"/>
                      <w:szCs w:val="21"/>
                      <w:highlight w:val="none"/>
                    </w:rPr>
                    <w:t>%</w:t>
                  </w:r>
                </w:p>
              </w:tc>
              <w:tc>
                <w:tcPr>
                  <w:tcW w:w="1110" w:type="dxa"/>
                  <w:vAlign w:val="center"/>
                </w:tcPr>
                <w:p w14:paraId="13B4700D">
                  <w:pPr>
                    <w:widowControl/>
                    <w:jc w:val="center"/>
                    <w:textAlignment w:val="center"/>
                    <w:rPr>
                      <w:color w:val="auto"/>
                      <w:szCs w:val="21"/>
                      <w:highlight w:val="none"/>
                    </w:rPr>
                  </w:pPr>
                  <w:r>
                    <w:rPr>
                      <w:rFonts w:hint="eastAsia" w:ascii="宋体" w:hAnsi="宋体" w:cs="宋体"/>
                      <w:color w:val="auto"/>
                      <w:kern w:val="0"/>
                      <w:szCs w:val="21"/>
                      <w:highlight w:val="none"/>
                    </w:rPr>
                    <w:t>达标</w:t>
                  </w:r>
                </w:p>
              </w:tc>
            </w:tr>
            <w:tr w14:paraId="1FCE38E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06" w:type="dxa"/>
                  <w:vAlign w:val="center"/>
                </w:tcPr>
                <w:p w14:paraId="5D665D2D">
                  <w:pPr>
                    <w:widowControl/>
                    <w:jc w:val="center"/>
                    <w:textAlignment w:val="center"/>
                    <w:rPr>
                      <w:color w:val="auto"/>
                      <w:szCs w:val="21"/>
                      <w:highlight w:val="none"/>
                    </w:rPr>
                  </w:pPr>
                  <w:r>
                    <w:rPr>
                      <w:color w:val="auto"/>
                      <w:kern w:val="0"/>
                      <w:szCs w:val="21"/>
                      <w:highlight w:val="none"/>
                    </w:rPr>
                    <w:t>PM</w:t>
                  </w:r>
                  <w:r>
                    <w:rPr>
                      <w:color w:val="auto"/>
                      <w:kern w:val="0"/>
                      <w:szCs w:val="21"/>
                      <w:highlight w:val="none"/>
                      <w:vertAlign w:val="subscript"/>
                    </w:rPr>
                    <w:t>2.5</w:t>
                  </w:r>
                </w:p>
              </w:tc>
              <w:tc>
                <w:tcPr>
                  <w:tcW w:w="3118" w:type="dxa"/>
                  <w:vAlign w:val="center"/>
                </w:tcPr>
                <w:p w14:paraId="3B118275">
                  <w:pPr>
                    <w:widowControl/>
                    <w:jc w:val="center"/>
                    <w:textAlignment w:val="center"/>
                    <w:rPr>
                      <w:color w:val="auto"/>
                      <w:szCs w:val="21"/>
                      <w:highlight w:val="none"/>
                    </w:rPr>
                  </w:pPr>
                  <w:r>
                    <w:rPr>
                      <w:rFonts w:hint="eastAsia" w:ascii="宋体" w:hAnsi="宋体" w:cs="宋体"/>
                      <w:color w:val="auto"/>
                      <w:kern w:val="0"/>
                      <w:szCs w:val="21"/>
                      <w:highlight w:val="none"/>
                    </w:rPr>
                    <w:t>年平均质量浓度</w:t>
                  </w:r>
                </w:p>
              </w:tc>
              <w:tc>
                <w:tcPr>
                  <w:tcW w:w="1110" w:type="dxa"/>
                  <w:vAlign w:val="center"/>
                </w:tcPr>
                <w:p w14:paraId="29C686B1">
                  <w:pPr>
                    <w:widowControl/>
                    <w:jc w:val="center"/>
                    <w:textAlignment w:val="center"/>
                    <w:rPr>
                      <w:color w:val="auto"/>
                      <w:szCs w:val="21"/>
                      <w:highlight w:val="none"/>
                    </w:rPr>
                  </w:pPr>
                  <w:r>
                    <w:rPr>
                      <w:color w:val="auto"/>
                      <w:kern w:val="0"/>
                      <w:szCs w:val="21"/>
                      <w:highlight w:val="none"/>
                    </w:rPr>
                    <w:t>27</w:t>
                  </w:r>
                </w:p>
              </w:tc>
              <w:tc>
                <w:tcPr>
                  <w:tcW w:w="960" w:type="dxa"/>
                  <w:vAlign w:val="center"/>
                </w:tcPr>
                <w:p w14:paraId="4029F304">
                  <w:pPr>
                    <w:widowControl/>
                    <w:jc w:val="center"/>
                    <w:textAlignment w:val="center"/>
                    <w:rPr>
                      <w:color w:val="auto"/>
                      <w:szCs w:val="21"/>
                      <w:highlight w:val="none"/>
                    </w:rPr>
                  </w:pPr>
                  <w:r>
                    <w:rPr>
                      <w:color w:val="auto"/>
                      <w:kern w:val="0"/>
                      <w:szCs w:val="21"/>
                      <w:highlight w:val="none"/>
                    </w:rPr>
                    <w:t>35</w:t>
                  </w:r>
                </w:p>
              </w:tc>
              <w:tc>
                <w:tcPr>
                  <w:tcW w:w="876" w:type="dxa"/>
                  <w:vAlign w:val="center"/>
                </w:tcPr>
                <w:p w14:paraId="245CBB91">
                  <w:pPr>
                    <w:widowControl/>
                    <w:jc w:val="center"/>
                    <w:textAlignment w:val="center"/>
                    <w:rPr>
                      <w:color w:val="auto"/>
                      <w:szCs w:val="21"/>
                      <w:highlight w:val="none"/>
                    </w:rPr>
                  </w:pPr>
                  <w:r>
                    <w:rPr>
                      <w:color w:val="auto"/>
                      <w:kern w:val="0"/>
                      <w:szCs w:val="21"/>
                      <w:highlight w:val="none"/>
                    </w:rPr>
                    <w:t>77.14%</w:t>
                  </w:r>
                </w:p>
              </w:tc>
              <w:tc>
                <w:tcPr>
                  <w:tcW w:w="1110" w:type="dxa"/>
                  <w:vAlign w:val="center"/>
                </w:tcPr>
                <w:p w14:paraId="14947EB9">
                  <w:pPr>
                    <w:widowControl/>
                    <w:jc w:val="center"/>
                    <w:textAlignment w:val="center"/>
                    <w:rPr>
                      <w:color w:val="auto"/>
                      <w:kern w:val="0"/>
                      <w:szCs w:val="21"/>
                      <w:highlight w:val="none"/>
                    </w:rPr>
                  </w:pPr>
                  <w:r>
                    <w:rPr>
                      <w:rFonts w:hint="eastAsia" w:ascii="宋体" w:hAnsi="宋体" w:cs="宋体"/>
                      <w:color w:val="auto"/>
                      <w:kern w:val="0"/>
                      <w:szCs w:val="21"/>
                      <w:highlight w:val="none"/>
                    </w:rPr>
                    <w:t>达标</w:t>
                  </w:r>
                </w:p>
              </w:tc>
            </w:tr>
            <w:tr w14:paraId="4C13676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06" w:type="dxa"/>
                  <w:vAlign w:val="center"/>
                </w:tcPr>
                <w:p w14:paraId="4569CA83">
                  <w:pPr>
                    <w:widowControl/>
                    <w:jc w:val="center"/>
                    <w:textAlignment w:val="center"/>
                    <w:rPr>
                      <w:color w:val="auto"/>
                      <w:szCs w:val="21"/>
                      <w:highlight w:val="none"/>
                    </w:rPr>
                  </w:pPr>
                  <w:r>
                    <w:rPr>
                      <w:color w:val="auto"/>
                      <w:kern w:val="0"/>
                      <w:szCs w:val="21"/>
                      <w:highlight w:val="none"/>
                    </w:rPr>
                    <w:t>SO</w:t>
                  </w:r>
                  <w:r>
                    <w:rPr>
                      <w:color w:val="auto"/>
                      <w:kern w:val="0"/>
                      <w:szCs w:val="21"/>
                      <w:highlight w:val="none"/>
                      <w:vertAlign w:val="subscript"/>
                    </w:rPr>
                    <w:t>2</w:t>
                  </w:r>
                </w:p>
              </w:tc>
              <w:tc>
                <w:tcPr>
                  <w:tcW w:w="3118" w:type="dxa"/>
                  <w:vAlign w:val="center"/>
                </w:tcPr>
                <w:p w14:paraId="068AE034">
                  <w:pPr>
                    <w:widowControl/>
                    <w:jc w:val="center"/>
                    <w:textAlignment w:val="center"/>
                    <w:rPr>
                      <w:color w:val="auto"/>
                      <w:szCs w:val="21"/>
                      <w:highlight w:val="none"/>
                    </w:rPr>
                  </w:pPr>
                  <w:r>
                    <w:rPr>
                      <w:rFonts w:hint="eastAsia" w:ascii="宋体" w:hAnsi="宋体" w:cs="宋体"/>
                      <w:color w:val="auto"/>
                      <w:kern w:val="0"/>
                      <w:szCs w:val="21"/>
                      <w:highlight w:val="none"/>
                    </w:rPr>
                    <w:t>年平均质量浓度</w:t>
                  </w:r>
                </w:p>
              </w:tc>
              <w:tc>
                <w:tcPr>
                  <w:tcW w:w="1110" w:type="dxa"/>
                  <w:vAlign w:val="center"/>
                </w:tcPr>
                <w:p w14:paraId="18C7F1DA">
                  <w:pPr>
                    <w:widowControl/>
                    <w:jc w:val="center"/>
                    <w:textAlignment w:val="center"/>
                    <w:rPr>
                      <w:color w:val="auto"/>
                      <w:szCs w:val="21"/>
                      <w:highlight w:val="none"/>
                    </w:rPr>
                  </w:pPr>
                  <w:r>
                    <w:rPr>
                      <w:rFonts w:hint="eastAsia"/>
                      <w:color w:val="auto"/>
                      <w:kern w:val="0"/>
                      <w:szCs w:val="21"/>
                      <w:highlight w:val="none"/>
                    </w:rPr>
                    <w:t>7</w:t>
                  </w:r>
                </w:p>
              </w:tc>
              <w:tc>
                <w:tcPr>
                  <w:tcW w:w="960" w:type="dxa"/>
                  <w:vAlign w:val="center"/>
                </w:tcPr>
                <w:p w14:paraId="4995EC32">
                  <w:pPr>
                    <w:widowControl/>
                    <w:jc w:val="center"/>
                    <w:textAlignment w:val="center"/>
                    <w:rPr>
                      <w:color w:val="auto"/>
                      <w:szCs w:val="21"/>
                      <w:highlight w:val="none"/>
                    </w:rPr>
                  </w:pPr>
                  <w:r>
                    <w:rPr>
                      <w:color w:val="auto"/>
                      <w:kern w:val="0"/>
                      <w:szCs w:val="21"/>
                      <w:highlight w:val="none"/>
                    </w:rPr>
                    <w:t>60</w:t>
                  </w:r>
                </w:p>
              </w:tc>
              <w:tc>
                <w:tcPr>
                  <w:tcW w:w="876" w:type="dxa"/>
                  <w:vAlign w:val="center"/>
                </w:tcPr>
                <w:p w14:paraId="17931641">
                  <w:pPr>
                    <w:widowControl/>
                    <w:jc w:val="center"/>
                    <w:textAlignment w:val="center"/>
                    <w:rPr>
                      <w:color w:val="auto"/>
                      <w:szCs w:val="21"/>
                      <w:highlight w:val="none"/>
                    </w:rPr>
                  </w:pPr>
                  <w:r>
                    <w:rPr>
                      <w:color w:val="auto"/>
                      <w:kern w:val="0"/>
                      <w:szCs w:val="21"/>
                      <w:highlight w:val="none"/>
                    </w:rPr>
                    <w:t>1</w:t>
                  </w:r>
                  <w:r>
                    <w:rPr>
                      <w:rFonts w:hint="eastAsia"/>
                      <w:color w:val="auto"/>
                      <w:kern w:val="0"/>
                      <w:szCs w:val="21"/>
                      <w:highlight w:val="none"/>
                    </w:rPr>
                    <w:t>1.67</w:t>
                  </w:r>
                  <w:r>
                    <w:rPr>
                      <w:color w:val="auto"/>
                      <w:kern w:val="0"/>
                      <w:szCs w:val="21"/>
                      <w:highlight w:val="none"/>
                    </w:rPr>
                    <w:t>%</w:t>
                  </w:r>
                </w:p>
              </w:tc>
              <w:tc>
                <w:tcPr>
                  <w:tcW w:w="1110" w:type="dxa"/>
                  <w:vAlign w:val="center"/>
                </w:tcPr>
                <w:p w14:paraId="00C97829">
                  <w:pPr>
                    <w:widowControl/>
                    <w:jc w:val="center"/>
                    <w:textAlignment w:val="center"/>
                    <w:rPr>
                      <w:color w:val="auto"/>
                      <w:kern w:val="0"/>
                      <w:szCs w:val="21"/>
                      <w:highlight w:val="none"/>
                    </w:rPr>
                  </w:pPr>
                  <w:r>
                    <w:rPr>
                      <w:rFonts w:hint="eastAsia" w:ascii="宋体" w:hAnsi="宋体" w:cs="宋体"/>
                      <w:color w:val="auto"/>
                      <w:kern w:val="0"/>
                      <w:szCs w:val="21"/>
                      <w:highlight w:val="none"/>
                    </w:rPr>
                    <w:t>达标</w:t>
                  </w:r>
                </w:p>
              </w:tc>
            </w:tr>
            <w:tr w14:paraId="16C6F45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06" w:type="dxa"/>
                  <w:vAlign w:val="center"/>
                </w:tcPr>
                <w:p w14:paraId="1F71CDB5">
                  <w:pPr>
                    <w:widowControl/>
                    <w:jc w:val="center"/>
                    <w:textAlignment w:val="center"/>
                    <w:rPr>
                      <w:color w:val="auto"/>
                      <w:szCs w:val="21"/>
                      <w:highlight w:val="none"/>
                    </w:rPr>
                  </w:pPr>
                  <w:r>
                    <w:rPr>
                      <w:color w:val="auto"/>
                      <w:kern w:val="0"/>
                      <w:szCs w:val="21"/>
                      <w:highlight w:val="none"/>
                    </w:rPr>
                    <w:t>NO</w:t>
                  </w:r>
                  <w:r>
                    <w:rPr>
                      <w:color w:val="auto"/>
                      <w:kern w:val="0"/>
                      <w:szCs w:val="21"/>
                      <w:highlight w:val="none"/>
                      <w:vertAlign w:val="subscript"/>
                    </w:rPr>
                    <w:t>2</w:t>
                  </w:r>
                </w:p>
              </w:tc>
              <w:tc>
                <w:tcPr>
                  <w:tcW w:w="3118" w:type="dxa"/>
                  <w:vAlign w:val="center"/>
                </w:tcPr>
                <w:p w14:paraId="6BED530C">
                  <w:pPr>
                    <w:widowControl/>
                    <w:jc w:val="center"/>
                    <w:textAlignment w:val="center"/>
                    <w:rPr>
                      <w:color w:val="auto"/>
                      <w:szCs w:val="21"/>
                      <w:highlight w:val="none"/>
                    </w:rPr>
                  </w:pPr>
                  <w:r>
                    <w:rPr>
                      <w:rFonts w:hint="eastAsia" w:ascii="宋体" w:hAnsi="宋体" w:cs="宋体"/>
                      <w:color w:val="auto"/>
                      <w:kern w:val="0"/>
                      <w:szCs w:val="21"/>
                      <w:highlight w:val="none"/>
                    </w:rPr>
                    <w:t>年平均质量浓度</w:t>
                  </w:r>
                </w:p>
              </w:tc>
              <w:tc>
                <w:tcPr>
                  <w:tcW w:w="1110" w:type="dxa"/>
                  <w:vAlign w:val="center"/>
                </w:tcPr>
                <w:p w14:paraId="0A97D957">
                  <w:pPr>
                    <w:widowControl/>
                    <w:jc w:val="center"/>
                    <w:textAlignment w:val="center"/>
                    <w:rPr>
                      <w:color w:val="auto"/>
                      <w:szCs w:val="21"/>
                      <w:highlight w:val="none"/>
                    </w:rPr>
                  </w:pPr>
                  <w:r>
                    <w:rPr>
                      <w:color w:val="auto"/>
                      <w:kern w:val="0"/>
                      <w:szCs w:val="21"/>
                      <w:highlight w:val="none"/>
                    </w:rPr>
                    <w:t>14</w:t>
                  </w:r>
                </w:p>
              </w:tc>
              <w:tc>
                <w:tcPr>
                  <w:tcW w:w="960" w:type="dxa"/>
                  <w:vAlign w:val="center"/>
                </w:tcPr>
                <w:p w14:paraId="7E799A52">
                  <w:pPr>
                    <w:widowControl/>
                    <w:jc w:val="center"/>
                    <w:textAlignment w:val="center"/>
                    <w:rPr>
                      <w:color w:val="auto"/>
                      <w:szCs w:val="21"/>
                      <w:highlight w:val="none"/>
                    </w:rPr>
                  </w:pPr>
                  <w:r>
                    <w:rPr>
                      <w:color w:val="auto"/>
                      <w:kern w:val="0"/>
                      <w:szCs w:val="21"/>
                      <w:highlight w:val="none"/>
                    </w:rPr>
                    <w:t>40</w:t>
                  </w:r>
                </w:p>
              </w:tc>
              <w:tc>
                <w:tcPr>
                  <w:tcW w:w="876" w:type="dxa"/>
                  <w:vAlign w:val="center"/>
                </w:tcPr>
                <w:p w14:paraId="1A223314">
                  <w:pPr>
                    <w:widowControl/>
                    <w:jc w:val="center"/>
                    <w:textAlignment w:val="center"/>
                    <w:rPr>
                      <w:color w:val="auto"/>
                      <w:szCs w:val="21"/>
                      <w:highlight w:val="none"/>
                    </w:rPr>
                  </w:pPr>
                  <w:r>
                    <w:rPr>
                      <w:color w:val="auto"/>
                      <w:kern w:val="0"/>
                      <w:szCs w:val="21"/>
                      <w:highlight w:val="none"/>
                    </w:rPr>
                    <w:t>35.00%</w:t>
                  </w:r>
                </w:p>
              </w:tc>
              <w:tc>
                <w:tcPr>
                  <w:tcW w:w="1110" w:type="dxa"/>
                  <w:vAlign w:val="center"/>
                </w:tcPr>
                <w:p w14:paraId="2D0E4056">
                  <w:pPr>
                    <w:widowControl/>
                    <w:jc w:val="center"/>
                    <w:textAlignment w:val="center"/>
                    <w:rPr>
                      <w:color w:val="auto"/>
                      <w:kern w:val="0"/>
                      <w:szCs w:val="21"/>
                      <w:highlight w:val="none"/>
                    </w:rPr>
                  </w:pPr>
                  <w:r>
                    <w:rPr>
                      <w:rFonts w:hint="eastAsia" w:ascii="宋体" w:hAnsi="宋体" w:cs="宋体"/>
                      <w:color w:val="auto"/>
                      <w:kern w:val="0"/>
                      <w:szCs w:val="21"/>
                      <w:highlight w:val="none"/>
                    </w:rPr>
                    <w:t>达标</w:t>
                  </w:r>
                </w:p>
              </w:tc>
            </w:tr>
            <w:tr w14:paraId="3CFEB35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06" w:type="dxa"/>
                  <w:vAlign w:val="center"/>
                </w:tcPr>
                <w:p w14:paraId="69978F6E">
                  <w:pPr>
                    <w:widowControl/>
                    <w:jc w:val="center"/>
                    <w:textAlignment w:val="center"/>
                    <w:rPr>
                      <w:color w:val="auto"/>
                      <w:szCs w:val="21"/>
                      <w:highlight w:val="none"/>
                    </w:rPr>
                  </w:pPr>
                  <w:r>
                    <w:rPr>
                      <w:color w:val="auto"/>
                      <w:kern w:val="0"/>
                      <w:szCs w:val="21"/>
                      <w:highlight w:val="none"/>
                    </w:rPr>
                    <w:t>CO</w:t>
                  </w:r>
                </w:p>
              </w:tc>
              <w:tc>
                <w:tcPr>
                  <w:tcW w:w="3118" w:type="dxa"/>
                  <w:vAlign w:val="center"/>
                </w:tcPr>
                <w:p w14:paraId="76665E27">
                  <w:pPr>
                    <w:widowControl/>
                    <w:jc w:val="center"/>
                    <w:textAlignment w:val="center"/>
                    <w:rPr>
                      <w:color w:val="auto"/>
                      <w:szCs w:val="21"/>
                      <w:highlight w:val="none"/>
                    </w:rPr>
                  </w:pPr>
                  <w:r>
                    <w:rPr>
                      <w:rFonts w:hint="eastAsia" w:ascii="宋体" w:hAnsi="宋体" w:cs="宋体"/>
                      <w:color w:val="auto"/>
                      <w:kern w:val="0"/>
                      <w:szCs w:val="21"/>
                      <w:highlight w:val="none"/>
                    </w:rPr>
                    <w:t>保证率日平均第</w:t>
                  </w:r>
                  <w:r>
                    <w:rPr>
                      <w:rStyle w:val="139"/>
                      <w:color w:val="auto"/>
                      <w:sz w:val="21"/>
                      <w:szCs w:val="21"/>
                      <w:highlight w:val="none"/>
                    </w:rPr>
                    <w:t>95</w:t>
                  </w:r>
                  <w:r>
                    <w:rPr>
                      <w:rFonts w:hint="eastAsia" w:ascii="宋体" w:hAnsi="宋体" w:cs="宋体"/>
                      <w:color w:val="auto"/>
                      <w:kern w:val="0"/>
                      <w:szCs w:val="21"/>
                      <w:highlight w:val="none"/>
                    </w:rPr>
                    <w:t>百分位数</w:t>
                  </w:r>
                </w:p>
              </w:tc>
              <w:tc>
                <w:tcPr>
                  <w:tcW w:w="1110" w:type="dxa"/>
                  <w:vAlign w:val="center"/>
                </w:tcPr>
                <w:p w14:paraId="5036ED49">
                  <w:pPr>
                    <w:widowControl/>
                    <w:jc w:val="center"/>
                    <w:textAlignment w:val="center"/>
                    <w:rPr>
                      <w:color w:val="auto"/>
                      <w:szCs w:val="21"/>
                      <w:highlight w:val="none"/>
                    </w:rPr>
                  </w:pPr>
                  <w:r>
                    <w:rPr>
                      <w:color w:val="auto"/>
                      <w:kern w:val="0"/>
                      <w:szCs w:val="21"/>
                      <w:highlight w:val="none"/>
                    </w:rPr>
                    <w:t>1200</w:t>
                  </w:r>
                </w:p>
              </w:tc>
              <w:tc>
                <w:tcPr>
                  <w:tcW w:w="960" w:type="dxa"/>
                  <w:vAlign w:val="center"/>
                </w:tcPr>
                <w:p w14:paraId="6639F1BE">
                  <w:pPr>
                    <w:widowControl/>
                    <w:jc w:val="center"/>
                    <w:textAlignment w:val="center"/>
                    <w:rPr>
                      <w:color w:val="auto"/>
                      <w:szCs w:val="21"/>
                      <w:highlight w:val="none"/>
                    </w:rPr>
                  </w:pPr>
                  <w:r>
                    <w:rPr>
                      <w:color w:val="auto"/>
                      <w:kern w:val="0"/>
                      <w:szCs w:val="21"/>
                      <w:highlight w:val="none"/>
                    </w:rPr>
                    <w:t>4000</w:t>
                  </w:r>
                </w:p>
              </w:tc>
              <w:tc>
                <w:tcPr>
                  <w:tcW w:w="876" w:type="dxa"/>
                  <w:vAlign w:val="center"/>
                </w:tcPr>
                <w:p w14:paraId="57FBF943">
                  <w:pPr>
                    <w:widowControl/>
                    <w:jc w:val="center"/>
                    <w:textAlignment w:val="center"/>
                    <w:rPr>
                      <w:color w:val="auto"/>
                      <w:szCs w:val="21"/>
                      <w:highlight w:val="none"/>
                    </w:rPr>
                  </w:pPr>
                  <w:r>
                    <w:rPr>
                      <w:color w:val="auto"/>
                      <w:kern w:val="0"/>
                      <w:szCs w:val="21"/>
                      <w:highlight w:val="none"/>
                    </w:rPr>
                    <w:t>30.00%</w:t>
                  </w:r>
                </w:p>
              </w:tc>
              <w:tc>
                <w:tcPr>
                  <w:tcW w:w="1110" w:type="dxa"/>
                  <w:vAlign w:val="center"/>
                </w:tcPr>
                <w:p w14:paraId="7896671D">
                  <w:pPr>
                    <w:widowControl/>
                    <w:jc w:val="center"/>
                    <w:textAlignment w:val="center"/>
                    <w:rPr>
                      <w:color w:val="auto"/>
                      <w:szCs w:val="21"/>
                      <w:highlight w:val="none"/>
                    </w:rPr>
                  </w:pPr>
                  <w:r>
                    <w:rPr>
                      <w:rFonts w:hint="eastAsia" w:ascii="宋体" w:hAnsi="宋体" w:cs="宋体"/>
                      <w:color w:val="auto"/>
                      <w:kern w:val="0"/>
                      <w:szCs w:val="21"/>
                      <w:highlight w:val="none"/>
                    </w:rPr>
                    <w:t>达标</w:t>
                  </w:r>
                </w:p>
              </w:tc>
            </w:tr>
            <w:tr w14:paraId="6654A0C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06" w:type="dxa"/>
                  <w:vAlign w:val="center"/>
                </w:tcPr>
                <w:p w14:paraId="123277A8">
                  <w:pPr>
                    <w:widowControl/>
                    <w:jc w:val="center"/>
                    <w:textAlignment w:val="center"/>
                    <w:rPr>
                      <w:color w:val="auto"/>
                      <w:szCs w:val="21"/>
                      <w:highlight w:val="none"/>
                    </w:rPr>
                  </w:pPr>
                  <w:r>
                    <w:rPr>
                      <w:color w:val="auto"/>
                      <w:kern w:val="0"/>
                      <w:szCs w:val="21"/>
                      <w:highlight w:val="none"/>
                    </w:rPr>
                    <w:t>O</w:t>
                  </w:r>
                  <w:r>
                    <w:rPr>
                      <w:color w:val="auto"/>
                      <w:kern w:val="0"/>
                      <w:szCs w:val="21"/>
                      <w:highlight w:val="none"/>
                      <w:vertAlign w:val="subscript"/>
                    </w:rPr>
                    <w:t>3</w:t>
                  </w:r>
                </w:p>
              </w:tc>
              <w:tc>
                <w:tcPr>
                  <w:tcW w:w="3118" w:type="dxa"/>
                  <w:vAlign w:val="center"/>
                </w:tcPr>
                <w:p w14:paraId="35252F37">
                  <w:pPr>
                    <w:widowControl/>
                    <w:jc w:val="center"/>
                    <w:textAlignment w:val="center"/>
                    <w:rPr>
                      <w:color w:val="auto"/>
                      <w:szCs w:val="21"/>
                      <w:highlight w:val="none"/>
                    </w:rPr>
                  </w:pPr>
                  <w:r>
                    <w:rPr>
                      <w:rStyle w:val="139"/>
                      <w:color w:val="auto"/>
                      <w:sz w:val="21"/>
                      <w:szCs w:val="21"/>
                      <w:highlight w:val="none"/>
                    </w:rPr>
                    <w:t>90%</w:t>
                  </w:r>
                  <w:r>
                    <w:rPr>
                      <w:rFonts w:hint="eastAsia" w:ascii="宋体" w:hAnsi="宋体" w:cs="宋体"/>
                      <w:color w:val="auto"/>
                      <w:kern w:val="0"/>
                      <w:szCs w:val="21"/>
                      <w:highlight w:val="none"/>
                    </w:rPr>
                    <w:t>保证率</w:t>
                  </w:r>
                  <w:r>
                    <w:rPr>
                      <w:rStyle w:val="139"/>
                      <w:color w:val="auto"/>
                      <w:sz w:val="21"/>
                      <w:szCs w:val="21"/>
                      <w:highlight w:val="none"/>
                    </w:rPr>
                    <w:t>8</w:t>
                  </w:r>
                  <w:r>
                    <w:rPr>
                      <w:rFonts w:hint="eastAsia" w:ascii="宋体" w:hAnsi="宋体" w:cs="宋体"/>
                      <w:color w:val="auto"/>
                      <w:kern w:val="0"/>
                      <w:szCs w:val="21"/>
                      <w:highlight w:val="none"/>
                    </w:rPr>
                    <w:t>小时平均质量浓度</w:t>
                  </w:r>
                </w:p>
              </w:tc>
              <w:tc>
                <w:tcPr>
                  <w:tcW w:w="1110" w:type="dxa"/>
                  <w:vAlign w:val="center"/>
                </w:tcPr>
                <w:p w14:paraId="6E9119E2">
                  <w:pPr>
                    <w:widowControl/>
                    <w:jc w:val="center"/>
                    <w:textAlignment w:val="center"/>
                    <w:rPr>
                      <w:color w:val="auto"/>
                      <w:szCs w:val="21"/>
                      <w:highlight w:val="none"/>
                    </w:rPr>
                  </w:pPr>
                  <w:r>
                    <w:rPr>
                      <w:color w:val="auto"/>
                      <w:kern w:val="0"/>
                      <w:szCs w:val="21"/>
                      <w:highlight w:val="none"/>
                    </w:rPr>
                    <w:t>12</w:t>
                  </w:r>
                  <w:r>
                    <w:rPr>
                      <w:rFonts w:hint="eastAsia"/>
                      <w:color w:val="auto"/>
                      <w:kern w:val="0"/>
                      <w:szCs w:val="21"/>
                      <w:highlight w:val="none"/>
                    </w:rPr>
                    <w:t>0</w:t>
                  </w:r>
                </w:p>
              </w:tc>
              <w:tc>
                <w:tcPr>
                  <w:tcW w:w="960" w:type="dxa"/>
                  <w:vAlign w:val="center"/>
                </w:tcPr>
                <w:p w14:paraId="4F9AE930">
                  <w:pPr>
                    <w:widowControl/>
                    <w:jc w:val="center"/>
                    <w:textAlignment w:val="center"/>
                    <w:rPr>
                      <w:color w:val="auto"/>
                      <w:szCs w:val="21"/>
                      <w:highlight w:val="none"/>
                    </w:rPr>
                  </w:pPr>
                  <w:r>
                    <w:rPr>
                      <w:color w:val="auto"/>
                      <w:kern w:val="0"/>
                      <w:szCs w:val="21"/>
                      <w:highlight w:val="none"/>
                    </w:rPr>
                    <w:t>160</w:t>
                  </w:r>
                </w:p>
              </w:tc>
              <w:tc>
                <w:tcPr>
                  <w:tcW w:w="876" w:type="dxa"/>
                  <w:vAlign w:val="center"/>
                </w:tcPr>
                <w:p w14:paraId="04F0BA78">
                  <w:pPr>
                    <w:widowControl/>
                    <w:jc w:val="center"/>
                    <w:textAlignment w:val="center"/>
                    <w:rPr>
                      <w:color w:val="auto"/>
                      <w:szCs w:val="21"/>
                      <w:highlight w:val="none"/>
                    </w:rPr>
                  </w:pPr>
                  <w:r>
                    <w:rPr>
                      <w:color w:val="auto"/>
                      <w:kern w:val="0"/>
                      <w:szCs w:val="21"/>
                      <w:highlight w:val="none"/>
                    </w:rPr>
                    <w:t>7</w:t>
                  </w:r>
                  <w:r>
                    <w:rPr>
                      <w:rFonts w:hint="eastAsia"/>
                      <w:color w:val="auto"/>
                      <w:kern w:val="0"/>
                      <w:szCs w:val="21"/>
                      <w:highlight w:val="none"/>
                    </w:rPr>
                    <w:t>5.00</w:t>
                  </w:r>
                  <w:r>
                    <w:rPr>
                      <w:color w:val="auto"/>
                      <w:kern w:val="0"/>
                      <w:szCs w:val="21"/>
                      <w:highlight w:val="none"/>
                    </w:rPr>
                    <w:t>%</w:t>
                  </w:r>
                </w:p>
              </w:tc>
              <w:tc>
                <w:tcPr>
                  <w:tcW w:w="1110" w:type="dxa"/>
                  <w:vAlign w:val="center"/>
                </w:tcPr>
                <w:p w14:paraId="222E53E1">
                  <w:pPr>
                    <w:widowControl/>
                    <w:jc w:val="center"/>
                    <w:textAlignment w:val="center"/>
                    <w:rPr>
                      <w:color w:val="auto"/>
                      <w:szCs w:val="21"/>
                      <w:highlight w:val="none"/>
                    </w:rPr>
                  </w:pPr>
                  <w:r>
                    <w:rPr>
                      <w:rFonts w:hint="eastAsia" w:ascii="宋体" w:hAnsi="宋体" w:cs="宋体"/>
                      <w:color w:val="auto"/>
                      <w:kern w:val="0"/>
                      <w:szCs w:val="21"/>
                      <w:highlight w:val="none"/>
                    </w:rPr>
                    <w:t>达标</w:t>
                  </w:r>
                </w:p>
              </w:tc>
            </w:tr>
          </w:tbl>
          <w:p w14:paraId="57A7C090">
            <w:pPr>
              <w:snapToGrid w:val="0"/>
              <w:spacing w:line="360" w:lineRule="auto"/>
              <w:ind w:firstLine="480" w:firstLineChars="200"/>
              <w:rPr>
                <w:color w:val="auto"/>
                <w:sz w:val="24"/>
                <w:highlight w:val="none"/>
              </w:rPr>
            </w:pPr>
            <w:r>
              <w:rPr>
                <w:rFonts w:hint="eastAsia"/>
                <w:color w:val="auto"/>
                <w:sz w:val="24"/>
                <w:highlight w:val="none"/>
              </w:rPr>
              <w:t>从20</w:t>
            </w:r>
            <w:r>
              <w:rPr>
                <w:color w:val="auto"/>
                <w:sz w:val="24"/>
                <w:highlight w:val="none"/>
              </w:rPr>
              <w:t>2</w:t>
            </w:r>
            <w:r>
              <w:rPr>
                <w:rFonts w:hint="eastAsia"/>
                <w:color w:val="auto"/>
                <w:sz w:val="24"/>
                <w:highlight w:val="none"/>
              </w:rPr>
              <w:t>4年环境空气质量监测数据来看，上述污染物在对应评价指标下的现状浓度均达标。</w:t>
            </w:r>
          </w:p>
          <w:p w14:paraId="599333D8">
            <w:pPr>
              <w:adjustRightInd w:val="0"/>
              <w:snapToGrid w:val="0"/>
              <w:spacing w:line="360" w:lineRule="auto"/>
              <w:ind w:firstLine="482" w:firstLineChars="200"/>
              <w:rPr>
                <w:color w:val="auto"/>
                <w:sz w:val="24"/>
                <w:highlight w:val="none"/>
              </w:rPr>
            </w:pPr>
            <w:r>
              <w:rPr>
                <w:b/>
                <w:bCs/>
                <w:color w:val="auto"/>
                <w:sz w:val="24"/>
                <w:highlight w:val="none"/>
              </w:rPr>
              <w:t>2、</w:t>
            </w:r>
            <w:r>
              <w:rPr>
                <w:rFonts w:hint="eastAsia"/>
                <w:b/>
                <w:bCs/>
                <w:color w:val="auto"/>
                <w:sz w:val="24"/>
                <w:highlight w:val="none"/>
              </w:rPr>
              <w:t>特征</w:t>
            </w:r>
            <w:r>
              <w:rPr>
                <w:b/>
                <w:bCs/>
                <w:color w:val="auto"/>
                <w:sz w:val="24"/>
                <w:highlight w:val="none"/>
              </w:rPr>
              <w:t>污染物</w:t>
            </w:r>
          </w:p>
          <w:p w14:paraId="7F38D602">
            <w:pPr>
              <w:adjustRightInd w:val="0"/>
              <w:snapToGrid w:val="0"/>
              <w:spacing w:line="360" w:lineRule="auto"/>
              <w:ind w:firstLine="480" w:firstLineChars="200"/>
              <w:rPr>
                <w:color w:val="auto"/>
                <w:sz w:val="24"/>
                <w:highlight w:val="none"/>
              </w:rPr>
            </w:pPr>
            <w:r>
              <w:rPr>
                <w:color w:val="auto"/>
                <w:sz w:val="24"/>
                <w:highlight w:val="none"/>
              </w:rPr>
              <w:t>本项目</w:t>
            </w:r>
            <w:r>
              <w:rPr>
                <w:rFonts w:hint="eastAsia"/>
                <w:color w:val="auto"/>
                <w:sz w:val="24"/>
                <w:highlight w:val="none"/>
              </w:rPr>
              <w:t>运营期特征</w:t>
            </w:r>
            <w:r>
              <w:rPr>
                <w:color w:val="auto"/>
                <w:sz w:val="24"/>
                <w:highlight w:val="none"/>
              </w:rPr>
              <w:t>污染物为</w:t>
            </w:r>
            <w:r>
              <w:rPr>
                <w:rFonts w:hint="eastAsia"/>
                <w:color w:val="auto"/>
                <w:sz w:val="24"/>
                <w:highlight w:val="none"/>
              </w:rPr>
              <w:t>TSP、NO</w:t>
            </w:r>
            <w:r>
              <w:rPr>
                <w:rFonts w:hint="eastAsia"/>
                <w:color w:val="auto"/>
                <w:sz w:val="24"/>
                <w:highlight w:val="none"/>
                <w:vertAlign w:val="subscript"/>
              </w:rPr>
              <w:t>X</w:t>
            </w:r>
            <w:r>
              <w:rPr>
                <w:rFonts w:hint="eastAsia"/>
                <w:color w:val="auto"/>
                <w:sz w:val="24"/>
                <w:highlight w:val="none"/>
              </w:rPr>
              <w:t>、H</w:t>
            </w:r>
            <w:r>
              <w:rPr>
                <w:rFonts w:hint="eastAsia"/>
                <w:color w:val="auto"/>
                <w:sz w:val="24"/>
                <w:highlight w:val="none"/>
                <w:vertAlign w:val="subscript"/>
              </w:rPr>
              <w:t>2</w:t>
            </w:r>
            <w:r>
              <w:rPr>
                <w:rFonts w:hint="eastAsia"/>
                <w:color w:val="auto"/>
                <w:sz w:val="24"/>
                <w:highlight w:val="none"/>
              </w:rPr>
              <w:t>S和NH</w:t>
            </w:r>
            <w:r>
              <w:rPr>
                <w:rFonts w:hint="eastAsia"/>
                <w:color w:val="auto"/>
                <w:sz w:val="24"/>
                <w:highlight w:val="none"/>
                <w:vertAlign w:val="subscript"/>
              </w:rPr>
              <w:t>3</w:t>
            </w:r>
            <w:r>
              <w:rPr>
                <w:color w:val="auto"/>
                <w:sz w:val="24"/>
                <w:highlight w:val="none"/>
              </w:rPr>
              <w:t>，建设单位委托</w:t>
            </w:r>
            <w:r>
              <w:rPr>
                <w:rFonts w:hint="eastAsia"/>
                <w:color w:val="auto"/>
                <w:sz w:val="24"/>
                <w:highlight w:val="none"/>
              </w:rPr>
              <w:t>汉环集团陕西名鸿检测技术有限公司</w:t>
            </w:r>
            <w:r>
              <w:rPr>
                <w:color w:val="auto"/>
                <w:sz w:val="24"/>
                <w:highlight w:val="none"/>
              </w:rPr>
              <w:t>对</w:t>
            </w:r>
            <w:r>
              <w:rPr>
                <w:rFonts w:hint="eastAsia"/>
                <w:color w:val="auto"/>
                <w:sz w:val="24"/>
                <w:highlight w:val="none"/>
              </w:rPr>
              <w:t>大气环境质量现状</w:t>
            </w:r>
            <w:r>
              <w:rPr>
                <w:color w:val="auto"/>
                <w:sz w:val="24"/>
                <w:highlight w:val="none"/>
              </w:rPr>
              <w:t>进行了监</w:t>
            </w:r>
            <w:r>
              <w:rPr>
                <w:rFonts w:hint="eastAsia"/>
                <w:color w:val="auto"/>
                <w:sz w:val="24"/>
                <w:highlight w:val="none"/>
              </w:rPr>
              <w:t>测，监测时间为2025年</w:t>
            </w:r>
            <w:r>
              <w:rPr>
                <w:rFonts w:hint="eastAsia"/>
                <w:color w:val="auto"/>
                <w:sz w:val="24"/>
                <w:highlight w:val="none"/>
                <w:lang w:val="en-US" w:eastAsia="zh-CN"/>
              </w:rPr>
              <w:t>4</w:t>
            </w:r>
            <w:r>
              <w:rPr>
                <w:rFonts w:hint="eastAsia"/>
                <w:color w:val="auto"/>
                <w:sz w:val="24"/>
                <w:highlight w:val="none"/>
              </w:rPr>
              <w:t>月</w:t>
            </w:r>
            <w:r>
              <w:rPr>
                <w:rFonts w:hint="eastAsia"/>
                <w:color w:val="auto"/>
                <w:sz w:val="24"/>
                <w:highlight w:val="none"/>
                <w:lang w:val="en-US" w:eastAsia="zh-CN"/>
              </w:rPr>
              <w:t>22</w:t>
            </w:r>
            <w:r>
              <w:rPr>
                <w:rFonts w:hint="eastAsia"/>
                <w:color w:val="auto"/>
                <w:sz w:val="24"/>
                <w:highlight w:val="none"/>
              </w:rPr>
              <w:t>日-</w:t>
            </w:r>
            <w:r>
              <w:rPr>
                <w:rFonts w:hint="eastAsia"/>
                <w:color w:val="auto"/>
                <w:sz w:val="24"/>
                <w:highlight w:val="none"/>
                <w:lang w:val="en-US" w:eastAsia="zh-CN"/>
              </w:rPr>
              <w:t>4</w:t>
            </w:r>
            <w:r>
              <w:rPr>
                <w:rFonts w:hint="eastAsia"/>
                <w:color w:val="auto"/>
                <w:sz w:val="24"/>
                <w:highlight w:val="none"/>
              </w:rPr>
              <w:t>月</w:t>
            </w:r>
            <w:r>
              <w:rPr>
                <w:rFonts w:hint="eastAsia"/>
                <w:color w:val="auto"/>
                <w:sz w:val="24"/>
                <w:highlight w:val="none"/>
                <w:lang w:val="en-US" w:eastAsia="zh-CN"/>
              </w:rPr>
              <w:t>24</w:t>
            </w:r>
            <w:r>
              <w:rPr>
                <w:rFonts w:hint="eastAsia"/>
                <w:color w:val="auto"/>
                <w:sz w:val="24"/>
                <w:highlight w:val="none"/>
              </w:rPr>
              <w:t>日，监测点位布点见附图6，</w:t>
            </w:r>
            <w:r>
              <w:rPr>
                <w:color w:val="auto"/>
                <w:sz w:val="24"/>
                <w:highlight w:val="none"/>
              </w:rPr>
              <w:t>结果如下：</w:t>
            </w:r>
          </w:p>
          <w:p w14:paraId="4277042F">
            <w:pPr>
              <w:tabs>
                <w:tab w:val="left" w:leader="middleDot" w:pos="8399"/>
              </w:tabs>
              <w:ind w:firstLine="422"/>
              <w:jc w:val="center"/>
              <w:rPr>
                <w:b/>
                <w:bCs/>
                <w:color w:val="auto"/>
                <w:highlight w:val="none"/>
              </w:rPr>
            </w:pPr>
            <w:r>
              <w:rPr>
                <w:b/>
                <w:bCs/>
                <w:color w:val="auto"/>
                <w:highlight w:val="none"/>
              </w:rPr>
              <w:t>表</w:t>
            </w:r>
            <w:r>
              <w:rPr>
                <w:rFonts w:hint="eastAsia"/>
                <w:b/>
                <w:bCs/>
                <w:color w:val="auto"/>
                <w:highlight w:val="none"/>
              </w:rPr>
              <w:t>3-2</w:t>
            </w:r>
            <w:r>
              <w:rPr>
                <w:b/>
                <w:bCs/>
                <w:color w:val="auto"/>
                <w:highlight w:val="none"/>
              </w:rPr>
              <w:t xml:space="preserve">  </w:t>
            </w:r>
            <w:r>
              <w:rPr>
                <w:rFonts w:hint="eastAsia"/>
                <w:b/>
                <w:bCs/>
                <w:color w:val="auto"/>
                <w:highlight w:val="none"/>
              </w:rPr>
              <w:t>特征污染物补充监测点位基本信息表</w:t>
            </w:r>
          </w:p>
          <w:tbl>
            <w:tblPr>
              <w:tblStyle w:val="35"/>
              <w:tblW w:w="8068" w:type="dxa"/>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0" w:type="dxa"/>
                <w:bottom w:w="0" w:type="dxa"/>
                <w:right w:w="0" w:type="dxa"/>
              </w:tblCellMar>
            </w:tblPr>
            <w:tblGrid>
              <w:gridCol w:w="1096"/>
              <w:gridCol w:w="902"/>
              <w:gridCol w:w="1050"/>
              <w:gridCol w:w="1400"/>
              <w:gridCol w:w="1449"/>
              <w:gridCol w:w="1076"/>
              <w:gridCol w:w="1095"/>
            </w:tblGrid>
            <w:tr w14:paraId="3EF340C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227" w:hRule="atLeast"/>
                <w:jc w:val="center"/>
              </w:trPr>
              <w:tc>
                <w:tcPr>
                  <w:tcW w:w="1096" w:type="dxa"/>
                  <w:vMerge w:val="restart"/>
                  <w:tcBorders>
                    <w:tl2br w:val="nil"/>
                    <w:tr2bl w:val="nil"/>
                  </w:tcBorders>
                  <w:vAlign w:val="center"/>
                </w:tcPr>
                <w:p w14:paraId="6AE869D8">
                  <w:pPr>
                    <w:pStyle w:val="12"/>
                    <w:ind w:firstLine="0"/>
                    <w:jc w:val="center"/>
                    <w:rPr>
                      <w:b/>
                      <w:bCs w:val="0"/>
                      <w:color w:val="auto"/>
                      <w:sz w:val="21"/>
                      <w:szCs w:val="21"/>
                      <w:highlight w:val="none"/>
                    </w:rPr>
                  </w:pPr>
                  <w:r>
                    <w:rPr>
                      <w:rFonts w:hint="eastAsia"/>
                      <w:b/>
                      <w:bCs w:val="0"/>
                      <w:color w:val="auto"/>
                      <w:sz w:val="21"/>
                      <w:szCs w:val="21"/>
                      <w:highlight w:val="none"/>
                    </w:rPr>
                    <w:t>监测点</w:t>
                  </w:r>
                </w:p>
                <w:p w14:paraId="71317D73">
                  <w:pPr>
                    <w:pStyle w:val="12"/>
                    <w:ind w:firstLine="0"/>
                    <w:jc w:val="center"/>
                    <w:rPr>
                      <w:b/>
                      <w:bCs w:val="0"/>
                      <w:color w:val="auto"/>
                      <w:sz w:val="21"/>
                      <w:szCs w:val="21"/>
                      <w:highlight w:val="none"/>
                    </w:rPr>
                  </w:pPr>
                  <w:r>
                    <w:rPr>
                      <w:rFonts w:hint="eastAsia"/>
                      <w:b/>
                      <w:bCs w:val="0"/>
                      <w:color w:val="auto"/>
                      <w:sz w:val="21"/>
                      <w:szCs w:val="21"/>
                      <w:highlight w:val="none"/>
                    </w:rPr>
                    <w:t>名称</w:t>
                  </w:r>
                </w:p>
              </w:tc>
              <w:tc>
                <w:tcPr>
                  <w:tcW w:w="1952" w:type="dxa"/>
                  <w:gridSpan w:val="2"/>
                  <w:tcBorders>
                    <w:tl2br w:val="nil"/>
                    <w:tr2bl w:val="nil"/>
                  </w:tcBorders>
                  <w:vAlign w:val="center"/>
                </w:tcPr>
                <w:p w14:paraId="12A699E5">
                  <w:pPr>
                    <w:pStyle w:val="12"/>
                    <w:ind w:firstLine="0"/>
                    <w:jc w:val="center"/>
                    <w:rPr>
                      <w:b/>
                      <w:bCs w:val="0"/>
                      <w:color w:val="auto"/>
                      <w:sz w:val="21"/>
                      <w:szCs w:val="21"/>
                      <w:highlight w:val="none"/>
                    </w:rPr>
                  </w:pPr>
                  <w:r>
                    <w:rPr>
                      <w:rFonts w:hint="eastAsia"/>
                      <w:b/>
                      <w:bCs w:val="0"/>
                      <w:color w:val="auto"/>
                      <w:sz w:val="21"/>
                      <w:szCs w:val="21"/>
                      <w:highlight w:val="none"/>
                    </w:rPr>
                    <w:t>监测点坐标/m</w:t>
                  </w:r>
                </w:p>
              </w:tc>
              <w:tc>
                <w:tcPr>
                  <w:tcW w:w="1400" w:type="dxa"/>
                  <w:vMerge w:val="restart"/>
                  <w:tcBorders>
                    <w:tl2br w:val="nil"/>
                    <w:tr2bl w:val="nil"/>
                  </w:tcBorders>
                  <w:vAlign w:val="center"/>
                </w:tcPr>
                <w:p w14:paraId="1C6A9613">
                  <w:pPr>
                    <w:pStyle w:val="12"/>
                    <w:ind w:firstLine="0"/>
                    <w:jc w:val="center"/>
                    <w:rPr>
                      <w:b/>
                      <w:bCs w:val="0"/>
                      <w:color w:val="auto"/>
                      <w:sz w:val="21"/>
                      <w:szCs w:val="21"/>
                      <w:highlight w:val="none"/>
                    </w:rPr>
                  </w:pPr>
                  <w:r>
                    <w:rPr>
                      <w:rFonts w:hint="eastAsia"/>
                      <w:b/>
                      <w:bCs w:val="0"/>
                      <w:color w:val="auto"/>
                      <w:sz w:val="21"/>
                      <w:szCs w:val="21"/>
                      <w:highlight w:val="none"/>
                    </w:rPr>
                    <w:t>监测因子</w:t>
                  </w:r>
                </w:p>
              </w:tc>
              <w:tc>
                <w:tcPr>
                  <w:tcW w:w="1449" w:type="dxa"/>
                  <w:vMerge w:val="restart"/>
                  <w:tcBorders>
                    <w:tl2br w:val="nil"/>
                    <w:tr2bl w:val="nil"/>
                  </w:tcBorders>
                  <w:vAlign w:val="center"/>
                </w:tcPr>
                <w:p w14:paraId="400C0D00">
                  <w:pPr>
                    <w:pStyle w:val="12"/>
                    <w:ind w:firstLine="0"/>
                    <w:jc w:val="center"/>
                    <w:rPr>
                      <w:b/>
                      <w:bCs w:val="0"/>
                      <w:color w:val="auto"/>
                      <w:sz w:val="21"/>
                      <w:szCs w:val="21"/>
                      <w:highlight w:val="none"/>
                    </w:rPr>
                  </w:pPr>
                  <w:r>
                    <w:rPr>
                      <w:rFonts w:hint="eastAsia"/>
                      <w:b/>
                      <w:bCs w:val="0"/>
                      <w:color w:val="auto"/>
                      <w:sz w:val="21"/>
                      <w:szCs w:val="21"/>
                      <w:highlight w:val="none"/>
                    </w:rPr>
                    <w:t>监测时段</w:t>
                  </w:r>
                </w:p>
              </w:tc>
              <w:tc>
                <w:tcPr>
                  <w:tcW w:w="1076" w:type="dxa"/>
                  <w:vMerge w:val="restart"/>
                  <w:tcBorders>
                    <w:tl2br w:val="nil"/>
                    <w:tr2bl w:val="nil"/>
                  </w:tcBorders>
                  <w:vAlign w:val="center"/>
                </w:tcPr>
                <w:p w14:paraId="295B9863">
                  <w:pPr>
                    <w:pStyle w:val="12"/>
                    <w:ind w:firstLine="0"/>
                    <w:jc w:val="center"/>
                    <w:rPr>
                      <w:b/>
                      <w:bCs w:val="0"/>
                      <w:color w:val="auto"/>
                      <w:sz w:val="21"/>
                      <w:szCs w:val="21"/>
                      <w:highlight w:val="none"/>
                    </w:rPr>
                  </w:pPr>
                  <w:r>
                    <w:rPr>
                      <w:rFonts w:hint="eastAsia"/>
                      <w:b/>
                      <w:bCs w:val="0"/>
                      <w:color w:val="auto"/>
                      <w:sz w:val="21"/>
                      <w:szCs w:val="21"/>
                      <w:highlight w:val="none"/>
                    </w:rPr>
                    <w:t>相对厂址</w:t>
                  </w:r>
                </w:p>
                <w:p w14:paraId="39F1CA35">
                  <w:pPr>
                    <w:pStyle w:val="12"/>
                    <w:ind w:firstLine="0"/>
                    <w:jc w:val="center"/>
                    <w:rPr>
                      <w:b/>
                      <w:bCs w:val="0"/>
                      <w:color w:val="auto"/>
                      <w:sz w:val="21"/>
                      <w:szCs w:val="21"/>
                      <w:highlight w:val="none"/>
                    </w:rPr>
                  </w:pPr>
                  <w:r>
                    <w:rPr>
                      <w:rFonts w:hint="eastAsia"/>
                      <w:b/>
                      <w:bCs w:val="0"/>
                      <w:color w:val="auto"/>
                      <w:sz w:val="21"/>
                      <w:szCs w:val="21"/>
                      <w:highlight w:val="none"/>
                    </w:rPr>
                    <w:t>方位</w:t>
                  </w:r>
                </w:p>
              </w:tc>
              <w:tc>
                <w:tcPr>
                  <w:tcW w:w="1095" w:type="dxa"/>
                  <w:vMerge w:val="restart"/>
                  <w:tcBorders>
                    <w:tl2br w:val="nil"/>
                    <w:tr2bl w:val="nil"/>
                  </w:tcBorders>
                  <w:vAlign w:val="center"/>
                </w:tcPr>
                <w:p w14:paraId="0BE72E98">
                  <w:pPr>
                    <w:pStyle w:val="12"/>
                    <w:ind w:firstLine="0"/>
                    <w:jc w:val="center"/>
                    <w:rPr>
                      <w:b/>
                      <w:bCs w:val="0"/>
                      <w:color w:val="auto"/>
                      <w:sz w:val="21"/>
                      <w:szCs w:val="21"/>
                      <w:highlight w:val="none"/>
                    </w:rPr>
                  </w:pPr>
                  <w:r>
                    <w:rPr>
                      <w:rFonts w:hint="eastAsia"/>
                      <w:b/>
                      <w:bCs w:val="0"/>
                      <w:color w:val="auto"/>
                      <w:sz w:val="21"/>
                      <w:szCs w:val="21"/>
                      <w:highlight w:val="none"/>
                    </w:rPr>
                    <w:t>相对厂界距离/m</w:t>
                  </w:r>
                </w:p>
              </w:tc>
            </w:tr>
            <w:tr w14:paraId="27F992F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227" w:hRule="atLeast"/>
                <w:jc w:val="center"/>
              </w:trPr>
              <w:tc>
                <w:tcPr>
                  <w:tcW w:w="1096" w:type="dxa"/>
                  <w:vMerge w:val="continue"/>
                  <w:tcBorders>
                    <w:tl2br w:val="nil"/>
                    <w:tr2bl w:val="nil"/>
                  </w:tcBorders>
                  <w:vAlign w:val="center"/>
                </w:tcPr>
                <w:p w14:paraId="1509F289">
                  <w:pPr>
                    <w:pStyle w:val="12"/>
                    <w:ind w:firstLine="0"/>
                    <w:jc w:val="center"/>
                    <w:rPr>
                      <w:color w:val="auto"/>
                      <w:highlight w:val="none"/>
                    </w:rPr>
                  </w:pPr>
                </w:p>
              </w:tc>
              <w:tc>
                <w:tcPr>
                  <w:tcW w:w="902" w:type="dxa"/>
                  <w:tcBorders>
                    <w:tl2br w:val="nil"/>
                    <w:tr2bl w:val="nil"/>
                  </w:tcBorders>
                  <w:vAlign w:val="center"/>
                </w:tcPr>
                <w:p w14:paraId="39AA2120">
                  <w:pPr>
                    <w:pStyle w:val="12"/>
                    <w:ind w:firstLine="0"/>
                    <w:jc w:val="center"/>
                    <w:rPr>
                      <w:b/>
                      <w:bCs w:val="0"/>
                      <w:color w:val="auto"/>
                      <w:sz w:val="21"/>
                      <w:szCs w:val="21"/>
                      <w:highlight w:val="none"/>
                    </w:rPr>
                  </w:pPr>
                  <w:r>
                    <w:rPr>
                      <w:rFonts w:hint="eastAsia"/>
                      <w:b/>
                      <w:bCs w:val="0"/>
                      <w:color w:val="auto"/>
                      <w:sz w:val="21"/>
                      <w:szCs w:val="21"/>
                      <w:highlight w:val="none"/>
                    </w:rPr>
                    <w:t>X</w:t>
                  </w:r>
                </w:p>
              </w:tc>
              <w:tc>
                <w:tcPr>
                  <w:tcW w:w="1050" w:type="dxa"/>
                  <w:tcBorders>
                    <w:tl2br w:val="nil"/>
                    <w:tr2bl w:val="nil"/>
                  </w:tcBorders>
                  <w:vAlign w:val="center"/>
                </w:tcPr>
                <w:p w14:paraId="4EC59AAC">
                  <w:pPr>
                    <w:pStyle w:val="12"/>
                    <w:ind w:firstLine="0"/>
                    <w:jc w:val="center"/>
                    <w:rPr>
                      <w:b/>
                      <w:bCs w:val="0"/>
                      <w:color w:val="auto"/>
                      <w:sz w:val="21"/>
                      <w:szCs w:val="21"/>
                      <w:highlight w:val="none"/>
                    </w:rPr>
                  </w:pPr>
                  <w:r>
                    <w:rPr>
                      <w:rFonts w:hint="eastAsia"/>
                      <w:b/>
                      <w:bCs w:val="0"/>
                      <w:color w:val="auto"/>
                      <w:sz w:val="21"/>
                      <w:szCs w:val="21"/>
                      <w:highlight w:val="none"/>
                    </w:rPr>
                    <w:t>Y</w:t>
                  </w:r>
                </w:p>
              </w:tc>
              <w:tc>
                <w:tcPr>
                  <w:tcW w:w="1400" w:type="dxa"/>
                  <w:vMerge w:val="continue"/>
                  <w:tcBorders>
                    <w:tl2br w:val="nil"/>
                    <w:tr2bl w:val="nil"/>
                  </w:tcBorders>
                  <w:vAlign w:val="center"/>
                </w:tcPr>
                <w:p w14:paraId="0DCB8E5B">
                  <w:pPr>
                    <w:pStyle w:val="12"/>
                    <w:ind w:firstLine="0"/>
                    <w:jc w:val="center"/>
                    <w:rPr>
                      <w:color w:val="auto"/>
                      <w:highlight w:val="none"/>
                    </w:rPr>
                  </w:pPr>
                </w:p>
              </w:tc>
              <w:tc>
                <w:tcPr>
                  <w:tcW w:w="1449" w:type="dxa"/>
                  <w:vMerge w:val="continue"/>
                  <w:tcBorders>
                    <w:tl2br w:val="nil"/>
                    <w:tr2bl w:val="nil"/>
                  </w:tcBorders>
                  <w:vAlign w:val="center"/>
                </w:tcPr>
                <w:p w14:paraId="5520F2AD">
                  <w:pPr>
                    <w:pStyle w:val="12"/>
                    <w:ind w:firstLine="0"/>
                    <w:jc w:val="center"/>
                    <w:rPr>
                      <w:color w:val="auto"/>
                      <w:highlight w:val="none"/>
                    </w:rPr>
                  </w:pPr>
                </w:p>
              </w:tc>
              <w:tc>
                <w:tcPr>
                  <w:tcW w:w="1076" w:type="dxa"/>
                  <w:vMerge w:val="continue"/>
                  <w:tcBorders>
                    <w:tl2br w:val="nil"/>
                    <w:tr2bl w:val="nil"/>
                  </w:tcBorders>
                  <w:vAlign w:val="center"/>
                </w:tcPr>
                <w:p w14:paraId="6C0ACAD6">
                  <w:pPr>
                    <w:pStyle w:val="12"/>
                    <w:ind w:firstLine="0"/>
                    <w:jc w:val="center"/>
                    <w:rPr>
                      <w:color w:val="auto"/>
                      <w:highlight w:val="none"/>
                    </w:rPr>
                  </w:pPr>
                </w:p>
              </w:tc>
              <w:tc>
                <w:tcPr>
                  <w:tcW w:w="1095" w:type="dxa"/>
                  <w:vMerge w:val="continue"/>
                  <w:tcBorders>
                    <w:tl2br w:val="nil"/>
                    <w:tr2bl w:val="nil"/>
                  </w:tcBorders>
                  <w:vAlign w:val="center"/>
                </w:tcPr>
                <w:p w14:paraId="75145479">
                  <w:pPr>
                    <w:pStyle w:val="12"/>
                    <w:ind w:firstLine="0"/>
                    <w:jc w:val="center"/>
                    <w:rPr>
                      <w:color w:val="auto"/>
                      <w:highlight w:val="none"/>
                    </w:rPr>
                  </w:pPr>
                </w:p>
              </w:tc>
            </w:tr>
            <w:tr w14:paraId="5FA9BCE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227" w:hRule="atLeast"/>
                <w:jc w:val="center"/>
              </w:trPr>
              <w:tc>
                <w:tcPr>
                  <w:tcW w:w="1096" w:type="dxa"/>
                  <w:tcBorders>
                    <w:tl2br w:val="nil"/>
                    <w:tr2bl w:val="nil"/>
                  </w:tcBorders>
                  <w:vAlign w:val="center"/>
                </w:tcPr>
                <w:p w14:paraId="2C8865C0">
                  <w:pPr>
                    <w:adjustRightInd w:val="0"/>
                    <w:snapToGrid w:val="0"/>
                    <w:jc w:val="center"/>
                    <w:rPr>
                      <w:color w:val="auto"/>
                      <w:highlight w:val="none"/>
                    </w:rPr>
                  </w:pPr>
                  <w:r>
                    <w:rPr>
                      <w:rFonts w:hint="eastAsia"/>
                      <w:color w:val="auto"/>
                      <w:highlight w:val="none"/>
                    </w:rPr>
                    <w:t>01</w:t>
                  </w:r>
                  <w:r>
                    <w:rPr>
                      <w:color w:val="auto"/>
                      <w:highlight w:val="none"/>
                    </w:rPr>
                    <w:t>项目地下风向</w:t>
                  </w:r>
                  <w:r>
                    <w:rPr>
                      <w:rFonts w:hint="eastAsia"/>
                      <w:color w:val="auto"/>
                      <w:highlight w:val="none"/>
                    </w:rPr>
                    <w:t>50m</w:t>
                  </w:r>
                </w:p>
              </w:tc>
              <w:tc>
                <w:tcPr>
                  <w:tcW w:w="902" w:type="dxa"/>
                  <w:tcBorders>
                    <w:tl2br w:val="nil"/>
                    <w:tr2bl w:val="nil"/>
                  </w:tcBorders>
                  <w:vAlign w:val="center"/>
                </w:tcPr>
                <w:p w14:paraId="07B443EE">
                  <w:pPr>
                    <w:jc w:val="center"/>
                    <w:rPr>
                      <w:color w:val="auto"/>
                      <w:highlight w:val="none"/>
                    </w:rPr>
                  </w:pPr>
                  <w:r>
                    <w:rPr>
                      <w:rFonts w:hint="eastAsia"/>
                      <w:color w:val="auto"/>
                      <w:highlight w:val="none"/>
                    </w:rPr>
                    <w:t>744465</w:t>
                  </w:r>
                </w:p>
              </w:tc>
              <w:tc>
                <w:tcPr>
                  <w:tcW w:w="1050" w:type="dxa"/>
                  <w:tcBorders>
                    <w:tl2br w:val="nil"/>
                    <w:tr2bl w:val="nil"/>
                  </w:tcBorders>
                  <w:vAlign w:val="center"/>
                </w:tcPr>
                <w:p w14:paraId="299EB863">
                  <w:pPr>
                    <w:jc w:val="center"/>
                    <w:rPr>
                      <w:color w:val="auto"/>
                      <w:highlight w:val="none"/>
                    </w:rPr>
                  </w:pPr>
                  <w:r>
                    <w:rPr>
                      <w:rFonts w:hint="eastAsia"/>
                      <w:color w:val="auto"/>
                      <w:highlight w:val="none"/>
                    </w:rPr>
                    <w:t>3677597</w:t>
                  </w:r>
                </w:p>
              </w:tc>
              <w:tc>
                <w:tcPr>
                  <w:tcW w:w="1400" w:type="dxa"/>
                  <w:tcBorders>
                    <w:tl2br w:val="nil"/>
                    <w:tr2bl w:val="nil"/>
                  </w:tcBorders>
                  <w:vAlign w:val="center"/>
                </w:tcPr>
                <w:p w14:paraId="491466E9">
                  <w:pPr>
                    <w:pStyle w:val="12"/>
                    <w:ind w:firstLine="0"/>
                    <w:jc w:val="center"/>
                    <w:rPr>
                      <w:bCs w:val="0"/>
                      <w:color w:val="auto"/>
                      <w:sz w:val="21"/>
                      <w:szCs w:val="24"/>
                      <w:highlight w:val="none"/>
                    </w:rPr>
                  </w:pPr>
                  <w:r>
                    <w:rPr>
                      <w:rFonts w:hint="eastAsia"/>
                      <w:bCs w:val="0"/>
                      <w:color w:val="auto"/>
                      <w:sz w:val="21"/>
                      <w:szCs w:val="24"/>
                      <w:highlight w:val="none"/>
                    </w:rPr>
                    <w:t>TSP、NO</w:t>
                  </w:r>
                  <w:r>
                    <w:rPr>
                      <w:rFonts w:hint="eastAsia"/>
                      <w:bCs w:val="0"/>
                      <w:color w:val="auto"/>
                      <w:sz w:val="21"/>
                      <w:szCs w:val="24"/>
                      <w:highlight w:val="none"/>
                      <w:vertAlign w:val="subscript"/>
                    </w:rPr>
                    <w:t>X</w:t>
                  </w:r>
                  <w:r>
                    <w:rPr>
                      <w:rFonts w:hint="eastAsia"/>
                      <w:bCs w:val="0"/>
                      <w:color w:val="auto"/>
                      <w:sz w:val="21"/>
                      <w:szCs w:val="24"/>
                      <w:highlight w:val="none"/>
                    </w:rPr>
                    <w:t>、H</w:t>
                  </w:r>
                  <w:r>
                    <w:rPr>
                      <w:rFonts w:hint="eastAsia"/>
                      <w:bCs w:val="0"/>
                      <w:color w:val="auto"/>
                      <w:sz w:val="21"/>
                      <w:szCs w:val="24"/>
                      <w:highlight w:val="none"/>
                      <w:vertAlign w:val="subscript"/>
                    </w:rPr>
                    <w:t>2</w:t>
                  </w:r>
                  <w:r>
                    <w:rPr>
                      <w:rFonts w:hint="eastAsia"/>
                      <w:bCs w:val="0"/>
                      <w:color w:val="auto"/>
                      <w:sz w:val="21"/>
                      <w:szCs w:val="24"/>
                      <w:highlight w:val="none"/>
                    </w:rPr>
                    <w:t>S和NH</w:t>
                  </w:r>
                  <w:r>
                    <w:rPr>
                      <w:rFonts w:hint="eastAsia"/>
                      <w:bCs w:val="0"/>
                      <w:color w:val="auto"/>
                      <w:sz w:val="21"/>
                      <w:szCs w:val="24"/>
                      <w:highlight w:val="none"/>
                      <w:vertAlign w:val="subscript"/>
                    </w:rPr>
                    <w:t>3</w:t>
                  </w:r>
                </w:p>
              </w:tc>
              <w:tc>
                <w:tcPr>
                  <w:tcW w:w="1449" w:type="dxa"/>
                  <w:tcBorders>
                    <w:tl2br w:val="nil"/>
                    <w:tr2bl w:val="nil"/>
                  </w:tcBorders>
                  <w:vAlign w:val="center"/>
                </w:tcPr>
                <w:p w14:paraId="2EBCD449">
                  <w:pPr>
                    <w:pStyle w:val="12"/>
                    <w:ind w:firstLine="0"/>
                    <w:jc w:val="center"/>
                    <w:rPr>
                      <w:bCs w:val="0"/>
                      <w:color w:val="auto"/>
                      <w:sz w:val="21"/>
                      <w:szCs w:val="24"/>
                      <w:highlight w:val="none"/>
                    </w:rPr>
                  </w:pPr>
                  <w:r>
                    <w:rPr>
                      <w:rFonts w:hint="eastAsia"/>
                      <w:bCs w:val="0"/>
                      <w:color w:val="auto"/>
                      <w:sz w:val="21"/>
                      <w:szCs w:val="24"/>
                      <w:highlight w:val="none"/>
                    </w:rPr>
                    <w:t>2025.4.22-4.24</w:t>
                  </w:r>
                </w:p>
              </w:tc>
              <w:tc>
                <w:tcPr>
                  <w:tcW w:w="1076" w:type="dxa"/>
                  <w:tcBorders>
                    <w:tl2br w:val="nil"/>
                    <w:tr2bl w:val="nil"/>
                  </w:tcBorders>
                  <w:vAlign w:val="center"/>
                </w:tcPr>
                <w:p w14:paraId="1D28AD9E">
                  <w:pPr>
                    <w:pStyle w:val="12"/>
                    <w:ind w:firstLine="0"/>
                    <w:jc w:val="center"/>
                    <w:rPr>
                      <w:rFonts w:hint="default" w:eastAsia="宋体"/>
                      <w:bCs w:val="0"/>
                      <w:color w:val="auto"/>
                      <w:sz w:val="21"/>
                      <w:szCs w:val="24"/>
                      <w:highlight w:val="none"/>
                      <w:lang w:val="en-US" w:eastAsia="zh-CN"/>
                    </w:rPr>
                  </w:pPr>
                  <w:r>
                    <w:rPr>
                      <w:rFonts w:hint="eastAsia"/>
                      <w:bCs w:val="0"/>
                      <w:color w:val="auto"/>
                      <w:sz w:val="21"/>
                      <w:szCs w:val="21"/>
                      <w:highlight w:val="none"/>
                      <w:lang w:val="en-US" w:eastAsia="zh-CN"/>
                    </w:rPr>
                    <w:t>SW</w:t>
                  </w:r>
                </w:p>
              </w:tc>
              <w:tc>
                <w:tcPr>
                  <w:tcW w:w="1095" w:type="dxa"/>
                  <w:tcBorders>
                    <w:tl2br w:val="nil"/>
                    <w:tr2bl w:val="nil"/>
                  </w:tcBorders>
                  <w:vAlign w:val="center"/>
                </w:tcPr>
                <w:p w14:paraId="3C99499C">
                  <w:pPr>
                    <w:pStyle w:val="12"/>
                    <w:ind w:firstLine="0"/>
                    <w:jc w:val="center"/>
                    <w:rPr>
                      <w:bCs w:val="0"/>
                      <w:color w:val="auto"/>
                      <w:sz w:val="21"/>
                      <w:szCs w:val="24"/>
                      <w:highlight w:val="none"/>
                    </w:rPr>
                  </w:pPr>
                  <w:r>
                    <w:rPr>
                      <w:rFonts w:hint="eastAsia"/>
                      <w:bCs w:val="0"/>
                      <w:color w:val="auto"/>
                      <w:sz w:val="21"/>
                      <w:szCs w:val="24"/>
                      <w:highlight w:val="none"/>
                    </w:rPr>
                    <w:t>50</w:t>
                  </w:r>
                </w:p>
              </w:tc>
            </w:tr>
          </w:tbl>
          <w:p w14:paraId="0DC03ACB">
            <w:pPr>
              <w:tabs>
                <w:tab w:val="left" w:leader="middleDot" w:pos="8399"/>
              </w:tabs>
              <w:jc w:val="center"/>
              <w:rPr>
                <w:b/>
                <w:bCs/>
                <w:color w:val="auto"/>
                <w:highlight w:val="none"/>
              </w:rPr>
            </w:pPr>
            <w:r>
              <w:rPr>
                <w:b/>
                <w:bCs/>
                <w:color w:val="auto"/>
                <w:highlight w:val="none"/>
              </w:rPr>
              <w:t>表</w:t>
            </w:r>
            <w:r>
              <w:rPr>
                <w:rFonts w:hint="eastAsia"/>
                <w:b/>
                <w:bCs/>
                <w:color w:val="auto"/>
                <w:highlight w:val="none"/>
              </w:rPr>
              <w:t>3-3</w:t>
            </w:r>
            <w:r>
              <w:rPr>
                <w:b/>
                <w:bCs/>
                <w:color w:val="auto"/>
                <w:highlight w:val="none"/>
              </w:rPr>
              <w:t xml:space="preserve">  </w:t>
            </w:r>
            <w:r>
              <w:rPr>
                <w:rFonts w:hint="eastAsia"/>
                <w:b/>
                <w:bCs/>
                <w:color w:val="auto"/>
                <w:highlight w:val="none"/>
              </w:rPr>
              <w:t>特征污染物</w:t>
            </w:r>
            <w:r>
              <w:rPr>
                <w:b/>
                <w:bCs/>
                <w:color w:val="auto"/>
                <w:highlight w:val="none"/>
              </w:rPr>
              <w:t>现状监测结果</w:t>
            </w:r>
          </w:p>
          <w:tbl>
            <w:tblPr>
              <w:tblStyle w:val="35"/>
              <w:tblW w:w="8094" w:type="dxa"/>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097"/>
              <w:gridCol w:w="865"/>
              <w:gridCol w:w="670"/>
              <w:gridCol w:w="1293"/>
              <w:gridCol w:w="1474"/>
              <w:gridCol w:w="1217"/>
              <w:gridCol w:w="722"/>
              <w:gridCol w:w="756"/>
            </w:tblGrid>
            <w:tr w14:paraId="27156F3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097" w:type="dxa"/>
                  <w:tcBorders>
                    <w:tl2br w:val="nil"/>
                    <w:tr2bl w:val="nil"/>
                  </w:tcBorders>
                  <w:vAlign w:val="center"/>
                </w:tcPr>
                <w:p w14:paraId="229C278F">
                  <w:pPr>
                    <w:pStyle w:val="12"/>
                    <w:ind w:firstLine="0"/>
                    <w:jc w:val="center"/>
                    <w:rPr>
                      <w:b/>
                      <w:color w:val="auto"/>
                      <w:sz w:val="21"/>
                      <w:szCs w:val="21"/>
                      <w:highlight w:val="none"/>
                    </w:rPr>
                  </w:pPr>
                  <w:r>
                    <w:rPr>
                      <w:b/>
                      <w:color w:val="auto"/>
                      <w:sz w:val="21"/>
                      <w:szCs w:val="21"/>
                      <w:highlight w:val="none"/>
                    </w:rPr>
                    <w:t>监测点</w:t>
                  </w:r>
                </w:p>
              </w:tc>
              <w:tc>
                <w:tcPr>
                  <w:tcW w:w="865" w:type="dxa"/>
                  <w:tcBorders>
                    <w:tl2br w:val="nil"/>
                    <w:tr2bl w:val="nil"/>
                  </w:tcBorders>
                  <w:vAlign w:val="center"/>
                </w:tcPr>
                <w:p w14:paraId="5BA65A0F">
                  <w:pPr>
                    <w:pStyle w:val="12"/>
                    <w:ind w:firstLine="0"/>
                    <w:jc w:val="center"/>
                    <w:rPr>
                      <w:b/>
                      <w:color w:val="auto"/>
                      <w:sz w:val="21"/>
                      <w:szCs w:val="21"/>
                      <w:highlight w:val="none"/>
                    </w:rPr>
                  </w:pPr>
                  <w:r>
                    <w:rPr>
                      <w:b/>
                      <w:color w:val="auto"/>
                      <w:sz w:val="21"/>
                      <w:szCs w:val="21"/>
                      <w:highlight w:val="none"/>
                    </w:rPr>
                    <w:t>污染物</w:t>
                  </w:r>
                </w:p>
              </w:tc>
              <w:tc>
                <w:tcPr>
                  <w:tcW w:w="670" w:type="dxa"/>
                  <w:tcBorders>
                    <w:tl2br w:val="nil"/>
                    <w:tr2bl w:val="nil"/>
                  </w:tcBorders>
                  <w:vAlign w:val="center"/>
                </w:tcPr>
                <w:p w14:paraId="17D9EBBC">
                  <w:pPr>
                    <w:pStyle w:val="12"/>
                    <w:ind w:firstLine="0"/>
                    <w:jc w:val="center"/>
                    <w:rPr>
                      <w:b/>
                      <w:color w:val="auto"/>
                      <w:sz w:val="21"/>
                      <w:szCs w:val="21"/>
                      <w:highlight w:val="none"/>
                    </w:rPr>
                  </w:pPr>
                  <w:r>
                    <w:rPr>
                      <w:b/>
                      <w:color w:val="auto"/>
                      <w:sz w:val="21"/>
                      <w:szCs w:val="21"/>
                      <w:highlight w:val="none"/>
                    </w:rPr>
                    <w:t>平均时间</w:t>
                  </w:r>
                </w:p>
              </w:tc>
              <w:tc>
                <w:tcPr>
                  <w:tcW w:w="1293" w:type="dxa"/>
                  <w:tcBorders>
                    <w:tl2br w:val="nil"/>
                    <w:tr2bl w:val="nil"/>
                  </w:tcBorders>
                  <w:vAlign w:val="center"/>
                </w:tcPr>
                <w:p w14:paraId="1E354F8F">
                  <w:pPr>
                    <w:pStyle w:val="12"/>
                    <w:ind w:firstLine="0"/>
                    <w:jc w:val="center"/>
                    <w:rPr>
                      <w:b/>
                      <w:color w:val="auto"/>
                      <w:sz w:val="21"/>
                      <w:szCs w:val="21"/>
                      <w:highlight w:val="none"/>
                    </w:rPr>
                  </w:pPr>
                  <w:r>
                    <w:rPr>
                      <w:b/>
                      <w:color w:val="auto"/>
                      <w:sz w:val="21"/>
                      <w:szCs w:val="21"/>
                      <w:highlight w:val="none"/>
                    </w:rPr>
                    <w:t>评价标准（mg/m</w:t>
                  </w:r>
                  <w:r>
                    <w:rPr>
                      <w:b/>
                      <w:color w:val="auto"/>
                      <w:sz w:val="21"/>
                      <w:szCs w:val="21"/>
                      <w:highlight w:val="none"/>
                      <w:vertAlign w:val="superscript"/>
                    </w:rPr>
                    <w:t>3</w:t>
                  </w:r>
                  <w:r>
                    <w:rPr>
                      <w:b/>
                      <w:color w:val="auto"/>
                      <w:sz w:val="21"/>
                      <w:szCs w:val="21"/>
                      <w:highlight w:val="none"/>
                    </w:rPr>
                    <w:t>）</w:t>
                  </w:r>
                </w:p>
              </w:tc>
              <w:tc>
                <w:tcPr>
                  <w:tcW w:w="1474" w:type="dxa"/>
                  <w:tcBorders>
                    <w:tl2br w:val="nil"/>
                    <w:tr2bl w:val="nil"/>
                  </w:tcBorders>
                  <w:vAlign w:val="center"/>
                </w:tcPr>
                <w:p w14:paraId="7E39E6A1">
                  <w:pPr>
                    <w:pStyle w:val="12"/>
                    <w:ind w:firstLine="0"/>
                    <w:jc w:val="center"/>
                    <w:rPr>
                      <w:b/>
                      <w:color w:val="auto"/>
                      <w:sz w:val="21"/>
                      <w:szCs w:val="21"/>
                      <w:highlight w:val="none"/>
                    </w:rPr>
                  </w:pPr>
                  <w:r>
                    <w:rPr>
                      <w:b/>
                      <w:color w:val="auto"/>
                      <w:sz w:val="21"/>
                      <w:szCs w:val="21"/>
                      <w:highlight w:val="none"/>
                    </w:rPr>
                    <w:t>监测浓度范围（mg/m</w:t>
                  </w:r>
                  <w:r>
                    <w:rPr>
                      <w:b/>
                      <w:color w:val="auto"/>
                      <w:sz w:val="21"/>
                      <w:szCs w:val="21"/>
                      <w:highlight w:val="none"/>
                      <w:vertAlign w:val="superscript"/>
                    </w:rPr>
                    <w:t>3</w:t>
                  </w:r>
                  <w:r>
                    <w:rPr>
                      <w:b/>
                      <w:color w:val="auto"/>
                      <w:sz w:val="21"/>
                      <w:szCs w:val="21"/>
                      <w:highlight w:val="none"/>
                    </w:rPr>
                    <w:t>）</w:t>
                  </w:r>
                </w:p>
              </w:tc>
              <w:tc>
                <w:tcPr>
                  <w:tcW w:w="1217" w:type="dxa"/>
                  <w:tcBorders>
                    <w:tl2br w:val="nil"/>
                    <w:tr2bl w:val="nil"/>
                  </w:tcBorders>
                  <w:vAlign w:val="center"/>
                </w:tcPr>
                <w:p w14:paraId="0E51ABD9">
                  <w:pPr>
                    <w:pStyle w:val="12"/>
                    <w:ind w:firstLine="0"/>
                    <w:jc w:val="center"/>
                    <w:rPr>
                      <w:b/>
                      <w:color w:val="auto"/>
                      <w:sz w:val="21"/>
                      <w:szCs w:val="21"/>
                      <w:highlight w:val="none"/>
                    </w:rPr>
                  </w:pPr>
                  <w:r>
                    <w:rPr>
                      <w:b/>
                      <w:color w:val="auto"/>
                      <w:sz w:val="21"/>
                      <w:szCs w:val="21"/>
                      <w:highlight w:val="none"/>
                    </w:rPr>
                    <w:t>最大浓度占标率/%</w:t>
                  </w:r>
                </w:p>
              </w:tc>
              <w:tc>
                <w:tcPr>
                  <w:tcW w:w="722" w:type="dxa"/>
                  <w:tcBorders>
                    <w:tl2br w:val="nil"/>
                    <w:tr2bl w:val="nil"/>
                  </w:tcBorders>
                  <w:vAlign w:val="center"/>
                </w:tcPr>
                <w:p w14:paraId="6E3A52F6">
                  <w:pPr>
                    <w:pStyle w:val="12"/>
                    <w:ind w:firstLine="0"/>
                    <w:jc w:val="center"/>
                    <w:rPr>
                      <w:b/>
                      <w:color w:val="auto"/>
                      <w:sz w:val="21"/>
                      <w:szCs w:val="21"/>
                      <w:highlight w:val="none"/>
                    </w:rPr>
                  </w:pPr>
                  <w:r>
                    <w:rPr>
                      <w:b/>
                      <w:color w:val="auto"/>
                      <w:sz w:val="21"/>
                      <w:szCs w:val="21"/>
                      <w:highlight w:val="none"/>
                    </w:rPr>
                    <w:t>超标率/%</w:t>
                  </w:r>
                </w:p>
              </w:tc>
              <w:tc>
                <w:tcPr>
                  <w:tcW w:w="756" w:type="dxa"/>
                  <w:tcBorders>
                    <w:tl2br w:val="nil"/>
                    <w:tr2bl w:val="nil"/>
                  </w:tcBorders>
                  <w:vAlign w:val="center"/>
                </w:tcPr>
                <w:p w14:paraId="4E8D8ADF">
                  <w:pPr>
                    <w:pStyle w:val="12"/>
                    <w:ind w:firstLine="0"/>
                    <w:jc w:val="center"/>
                    <w:rPr>
                      <w:b/>
                      <w:color w:val="auto"/>
                      <w:sz w:val="21"/>
                      <w:szCs w:val="21"/>
                      <w:highlight w:val="none"/>
                    </w:rPr>
                  </w:pPr>
                  <w:r>
                    <w:rPr>
                      <w:b/>
                      <w:color w:val="auto"/>
                      <w:sz w:val="21"/>
                      <w:szCs w:val="21"/>
                      <w:highlight w:val="none"/>
                    </w:rPr>
                    <w:t>达标情况</w:t>
                  </w:r>
                </w:p>
              </w:tc>
            </w:tr>
            <w:tr w14:paraId="0E0205D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097" w:type="dxa"/>
                  <w:vMerge w:val="restart"/>
                  <w:tcBorders>
                    <w:tl2br w:val="nil"/>
                    <w:tr2bl w:val="nil"/>
                  </w:tcBorders>
                  <w:vAlign w:val="center"/>
                </w:tcPr>
                <w:p w14:paraId="100593CC">
                  <w:pPr>
                    <w:adjustRightInd w:val="0"/>
                    <w:snapToGrid w:val="0"/>
                    <w:jc w:val="center"/>
                    <w:rPr>
                      <w:color w:val="auto"/>
                      <w:highlight w:val="none"/>
                    </w:rPr>
                  </w:pPr>
                  <w:r>
                    <w:rPr>
                      <w:rFonts w:hint="eastAsia"/>
                      <w:color w:val="auto"/>
                      <w:highlight w:val="none"/>
                    </w:rPr>
                    <w:t>01</w:t>
                  </w:r>
                  <w:r>
                    <w:rPr>
                      <w:color w:val="auto"/>
                      <w:highlight w:val="none"/>
                    </w:rPr>
                    <w:t>项目地下风向</w:t>
                  </w:r>
                  <w:r>
                    <w:rPr>
                      <w:rFonts w:hint="eastAsia"/>
                      <w:color w:val="auto"/>
                      <w:highlight w:val="none"/>
                    </w:rPr>
                    <w:t>50m</w:t>
                  </w:r>
                </w:p>
              </w:tc>
              <w:tc>
                <w:tcPr>
                  <w:tcW w:w="865" w:type="dxa"/>
                  <w:tcBorders>
                    <w:tl2br w:val="nil"/>
                    <w:tr2bl w:val="nil"/>
                  </w:tcBorders>
                  <w:vAlign w:val="center"/>
                </w:tcPr>
                <w:p w14:paraId="4103A4A5">
                  <w:pPr>
                    <w:pStyle w:val="125"/>
                    <w:rPr>
                      <w:rFonts w:ascii="Times New Roman" w:hAnsi="Times New Roman" w:eastAsia="宋体"/>
                      <w:color w:val="auto"/>
                      <w:kern w:val="2"/>
                      <w:sz w:val="21"/>
                      <w:szCs w:val="21"/>
                      <w:highlight w:val="none"/>
                    </w:rPr>
                  </w:pPr>
                  <w:r>
                    <w:rPr>
                      <w:rFonts w:ascii="Times New Roman" w:hAnsi="Times New Roman" w:eastAsia="宋体"/>
                      <w:color w:val="auto"/>
                      <w:kern w:val="2"/>
                      <w:sz w:val="21"/>
                      <w:szCs w:val="21"/>
                      <w:highlight w:val="none"/>
                    </w:rPr>
                    <w:t>TSP</w:t>
                  </w:r>
                </w:p>
              </w:tc>
              <w:tc>
                <w:tcPr>
                  <w:tcW w:w="670" w:type="dxa"/>
                  <w:tcBorders>
                    <w:tl2br w:val="nil"/>
                    <w:tr2bl w:val="nil"/>
                  </w:tcBorders>
                  <w:vAlign w:val="center"/>
                </w:tcPr>
                <w:p w14:paraId="43D015DF">
                  <w:pPr>
                    <w:jc w:val="center"/>
                    <w:rPr>
                      <w:color w:val="auto"/>
                      <w:highlight w:val="none"/>
                    </w:rPr>
                  </w:pPr>
                  <w:r>
                    <w:rPr>
                      <w:color w:val="auto"/>
                      <w:highlight w:val="none"/>
                    </w:rPr>
                    <w:t>24h</w:t>
                  </w:r>
                </w:p>
              </w:tc>
              <w:tc>
                <w:tcPr>
                  <w:tcW w:w="1293" w:type="dxa"/>
                  <w:tcBorders>
                    <w:tl2br w:val="nil"/>
                    <w:tr2bl w:val="nil"/>
                  </w:tcBorders>
                  <w:vAlign w:val="center"/>
                </w:tcPr>
                <w:p w14:paraId="20E3F43D">
                  <w:pPr>
                    <w:pStyle w:val="12"/>
                    <w:ind w:firstLine="0"/>
                    <w:jc w:val="center"/>
                    <w:rPr>
                      <w:color w:val="auto"/>
                      <w:sz w:val="21"/>
                      <w:szCs w:val="24"/>
                      <w:highlight w:val="none"/>
                    </w:rPr>
                  </w:pPr>
                  <w:r>
                    <w:rPr>
                      <w:color w:val="auto"/>
                      <w:sz w:val="21"/>
                      <w:szCs w:val="24"/>
                      <w:highlight w:val="none"/>
                    </w:rPr>
                    <w:t>0.3</w:t>
                  </w:r>
                </w:p>
              </w:tc>
              <w:tc>
                <w:tcPr>
                  <w:tcW w:w="1474" w:type="dxa"/>
                  <w:tcBorders>
                    <w:tl2br w:val="nil"/>
                    <w:tr2bl w:val="nil"/>
                  </w:tcBorders>
                  <w:vAlign w:val="center"/>
                </w:tcPr>
                <w:p w14:paraId="641D9509">
                  <w:pPr>
                    <w:pStyle w:val="12"/>
                    <w:ind w:firstLine="0"/>
                    <w:jc w:val="center"/>
                    <w:rPr>
                      <w:color w:val="auto"/>
                      <w:sz w:val="21"/>
                      <w:szCs w:val="24"/>
                      <w:highlight w:val="none"/>
                    </w:rPr>
                  </w:pPr>
                  <w:r>
                    <w:rPr>
                      <w:color w:val="auto"/>
                      <w:sz w:val="21"/>
                      <w:szCs w:val="24"/>
                      <w:highlight w:val="none"/>
                    </w:rPr>
                    <w:t>0.1</w:t>
                  </w:r>
                  <w:r>
                    <w:rPr>
                      <w:rFonts w:hint="eastAsia"/>
                      <w:color w:val="auto"/>
                      <w:sz w:val="21"/>
                      <w:szCs w:val="24"/>
                      <w:highlight w:val="none"/>
                    </w:rPr>
                    <w:t>16~0.139</w:t>
                  </w:r>
                </w:p>
              </w:tc>
              <w:tc>
                <w:tcPr>
                  <w:tcW w:w="1217" w:type="dxa"/>
                  <w:tcBorders>
                    <w:tl2br w:val="nil"/>
                    <w:tr2bl w:val="nil"/>
                  </w:tcBorders>
                  <w:vAlign w:val="center"/>
                </w:tcPr>
                <w:p w14:paraId="5DEB620B">
                  <w:pPr>
                    <w:pStyle w:val="12"/>
                    <w:ind w:firstLine="0"/>
                    <w:jc w:val="center"/>
                    <w:rPr>
                      <w:color w:val="auto"/>
                      <w:sz w:val="21"/>
                      <w:szCs w:val="24"/>
                      <w:highlight w:val="none"/>
                    </w:rPr>
                  </w:pPr>
                  <w:r>
                    <w:rPr>
                      <w:rFonts w:hint="eastAsia"/>
                      <w:color w:val="auto"/>
                      <w:sz w:val="21"/>
                      <w:szCs w:val="24"/>
                      <w:highlight w:val="none"/>
                    </w:rPr>
                    <w:t>46.33</w:t>
                  </w:r>
                </w:p>
              </w:tc>
              <w:tc>
                <w:tcPr>
                  <w:tcW w:w="722" w:type="dxa"/>
                  <w:tcBorders>
                    <w:tl2br w:val="nil"/>
                    <w:tr2bl w:val="nil"/>
                  </w:tcBorders>
                  <w:vAlign w:val="center"/>
                </w:tcPr>
                <w:p w14:paraId="2A1D2FCA">
                  <w:pPr>
                    <w:pStyle w:val="12"/>
                    <w:ind w:firstLine="0"/>
                    <w:jc w:val="center"/>
                    <w:rPr>
                      <w:color w:val="auto"/>
                      <w:sz w:val="21"/>
                      <w:szCs w:val="24"/>
                      <w:highlight w:val="none"/>
                    </w:rPr>
                  </w:pPr>
                  <w:r>
                    <w:rPr>
                      <w:rFonts w:hint="eastAsia"/>
                      <w:color w:val="auto"/>
                      <w:sz w:val="21"/>
                      <w:szCs w:val="24"/>
                      <w:highlight w:val="none"/>
                    </w:rPr>
                    <w:t>0</w:t>
                  </w:r>
                </w:p>
              </w:tc>
              <w:tc>
                <w:tcPr>
                  <w:tcW w:w="756" w:type="dxa"/>
                  <w:tcBorders>
                    <w:tl2br w:val="nil"/>
                    <w:tr2bl w:val="nil"/>
                  </w:tcBorders>
                  <w:vAlign w:val="center"/>
                </w:tcPr>
                <w:p w14:paraId="3CBF3286">
                  <w:pPr>
                    <w:pStyle w:val="12"/>
                    <w:ind w:firstLine="0"/>
                    <w:jc w:val="center"/>
                    <w:rPr>
                      <w:color w:val="auto"/>
                      <w:sz w:val="21"/>
                      <w:szCs w:val="24"/>
                      <w:highlight w:val="none"/>
                    </w:rPr>
                  </w:pPr>
                  <w:r>
                    <w:rPr>
                      <w:rFonts w:hint="eastAsia"/>
                      <w:color w:val="auto"/>
                      <w:sz w:val="21"/>
                      <w:szCs w:val="24"/>
                      <w:highlight w:val="none"/>
                    </w:rPr>
                    <w:t>达标</w:t>
                  </w:r>
                </w:p>
              </w:tc>
            </w:tr>
            <w:tr w14:paraId="6AE380E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097" w:type="dxa"/>
                  <w:vMerge w:val="continue"/>
                  <w:tcBorders>
                    <w:tl2br w:val="nil"/>
                    <w:tr2bl w:val="nil"/>
                  </w:tcBorders>
                  <w:vAlign w:val="center"/>
                </w:tcPr>
                <w:p w14:paraId="7EA7B830">
                  <w:pPr>
                    <w:adjustRightInd w:val="0"/>
                    <w:snapToGrid w:val="0"/>
                    <w:jc w:val="center"/>
                    <w:rPr>
                      <w:color w:val="auto"/>
                      <w:highlight w:val="none"/>
                    </w:rPr>
                  </w:pPr>
                </w:p>
              </w:tc>
              <w:tc>
                <w:tcPr>
                  <w:tcW w:w="865" w:type="dxa"/>
                  <w:tcBorders>
                    <w:tl2br w:val="nil"/>
                    <w:tr2bl w:val="nil"/>
                  </w:tcBorders>
                  <w:vAlign w:val="center"/>
                </w:tcPr>
                <w:p w14:paraId="0351FF87">
                  <w:pPr>
                    <w:pStyle w:val="125"/>
                    <w:rPr>
                      <w:rFonts w:ascii="Times New Roman" w:hAnsi="Times New Roman" w:eastAsia="宋体"/>
                      <w:color w:val="auto"/>
                      <w:kern w:val="2"/>
                      <w:sz w:val="21"/>
                      <w:szCs w:val="21"/>
                      <w:highlight w:val="none"/>
                    </w:rPr>
                  </w:pPr>
                  <w:r>
                    <w:rPr>
                      <w:rFonts w:ascii="Times New Roman" w:hAnsi="Times New Roman" w:eastAsia="宋体"/>
                      <w:color w:val="auto"/>
                      <w:kern w:val="2"/>
                      <w:sz w:val="21"/>
                      <w:szCs w:val="21"/>
                      <w:highlight w:val="none"/>
                    </w:rPr>
                    <w:t>NO</w:t>
                  </w:r>
                  <w:r>
                    <w:rPr>
                      <w:rFonts w:ascii="Times New Roman" w:hAnsi="Times New Roman" w:eastAsia="宋体"/>
                      <w:color w:val="auto"/>
                      <w:kern w:val="2"/>
                      <w:sz w:val="21"/>
                      <w:szCs w:val="21"/>
                      <w:highlight w:val="none"/>
                      <w:vertAlign w:val="subscript"/>
                    </w:rPr>
                    <w:t>X</w:t>
                  </w:r>
                </w:p>
              </w:tc>
              <w:tc>
                <w:tcPr>
                  <w:tcW w:w="670" w:type="dxa"/>
                  <w:tcBorders>
                    <w:tl2br w:val="nil"/>
                    <w:tr2bl w:val="nil"/>
                  </w:tcBorders>
                  <w:vAlign w:val="center"/>
                </w:tcPr>
                <w:p w14:paraId="7BC49BB5">
                  <w:pPr>
                    <w:jc w:val="center"/>
                    <w:rPr>
                      <w:color w:val="auto"/>
                      <w:highlight w:val="none"/>
                    </w:rPr>
                  </w:pPr>
                  <w:r>
                    <w:rPr>
                      <w:color w:val="auto"/>
                      <w:highlight w:val="none"/>
                    </w:rPr>
                    <w:t>24h</w:t>
                  </w:r>
                </w:p>
              </w:tc>
              <w:tc>
                <w:tcPr>
                  <w:tcW w:w="1293" w:type="dxa"/>
                  <w:tcBorders>
                    <w:tl2br w:val="nil"/>
                    <w:tr2bl w:val="nil"/>
                  </w:tcBorders>
                  <w:vAlign w:val="center"/>
                </w:tcPr>
                <w:p w14:paraId="40965B67">
                  <w:pPr>
                    <w:pStyle w:val="12"/>
                    <w:ind w:firstLine="0"/>
                    <w:jc w:val="center"/>
                    <w:rPr>
                      <w:color w:val="auto"/>
                      <w:sz w:val="21"/>
                      <w:szCs w:val="24"/>
                      <w:highlight w:val="none"/>
                    </w:rPr>
                  </w:pPr>
                  <w:r>
                    <w:rPr>
                      <w:rFonts w:hint="eastAsia"/>
                      <w:color w:val="auto"/>
                      <w:sz w:val="21"/>
                      <w:szCs w:val="24"/>
                      <w:highlight w:val="none"/>
                    </w:rPr>
                    <w:t>0.1</w:t>
                  </w:r>
                </w:p>
              </w:tc>
              <w:tc>
                <w:tcPr>
                  <w:tcW w:w="1474" w:type="dxa"/>
                  <w:tcBorders>
                    <w:tl2br w:val="nil"/>
                    <w:tr2bl w:val="nil"/>
                  </w:tcBorders>
                  <w:vAlign w:val="center"/>
                </w:tcPr>
                <w:p w14:paraId="633D5782">
                  <w:pPr>
                    <w:pStyle w:val="12"/>
                    <w:ind w:firstLine="0"/>
                    <w:jc w:val="center"/>
                    <w:rPr>
                      <w:color w:val="auto"/>
                      <w:sz w:val="21"/>
                      <w:szCs w:val="24"/>
                      <w:highlight w:val="none"/>
                    </w:rPr>
                  </w:pPr>
                  <w:r>
                    <w:rPr>
                      <w:rFonts w:hint="eastAsia"/>
                      <w:color w:val="auto"/>
                      <w:sz w:val="21"/>
                      <w:szCs w:val="24"/>
                      <w:highlight w:val="none"/>
                    </w:rPr>
                    <w:t>0.035~0.045</w:t>
                  </w:r>
                </w:p>
              </w:tc>
              <w:tc>
                <w:tcPr>
                  <w:tcW w:w="1217" w:type="dxa"/>
                  <w:tcBorders>
                    <w:tl2br w:val="nil"/>
                    <w:tr2bl w:val="nil"/>
                  </w:tcBorders>
                  <w:vAlign w:val="center"/>
                </w:tcPr>
                <w:p w14:paraId="4352EEF1">
                  <w:pPr>
                    <w:pStyle w:val="12"/>
                    <w:ind w:firstLine="0"/>
                    <w:jc w:val="center"/>
                    <w:rPr>
                      <w:color w:val="auto"/>
                      <w:sz w:val="21"/>
                      <w:szCs w:val="24"/>
                      <w:highlight w:val="none"/>
                    </w:rPr>
                  </w:pPr>
                  <w:r>
                    <w:rPr>
                      <w:rFonts w:hint="eastAsia"/>
                      <w:color w:val="auto"/>
                      <w:sz w:val="21"/>
                      <w:szCs w:val="24"/>
                      <w:highlight w:val="none"/>
                    </w:rPr>
                    <w:t>45</w:t>
                  </w:r>
                </w:p>
              </w:tc>
              <w:tc>
                <w:tcPr>
                  <w:tcW w:w="722" w:type="dxa"/>
                  <w:tcBorders>
                    <w:tl2br w:val="nil"/>
                    <w:tr2bl w:val="nil"/>
                  </w:tcBorders>
                  <w:vAlign w:val="center"/>
                </w:tcPr>
                <w:p w14:paraId="5FA56FC9">
                  <w:pPr>
                    <w:pStyle w:val="12"/>
                    <w:ind w:firstLine="0"/>
                    <w:jc w:val="center"/>
                    <w:rPr>
                      <w:color w:val="auto"/>
                      <w:sz w:val="21"/>
                      <w:szCs w:val="24"/>
                      <w:highlight w:val="none"/>
                    </w:rPr>
                  </w:pPr>
                  <w:r>
                    <w:rPr>
                      <w:rFonts w:hint="eastAsia"/>
                      <w:color w:val="auto"/>
                      <w:sz w:val="21"/>
                      <w:szCs w:val="24"/>
                      <w:highlight w:val="none"/>
                    </w:rPr>
                    <w:t>0</w:t>
                  </w:r>
                </w:p>
              </w:tc>
              <w:tc>
                <w:tcPr>
                  <w:tcW w:w="756" w:type="dxa"/>
                  <w:tcBorders>
                    <w:tl2br w:val="nil"/>
                    <w:tr2bl w:val="nil"/>
                  </w:tcBorders>
                  <w:vAlign w:val="center"/>
                </w:tcPr>
                <w:p w14:paraId="68BE62DC">
                  <w:pPr>
                    <w:pStyle w:val="12"/>
                    <w:ind w:firstLine="0"/>
                    <w:jc w:val="center"/>
                    <w:rPr>
                      <w:color w:val="auto"/>
                      <w:sz w:val="21"/>
                      <w:szCs w:val="24"/>
                      <w:highlight w:val="none"/>
                    </w:rPr>
                  </w:pPr>
                  <w:r>
                    <w:rPr>
                      <w:rFonts w:hint="eastAsia"/>
                      <w:color w:val="auto"/>
                      <w:sz w:val="21"/>
                      <w:szCs w:val="24"/>
                      <w:highlight w:val="none"/>
                    </w:rPr>
                    <w:t>达标</w:t>
                  </w:r>
                </w:p>
              </w:tc>
            </w:tr>
            <w:tr w14:paraId="45E5F8F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097" w:type="dxa"/>
                  <w:vMerge w:val="continue"/>
                  <w:tcBorders>
                    <w:tl2br w:val="nil"/>
                    <w:tr2bl w:val="nil"/>
                  </w:tcBorders>
                  <w:vAlign w:val="center"/>
                </w:tcPr>
                <w:p w14:paraId="34D4850B">
                  <w:pPr>
                    <w:adjustRightInd w:val="0"/>
                    <w:snapToGrid w:val="0"/>
                    <w:jc w:val="center"/>
                    <w:rPr>
                      <w:color w:val="auto"/>
                      <w:highlight w:val="none"/>
                    </w:rPr>
                  </w:pPr>
                </w:p>
              </w:tc>
              <w:tc>
                <w:tcPr>
                  <w:tcW w:w="865" w:type="dxa"/>
                  <w:tcBorders>
                    <w:tl2br w:val="nil"/>
                    <w:tr2bl w:val="nil"/>
                  </w:tcBorders>
                  <w:vAlign w:val="center"/>
                </w:tcPr>
                <w:p w14:paraId="5800C525">
                  <w:pPr>
                    <w:pStyle w:val="125"/>
                    <w:rPr>
                      <w:rFonts w:ascii="Times New Roman" w:hAnsi="Times New Roman" w:eastAsia="宋体"/>
                      <w:color w:val="auto"/>
                      <w:kern w:val="2"/>
                      <w:sz w:val="21"/>
                      <w:szCs w:val="21"/>
                      <w:highlight w:val="none"/>
                    </w:rPr>
                  </w:pPr>
                  <w:r>
                    <w:rPr>
                      <w:rFonts w:ascii="Times New Roman" w:hAnsi="Times New Roman"/>
                      <w:color w:val="auto"/>
                      <w:sz w:val="21"/>
                      <w:szCs w:val="21"/>
                      <w:highlight w:val="none"/>
                    </w:rPr>
                    <w:t>H</w:t>
                  </w:r>
                  <w:r>
                    <w:rPr>
                      <w:rFonts w:ascii="Times New Roman" w:hAnsi="Times New Roman"/>
                      <w:color w:val="auto"/>
                      <w:sz w:val="21"/>
                      <w:szCs w:val="21"/>
                      <w:highlight w:val="none"/>
                      <w:vertAlign w:val="subscript"/>
                    </w:rPr>
                    <w:t>2</w:t>
                  </w:r>
                  <w:r>
                    <w:rPr>
                      <w:rFonts w:ascii="Times New Roman" w:hAnsi="Times New Roman"/>
                      <w:color w:val="auto"/>
                      <w:sz w:val="21"/>
                      <w:szCs w:val="21"/>
                      <w:highlight w:val="none"/>
                    </w:rPr>
                    <w:t>S</w:t>
                  </w:r>
                </w:p>
              </w:tc>
              <w:tc>
                <w:tcPr>
                  <w:tcW w:w="670" w:type="dxa"/>
                  <w:tcBorders>
                    <w:tl2br w:val="nil"/>
                    <w:tr2bl w:val="nil"/>
                  </w:tcBorders>
                  <w:vAlign w:val="center"/>
                </w:tcPr>
                <w:p w14:paraId="30980797">
                  <w:pPr>
                    <w:jc w:val="center"/>
                    <w:rPr>
                      <w:color w:val="auto"/>
                      <w:highlight w:val="none"/>
                    </w:rPr>
                  </w:pPr>
                  <w:r>
                    <w:rPr>
                      <w:rFonts w:hint="eastAsia"/>
                      <w:color w:val="auto"/>
                      <w:highlight w:val="none"/>
                    </w:rPr>
                    <w:t>1h</w:t>
                  </w:r>
                </w:p>
              </w:tc>
              <w:tc>
                <w:tcPr>
                  <w:tcW w:w="1293" w:type="dxa"/>
                  <w:tcBorders>
                    <w:tl2br w:val="nil"/>
                    <w:tr2bl w:val="nil"/>
                  </w:tcBorders>
                  <w:vAlign w:val="center"/>
                </w:tcPr>
                <w:p w14:paraId="5367FBF4">
                  <w:pPr>
                    <w:pStyle w:val="12"/>
                    <w:ind w:firstLine="0"/>
                    <w:jc w:val="center"/>
                    <w:rPr>
                      <w:color w:val="auto"/>
                      <w:sz w:val="21"/>
                      <w:szCs w:val="24"/>
                      <w:highlight w:val="none"/>
                    </w:rPr>
                  </w:pPr>
                  <w:r>
                    <w:rPr>
                      <w:rFonts w:hint="eastAsia"/>
                      <w:color w:val="auto"/>
                      <w:sz w:val="21"/>
                      <w:szCs w:val="24"/>
                      <w:highlight w:val="none"/>
                    </w:rPr>
                    <w:t>0.01</w:t>
                  </w:r>
                </w:p>
              </w:tc>
              <w:tc>
                <w:tcPr>
                  <w:tcW w:w="1474" w:type="dxa"/>
                  <w:tcBorders>
                    <w:tl2br w:val="nil"/>
                    <w:tr2bl w:val="nil"/>
                  </w:tcBorders>
                  <w:vAlign w:val="center"/>
                </w:tcPr>
                <w:p w14:paraId="5739A026">
                  <w:pPr>
                    <w:pStyle w:val="12"/>
                    <w:ind w:firstLine="0"/>
                    <w:jc w:val="center"/>
                    <w:rPr>
                      <w:color w:val="auto"/>
                      <w:sz w:val="21"/>
                      <w:szCs w:val="24"/>
                      <w:highlight w:val="none"/>
                    </w:rPr>
                  </w:pPr>
                  <w:r>
                    <w:rPr>
                      <w:rFonts w:hint="eastAsia"/>
                      <w:color w:val="auto"/>
                      <w:sz w:val="21"/>
                      <w:szCs w:val="24"/>
                      <w:highlight w:val="none"/>
                    </w:rPr>
                    <w:t>0.001~0.004</w:t>
                  </w:r>
                </w:p>
              </w:tc>
              <w:tc>
                <w:tcPr>
                  <w:tcW w:w="1217" w:type="dxa"/>
                  <w:tcBorders>
                    <w:tl2br w:val="nil"/>
                    <w:tr2bl w:val="nil"/>
                  </w:tcBorders>
                  <w:vAlign w:val="center"/>
                </w:tcPr>
                <w:p w14:paraId="58C1A9D8">
                  <w:pPr>
                    <w:pStyle w:val="12"/>
                    <w:ind w:firstLine="0"/>
                    <w:jc w:val="center"/>
                    <w:rPr>
                      <w:color w:val="auto"/>
                      <w:sz w:val="21"/>
                      <w:szCs w:val="24"/>
                      <w:highlight w:val="none"/>
                    </w:rPr>
                  </w:pPr>
                  <w:r>
                    <w:rPr>
                      <w:rFonts w:hint="eastAsia"/>
                      <w:color w:val="auto"/>
                      <w:sz w:val="21"/>
                      <w:szCs w:val="24"/>
                      <w:highlight w:val="none"/>
                    </w:rPr>
                    <w:t>40</w:t>
                  </w:r>
                </w:p>
              </w:tc>
              <w:tc>
                <w:tcPr>
                  <w:tcW w:w="722" w:type="dxa"/>
                  <w:tcBorders>
                    <w:tl2br w:val="nil"/>
                    <w:tr2bl w:val="nil"/>
                  </w:tcBorders>
                  <w:vAlign w:val="center"/>
                </w:tcPr>
                <w:p w14:paraId="189DADB8">
                  <w:pPr>
                    <w:pStyle w:val="12"/>
                    <w:ind w:firstLine="0"/>
                    <w:jc w:val="center"/>
                    <w:rPr>
                      <w:color w:val="auto"/>
                      <w:sz w:val="21"/>
                      <w:szCs w:val="24"/>
                      <w:highlight w:val="none"/>
                    </w:rPr>
                  </w:pPr>
                  <w:r>
                    <w:rPr>
                      <w:rFonts w:hint="eastAsia"/>
                      <w:color w:val="auto"/>
                      <w:sz w:val="21"/>
                      <w:szCs w:val="24"/>
                      <w:highlight w:val="none"/>
                    </w:rPr>
                    <w:t>0</w:t>
                  </w:r>
                </w:p>
              </w:tc>
              <w:tc>
                <w:tcPr>
                  <w:tcW w:w="756" w:type="dxa"/>
                  <w:tcBorders>
                    <w:tl2br w:val="nil"/>
                    <w:tr2bl w:val="nil"/>
                  </w:tcBorders>
                  <w:vAlign w:val="center"/>
                </w:tcPr>
                <w:p w14:paraId="741E350C">
                  <w:pPr>
                    <w:pStyle w:val="12"/>
                    <w:ind w:firstLine="0"/>
                    <w:jc w:val="center"/>
                    <w:rPr>
                      <w:color w:val="auto"/>
                      <w:sz w:val="21"/>
                      <w:szCs w:val="24"/>
                      <w:highlight w:val="none"/>
                    </w:rPr>
                  </w:pPr>
                  <w:r>
                    <w:rPr>
                      <w:rFonts w:hint="eastAsia"/>
                      <w:color w:val="auto"/>
                      <w:sz w:val="21"/>
                      <w:szCs w:val="24"/>
                      <w:highlight w:val="none"/>
                    </w:rPr>
                    <w:t>达标</w:t>
                  </w:r>
                </w:p>
              </w:tc>
            </w:tr>
            <w:tr w14:paraId="3396AD1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097" w:type="dxa"/>
                  <w:vMerge w:val="continue"/>
                  <w:tcBorders>
                    <w:tl2br w:val="nil"/>
                    <w:tr2bl w:val="nil"/>
                  </w:tcBorders>
                  <w:vAlign w:val="center"/>
                </w:tcPr>
                <w:p w14:paraId="228CA28D">
                  <w:pPr>
                    <w:adjustRightInd w:val="0"/>
                    <w:snapToGrid w:val="0"/>
                    <w:jc w:val="center"/>
                    <w:rPr>
                      <w:color w:val="auto"/>
                      <w:highlight w:val="none"/>
                    </w:rPr>
                  </w:pPr>
                </w:p>
              </w:tc>
              <w:tc>
                <w:tcPr>
                  <w:tcW w:w="865" w:type="dxa"/>
                  <w:tcBorders>
                    <w:tl2br w:val="nil"/>
                    <w:tr2bl w:val="nil"/>
                  </w:tcBorders>
                  <w:vAlign w:val="center"/>
                </w:tcPr>
                <w:p w14:paraId="0844C302">
                  <w:pPr>
                    <w:pStyle w:val="125"/>
                    <w:rPr>
                      <w:rFonts w:ascii="Times New Roman" w:hAnsi="Times New Roman" w:eastAsia="宋体"/>
                      <w:color w:val="auto"/>
                      <w:kern w:val="2"/>
                      <w:sz w:val="21"/>
                      <w:szCs w:val="21"/>
                      <w:highlight w:val="none"/>
                    </w:rPr>
                  </w:pPr>
                  <w:r>
                    <w:rPr>
                      <w:rFonts w:ascii="Times New Roman" w:hAnsi="Times New Roman"/>
                      <w:color w:val="auto"/>
                      <w:sz w:val="21"/>
                      <w:szCs w:val="21"/>
                      <w:highlight w:val="none"/>
                    </w:rPr>
                    <w:t>NH</w:t>
                  </w:r>
                  <w:r>
                    <w:rPr>
                      <w:rFonts w:ascii="Times New Roman" w:hAnsi="Times New Roman"/>
                      <w:color w:val="auto"/>
                      <w:sz w:val="21"/>
                      <w:szCs w:val="21"/>
                      <w:highlight w:val="none"/>
                      <w:vertAlign w:val="subscript"/>
                    </w:rPr>
                    <w:t>3</w:t>
                  </w:r>
                </w:p>
              </w:tc>
              <w:tc>
                <w:tcPr>
                  <w:tcW w:w="670" w:type="dxa"/>
                  <w:tcBorders>
                    <w:tl2br w:val="nil"/>
                    <w:tr2bl w:val="nil"/>
                  </w:tcBorders>
                  <w:vAlign w:val="center"/>
                </w:tcPr>
                <w:p w14:paraId="50F9D7A7">
                  <w:pPr>
                    <w:jc w:val="center"/>
                    <w:rPr>
                      <w:color w:val="auto"/>
                      <w:highlight w:val="none"/>
                    </w:rPr>
                  </w:pPr>
                  <w:r>
                    <w:rPr>
                      <w:rFonts w:hint="eastAsia"/>
                      <w:color w:val="auto"/>
                      <w:highlight w:val="none"/>
                    </w:rPr>
                    <w:t>1h</w:t>
                  </w:r>
                </w:p>
              </w:tc>
              <w:tc>
                <w:tcPr>
                  <w:tcW w:w="1293" w:type="dxa"/>
                  <w:tcBorders>
                    <w:tl2br w:val="nil"/>
                    <w:tr2bl w:val="nil"/>
                  </w:tcBorders>
                  <w:vAlign w:val="center"/>
                </w:tcPr>
                <w:p w14:paraId="1BD2F6CA">
                  <w:pPr>
                    <w:pStyle w:val="12"/>
                    <w:ind w:firstLine="0"/>
                    <w:jc w:val="center"/>
                    <w:rPr>
                      <w:color w:val="auto"/>
                      <w:sz w:val="21"/>
                      <w:szCs w:val="24"/>
                      <w:highlight w:val="none"/>
                    </w:rPr>
                  </w:pPr>
                  <w:r>
                    <w:rPr>
                      <w:rFonts w:hint="eastAsia"/>
                      <w:color w:val="auto"/>
                      <w:sz w:val="21"/>
                      <w:szCs w:val="24"/>
                      <w:highlight w:val="none"/>
                    </w:rPr>
                    <w:t>0.2</w:t>
                  </w:r>
                </w:p>
              </w:tc>
              <w:tc>
                <w:tcPr>
                  <w:tcW w:w="1474" w:type="dxa"/>
                  <w:tcBorders>
                    <w:tl2br w:val="nil"/>
                    <w:tr2bl w:val="nil"/>
                  </w:tcBorders>
                  <w:vAlign w:val="center"/>
                </w:tcPr>
                <w:p w14:paraId="0752640D">
                  <w:pPr>
                    <w:pStyle w:val="12"/>
                    <w:ind w:firstLine="0"/>
                    <w:jc w:val="center"/>
                    <w:rPr>
                      <w:color w:val="auto"/>
                      <w:sz w:val="21"/>
                      <w:szCs w:val="24"/>
                      <w:highlight w:val="none"/>
                    </w:rPr>
                  </w:pPr>
                  <w:r>
                    <w:rPr>
                      <w:rFonts w:hint="eastAsia"/>
                      <w:color w:val="auto"/>
                      <w:sz w:val="21"/>
                      <w:szCs w:val="24"/>
                      <w:highlight w:val="none"/>
                    </w:rPr>
                    <w:t>0.099~0.110</w:t>
                  </w:r>
                </w:p>
              </w:tc>
              <w:tc>
                <w:tcPr>
                  <w:tcW w:w="1217" w:type="dxa"/>
                  <w:tcBorders>
                    <w:tl2br w:val="nil"/>
                    <w:tr2bl w:val="nil"/>
                  </w:tcBorders>
                  <w:vAlign w:val="center"/>
                </w:tcPr>
                <w:p w14:paraId="7ED4F0D4">
                  <w:pPr>
                    <w:pStyle w:val="12"/>
                    <w:ind w:firstLine="0"/>
                    <w:jc w:val="center"/>
                    <w:rPr>
                      <w:color w:val="auto"/>
                      <w:sz w:val="21"/>
                      <w:szCs w:val="24"/>
                      <w:highlight w:val="none"/>
                    </w:rPr>
                  </w:pPr>
                  <w:r>
                    <w:rPr>
                      <w:rFonts w:hint="eastAsia"/>
                      <w:color w:val="auto"/>
                      <w:sz w:val="21"/>
                      <w:szCs w:val="24"/>
                      <w:highlight w:val="none"/>
                    </w:rPr>
                    <w:t>55</w:t>
                  </w:r>
                </w:p>
              </w:tc>
              <w:tc>
                <w:tcPr>
                  <w:tcW w:w="722" w:type="dxa"/>
                  <w:tcBorders>
                    <w:tl2br w:val="nil"/>
                    <w:tr2bl w:val="nil"/>
                  </w:tcBorders>
                  <w:vAlign w:val="center"/>
                </w:tcPr>
                <w:p w14:paraId="4A27F85D">
                  <w:pPr>
                    <w:pStyle w:val="12"/>
                    <w:ind w:firstLine="0"/>
                    <w:jc w:val="center"/>
                    <w:rPr>
                      <w:color w:val="auto"/>
                      <w:sz w:val="21"/>
                      <w:szCs w:val="24"/>
                      <w:highlight w:val="none"/>
                    </w:rPr>
                  </w:pPr>
                  <w:r>
                    <w:rPr>
                      <w:rFonts w:hint="eastAsia"/>
                      <w:color w:val="auto"/>
                      <w:sz w:val="21"/>
                      <w:szCs w:val="24"/>
                      <w:highlight w:val="none"/>
                    </w:rPr>
                    <w:t>0</w:t>
                  </w:r>
                </w:p>
              </w:tc>
              <w:tc>
                <w:tcPr>
                  <w:tcW w:w="756" w:type="dxa"/>
                  <w:tcBorders>
                    <w:tl2br w:val="nil"/>
                    <w:tr2bl w:val="nil"/>
                  </w:tcBorders>
                  <w:vAlign w:val="center"/>
                </w:tcPr>
                <w:p w14:paraId="7A6FF1A8">
                  <w:pPr>
                    <w:pStyle w:val="12"/>
                    <w:ind w:firstLine="0"/>
                    <w:jc w:val="center"/>
                    <w:rPr>
                      <w:color w:val="auto"/>
                      <w:sz w:val="21"/>
                      <w:szCs w:val="24"/>
                      <w:highlight w:val="none"/>
                    </w:rPr>
                  </w:pPr>
                  <w:r>
                    <w:rPr>
                      <w:rFonts w:hint="eastAsia"/>
                      <w:color w:val="auto"/>
                      <w:sz w:val="21"/>
                      <w:szCs w:val="24"/>
                      <w:highlight w:val="none"/>
                    </w:rPr>
                    <w:t>达标</w:t>
                  </w:r>
                </w:p>
              </w:tc>
            </w:tr>
          </w:tbl>
          <w:p w14:paraId="367C581A">
            <w:pPr>
              <w:pStyle w:val="47"/>
              <w:rPr>
                <w:rFonts w:ascii="Times New Roman" w:hAnsi="Times New Roman"/>
                <w:color w:val="auto"/>
                <w:highlight w:val="none"/>
              </w:rPr>
            </w:pPr>
            <w:r>
              <w:rPr>
                <w:rFonts w:ascii="Times New Roman" w:hAnsi="Times New Roman"/>
                <w:color w:val="auto"/>
                <w:highlight w:val="none"/>
              </w:rPr>
              <w:t>根据监测结果可知，项目区域TSP</w:t>
            </w:r>
            <w:r>
              <w:rPr>
                <w:rFonts w:hint="eastAsia" w:ascii="Times New Roman" w:hAnsi="Times New Roman"/>
                <w:color w:val="auto"/>
                <w:highlight w:val="none"/>
              </w:rPr>
              <w:t>和NO</w:t>
            </w:r>
            <w:r>
              <w:rPr>
                <w:rFonts w:hint="eastAsia" w:ascii="Times New Roman" w:hAnsi="Times New Roman"/>
                <w:color w:val="auto"/>
                <w:highlight w:val="none"/>
                <w:vertAlign w:val="subscript"/>
              </w:rPr>
              <w:t>X</w:t>
            </w:r>
            <w:r>
              <w:rPr>
                <w:rFonts w:hint="eastAsia" w:ascii="Times New Roman" w:hAnsi="Times New Roman"/>
                <w:color w:val="auto"/>
                <w:highlight w:val="none"/>
              </w:rPr>
              <w:t>均满足《环境空气质量标准》（GB3095-2012）中二类标准要求（TSP0.3mg/m</w:t>
            </w:r>
            <w:r>
              <w:rPr>
                <w:rFonts w:hint="eastAsia" w:ascii="Times New Roman" w:hAnsi="Times New Roman"/>
                <w:color w:val="auto"/>
                <w:highlight w:val="none"/>
                <w:vertAlign w:val="superscript"/>
              </w:rPr>
              <w:t>3</w:t>
            </w:r>
            <w:r>
              <w:rPr>
                <w:rFonts w:hint="eastAsia" w:ascii="Times New Roman" w:hAnsi="Times New Roman"/>
                <w:color w:val="auto"/>
                <w:highlight w:val="none"/>
              </w:rPr>
              <w:t>、NO</w:t>
            </w:r>
            <w:r>
              <w:rPr>
                <w:rFonts w:hint="eastAsia" w:ascii="Times New Roman" w:hAnsi="Times New Roman"/>
                <w:color w:val="auto"/>
                <w:highlight w:val="none"/>
                <w:vertAlign w:val="subscript"/>
              </w:rPr>
              <w:t>X</w:t>
            </w:r>
            <w:r>
              <w:rPr>
                <w:rFonts w:hint="eastAsia" w:ascii="Times New Roman" w:hAnsi="Times New Roman"/>
                <w:color w:val="auto"/>
                <w:highlight w:val="none"/>
              </w:rPr>
              <w:t>0.1mg/m</w:t>
            </w:r>
            <w:r>
              <w:rPr>
                <w:rFonts w:hint="eastAsia" w:ascii="Times New Roman" w:hAnsi="Times New Roman"/>
                <w:color w:val="auto"/>
                <w:highlight w:val="none"/>
                <w:vertAlign w:val="superscript"/>
              </w:rPr>
              <w:t>3</w:t>
            </w:r>
            <w:r>
              <w:rPr>
                <w:rFonts w:hint="eastAsia" w:ascii="Times New Roman" w:hAnsi="Times New Roman"/>
                <w:color w:val="auto"/>
                <w:highlight w:val="none"/>
              </w:rPr>
              <w:t>）；H</w:t>
            </w:r>
            <w:r>
              <w:rPr>
                <w:rFonts w:hint="eastAsia" w:ascii="Times New Roman" w:hAnsi="Times New Roman"/>
                <w:color w:val="auto"/>
                <w:highlight w:val="none"/>
                <w:vertAlign w:val="subscript"/>
              </w:rPr>
              <w:t>2</w:t>
            </w:r>
            <w:r>
              <w:rPr>
                <w:rFonts w:hint="eastAsia" w:ascii="Times New Roman" w:hAnsi="Times New Roman"/>
                <w:color w:val="auto"/>
                <w:highlight w:val="none"/>
              </w:rPr>
              <w:t>S和NH</w:t>
            </w:r>
            <w:r>
              <w:rPr>
                <w:rFonts w:hint="eastAsia" w:ascii="Times New Roman" w:hAnsi="Times New Roman"/>
                <w:color w:val="auto"/>
                <w:highlight w:val="none"/>
                <w:vertAlign w:val="subscript"/>
              </w:rPr>
              <w:t>3</w:t>
            </w:r>
            <w:r>
              <w:rPr>
                <w:rFonts w:hint="eastAsia" w:ascii="Times New Roman" w:hAnsi="Times New Roman"/>
                <w:color w:val="auto"/>
                <w:highlight w:val="none"/>
              </w:rPr>
              <w:t>均满足《环境影响评价技术导则  大气环境》（HJ2.2-2018）附录D中标准值（H</w:t>
            </w:r>
            <w:r>
              <w:rPr>
                <w:rFonts w:hint="eastAsia" w:ascii="Times New Roman" w:hAnsi="Times New Roman"/>
                <w:color w:val="auto"/>
                <w:highlight w:val="none"/>
                <w:vertAlign w:val="subscript"/>
              </w:rPr>
              <w:t>2</w:t>
            </w:r>
            <w:r>
              <w:rPr>
                <w:rFonts w:hint="eastAsia" w:ascii="Times New Roman" w:hAnsi="Times New Roman"/>
                <w:color w:val="auto"/>
                <w:highlight w:val="none"/>
              </w:rPr>
              <w:t>S0.01mg/m</w:t>
            </w:r>
            <w:r>
              <w:rPr>
                <w:rFonts w:hint="eastAsia" w:ascii="Times New Roman" w:hAnsi="Times New Roman"/>
                <w:color w:val="auto"/>
                <w:highlight w:val="none"/>
                <w:vertAlign w:val="superscript"/>
              </w:rPr>
              <w:t>3</w:t>
            </w:r>
            <w:r>
              <w:rPr>
                <w:rFonts w:hint="eastAsia" w:ascii="Times New Roman" w:hAnsi="Times New Roman"/>
                <w:color w:val="auto"/>
                <w:highlight w:val="none"/>
              </w:rPr>
              <w:t>、NH</w:t>
            </w:r>
            <w:r>
              <w:rPr>
                <w:rFonts w:hint="eastAsia" w:ascii="Times New Roman" w:hAnsi="Times New Roman"/>
                <w:color w:val="auto"/>
                <w:highlight w:val="none"/>
                <w:vertAlign w:val="subscript"/>
              </w:rPr>
              <w:t>3</w:t>
            </w:r>
            <w:r>
              <w:rPr>
                <w:rFonts w:hint="eastAsia" w:ascii="Times New Roman" w:hAnsi="Times New Roman"/>
                <w:color w:val="auto"/>
                <w:highlight w:val="none"/>
              </w:rPr>
              <w:t>0.2mg/m</w:t>
            </w:r>
            <w:r>
              <w:rPr>
                <w:rFonts w:hint="eastAsia" w:ascii="Times New Roman" w:hAnsi="Times New Roman"/>
                <w:color w:val="auto"/>
                <w:highlight w:val="none"/>
                <w:vertAlign w:val="superscript"/>
              </w:rPr>
              <w:t>3</w:t>
            </w:r>
            <w:r>
              <w:rPr>
                <w:rFonts w:hint="eastAsia" w:ascii="Times New Roman" w:hAnsi="Times New Roman"/>
                <w:color w:val="auto"/>
                <w:highlight w:val="none"/>
              </w:rPr>
              <w:t>）</w:t>
            </w:r>
            <w:r>
              <w:rPr>
                <w:rFonts w:ascii="Times New Roman" w:hAnsi="Times New Roman"/>
                <w:color w:val="auto"/>
                <w:highlight w:val="none"/>
              </w:rPr>
              <w:t>。</w:t>
            </w:r>
            <w:r>
              <w:rPr>
                <w:rFonts w:hint="eastAsia" w:ascii="Times New Roman" w:hAnsi="Times New Roman"/>
                <w:color w:val="auto"/>
                <w:highlight w:val="none"/>
              </w:rPr>
              <w:t>整体而言，</w:t>
            </w:r>
            <w:r>
              <w:rPr>
                <w:rFonts w:hint="eastAsia"/>
                <w:color w:val="auto"/>
                <w:highlight w:val="none"/>
              </w:rPr>
              <w:t>项目区大气环境质量良好。</w:t>
            </w:r>
          </w:p>
          <w:p w14:paraId="5B4CAF1E">
            <w:pPr>
              <w:spacing w:line="360" w:lineRule="auto"/>
              <w:ind w:firstLine="482" w:firstLineChars="200"/>
              <w:rPr>
                <w:b/>
                <w:bCs/>
                <w:color w:val="auto"/>
                <w:sz w:val="24"/>
                <w:highlight w:val="none"/>
              </w:rPr>
            </w:pPr>
            <w:r>
              <w:rPr>
                <w:rFonts w:hint="eastAsia"/>
                <w:b/>
                <w:bCs/>
                <w:color w:val="auto"/>
                <w:sz w:val="24"/>
                <w:highlight w:val="none"/>
              </w:rPr>
              <w:t>（二）地表水环境质量现状</w:t>
            </w:r>
          </w:p>
          <w:p w14:paraId="27E6EB4A">
            <w:pPr>
              <w:spacing w:line="360" w:lineRule="auto"/>
              <w:ind w:firstLine="480" w:firstLineChars="200"/>
              <w:rPr>
                <w:color w:val="auto"/>
                <w:sz w:val="24"/>
                <w:highlight w:val="none"/>
              </w:rPr>
            </w:pPr>
            <w:r>
              <w:rPr>
                <w:rFonts w:hint="eastAsia"/>
                <w:color w:val="auto"/>
                <w:kern w:val="0"/>
                <w:sz w:val="24"/>
                <w:highlight w:val="none"/>
              </w:rPr>
              <w:t>本项目最近地表水体为南侧汉江。</w:t>
            </w:r>
            <w:r>
              <w:rPr>
                <w:color w:val="auto"/>
                <w:sz w:val="24"/>
                <w:highlight w:val="none"/>
              </w:rPr>
              <w:t>根据</w:t>
            </w:r>
            <w:r>
              <w:rPr>
                <w:rFonts w:hint="eastAsia"/>
                <w:color w:val="auto"/>
                <w:sz w:val="24"/>
                <w:highlight w:val="none"/>
              </w:rPr>
              <w:t>汉中市生态环境局</w:t>
            </w:r>
            <w:r>
              <w:rPr>
                <w:color w:val="auto"/>
                <w:sz w:val="24"/>
                <w:highlight w:val="none"/>
              </w:rPr>
              <w:t>202</w:t>
            </w:r>
            <w:r>
              <w:rPr>
                <w:rFonts w:hint="eastAsia"/>
                <w:color w:val="auto"/>
                <w:sz w:val="24"/>
                <w:highlight w:val="none"/>
              </w:rPr>
              <w:t>5</w:t>
            </w:r>
            <w:r>
              <w:rPr>
                <w:color w:val="auto"/>
                <w:sz w:val="24"/>
                <w:highlight w:val="none"/>
              </w:rPr>
              <w:t>年</w:t>
            </w:r>
            <w:r>
              <w:rPr>
                <w:rFonts w:hint="eastAsia"/>
                <w:color w:val="auto"/>
                <w:sz w:val="24"/>
                <w:highlight w:val="none"/>
              </w:rPr>
              <w:t>第3期</w:t>
            </w:r>
            <w:r>
              <w:rPr>
                <w:color w:val="auto"/>
                <w:sz w:val="24"/>
                <w:highlight w:val="none"/>
              </w:rPr>
              <w:t>环境质量通报可知，</w:t>
            </w:r>
            <w:r>
              <w:rPr>
                <w:rFonts w:hint="eastAsia"/>
                <w:color w:val="auto"/>
                <w:sz w:val="24"/>
                <w:highlight w:val="none"/>
              </w:rPr>
              <w:t>蒙家渡监测</w:t>
            </w:r>
            <w:r>
              <w:rPr>
                <w:color w:val="auto"/>
                <w:sz w:val="24"/>
                <w:highlight w:val="none"/>
              </w:rPr>
              <w:t>断面处</w:t>
            </w:r>
            <w:r>
              <w:rPr>
                <w:rFonts w:hint="eastAsia"/>
                <w:color w:val="auto"/>
                <w:sz w:val="24"/>
                <w:highlight w:val="none"/>
              </w:rPr>
              <w:t>水质类别为</w:t>
            </w:r>
            <w:r>
              <w:rPr>
                <w:rFonts w:hint="eastAsia" w:ascii="宋体" w:hAnsi="宋体" w:cs="宋体"/>
                <w:color w:val="auto"/>
                <w:sz w:val="24"/>
                <w:highlight w:val="none"/>
              </w:rPr>
              <w:t>Ⅱ</w:t>
            </w:r>
            <w:r>
              <w:rPr>
                <w:rFonts w:hint="eastAsia"/>
                <w:color w:val="auto"/>
                <w:sz w:val="24"/>
                <w:highlight w:val="none"/>
              </w:rPr>
              <w:t>类</w:t>
            </w:r>
            <w:r>
              <w:rPr>
                <w:color w:val="auto"/>
                <w:sz w:val="24"/>
                <w:highlight w:val="none"/>
              </w:rPr>
              <w:t>，</w:t>
            </w:r>
            <w:r>
              <w:rPr>
                <w:rFonts w:hint="eastAsia"/>
                <w:color w:val="auto"/>
                <w:sz w:val="24"/>
                <w:highlight w:val="none"/>
              </w:rPr>
              <w:t>本项目</w:t>
            </w:r>
            <w:r>
              <w:rPr>
                <w:color w:val="auto"/>
                <w:sz w:val="24"/>
                <w:highlight w:val="none"/>
              </w:rPr>
              <w:t>位于</w:t>
            </w:r>
            <w:r>
              <w:rPr>
                <w:rFonts w:hint="eastAsia"/>
                <w:color w:val="auto"/>
                <w:sz w:val="24"/>
                <w:highlight w:val="none"/>
              </w:rPr>
              <w:t>蒙家渡监测</w:t>
            </w:r>
            <w:r>
              <w:rPr>
                <w:color w:val="auto"/>
                <w:sz w:val="24"/>
                <w:highlight w:val="none"/>
              </w:rPr>
              <w:t>断面</w:t>
            </w:r>
            <w:r>
              <w:rPr>
                <w:rFonts w:hint="eastAsia"/>
                <w:color w:val="auto"/>
                <w:sz w:val="24"/>
                <w:highlight w:val="none"/>
              </w:rPr>
              <w:t>上游约3.5km。</w:t>
            </w:r>
            <w:r>
              <w:rPr>
                <w:color w:val="auto"/>
                <w:sz w:val="24"/>
                <w:highlight w:val="none"/>
              </w:rPr>
              <w:t>通过类比分析，</w:t>
            </w:r>
            <w:r>
              <w:rPr>
                <w:rFonts w:hint="eastAsia"/>
                <w:color w:val="auto"/>
                <w:sz w:val="24"/>
                <w:highlight w:val="none"/>
              </w:rPr>
              <w:t>项目所在区域</w:t>
            </w:r>
            <w:r>
              <w:rPr>
                <w:color w:val="auto"/>
                <w:sz w:val="24"/>
                <w:highlight w:val="none"/>
              </w:rPr>
              <w:t>水质满足《地表水环境质量标准》（GB3838-2002）Ⅱ类水质要求。</w:t>
            </w:r>
          </w:p>
          <w:p w14:paraId="60DD441B">
            <w:pPr>
              <w:spacing w:line="360" w:lineRule="auto"/>
              <w:ind w:firstLine="482" w:firstLineChars="200"/>
              <w:rPr>
                <w:b/>
                <w:bCs/>
                <w:color w:val="auto"/>
                <w:sz w:val="24"/>
                <w:highlight w:val="none"/>
              </w:rPr>
            </w:pPr>
            <w:r>
              <w:rPr>
                <w:rFonts w:hint="eastAsia"/>
                <w:b/>
                <w:bCs/>
                <w:color w:val="auto"/>
                <w:sz w:val="24"/>
                <w:highlight w:val="none"/>
              </w:rPr>
              <w:t>（三）声环境质量现状</w:t>
            </w:r>
          </w:p>
          <w:p w14:paraId="238AB1ED">
            <w:pPr>
              <w:pStyle w:val="46"/>
              <w:spacing w:line="360" w:lineRule="auto"/>
              <w:ind w:firstLine="480" w:firstLineChars="200"/>
              <w:rPr>
                <w:color w:val="auto"/>
                <w:highlight w:val="none"/>
              </w:rPr>
            </w:pPr>
            <w:r>
              <w:rPr>
                <w:rFonts w:hint="eastAsia"/>
                <w:color w:val="auto"/>
                <w:highlight w:val="none"/>
              </w:rPr>
              <w:t>本项目</w:t>
            </w:r>
            <w:r>
              <w:rPr>
                <w:rFonts w:hint="eastAsia" w:ascii="Times New Roman" w:cs="Times New Roman"/>
                <w:color w:val="auto"/>
                <w:kern w:val="2"/>
                <w:highlight w:val="none"/>
              </w:rPr>
              <w:t>50m</w:t>
            </w:r>
            <w:r>
              <w:rPr>
                <w:rFonts w:hint="eastAsia"/>
                <w:color w:val="auto"/>
                <w:highlight w:val="none"/>
              </w:rPr>
              <w:t>范围内无声环境保护目标</w:t>
            </w:r>
            <w:r>
              <w:rPr>
                <w:rFonts w:hint="eastAsia"/>
                <w:color w:val="auto"/>
                <w:highlight w:val="none"/>
                <w:lang w:eastAsia="zh-CN"/>
              </w:rPr>
              <w:t>。按照《建设项目环境影响报告表编制技术指南（污染影响类）》中有关规定，</w:t>
            </w:r>
            <w:r>
              <w:rPr>
                <w:rFonts w:hint="eastAsia"/>
                <w:color w:val="auto"/>
                <w:highlight w:val="none"/>
              </w:rPr>
              <w:t>本次不进行声环境质量现状监测。</w:t>
            </w:r>
          </w:p>
          <w:p w14:paraId="1AD89D14">
            <w:pPr>
              <w:spacing w:line="360" w:lineRule="auto"/>
              <w:ind w:firstLine="482" w:firstLineChars="200"/>
              <w:rPr>
                <w:b/>
                <w:bCs/>
                <w:color w:val="auto"/>
                <w:sz w:val="24"/>
                <w:highlight w:val="none"/>
              </w:rPr>
            </w:pPr>
            <w:r>
              <w:rPr>
                <w:rFonts w:hint="eastAsia"/>
                <w:b/>
                <w:bCs/>
                <w:color w:val="auto"/>
                <w:sz w:val="24"/>
                <w:highlight w:val="none"/>
              </w:rPr>
              <w:t>（四）生态环境质量现状</w:t>
            </w:r>
          </w:p>
          <w:p w14:paraId="030EC2CA">
            <w:pPr>
              <w:autoSpaceDE w:val="0"/>
              <w:autoSpaceDN w:val="0"/>
              <w:adjustRightInd w:val="0"/>
              <w:snapToGrid w:val="0"/>
              <w:spacing w:line="360" w:lineRule="auto"/>
              <w:ind w:firstLine="480" w:firstLineChars="200"/>
              <w:jc w:val="left"/>
              <w:rPr>
                <w:color w:val="auto"/>
                <w:highlight w:val="none"/>
              </w:rPr>
            </w:pPr>
            <w:r>
              <w:rPr>
                <w:rFonts w:hint="eastAsia"/>
                <w:color w:val="auto"/>
                <w:sz w:val="24"/>
                <w:highlight w:val="none"/>
              </w:rPr>
              <w:t>本项目位于产业园区外，厂区用地为设施农用地备案通知书中物流仓储用地。经调查，用地范围内无生态环境保护目标。</w:t>
            </w:r>
          </w:p>
        </w:tc>
      </w:tr>
      <w:tr w14:paraId="67E27A8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555" w:hRule="atLeast"/>
          <w:jc w:val="center"/>
        </w:trPr>
        <w:tc>
          <w:tcPr>
            <w:tcW w:w="678" w:type="dxa"/>
            <w:vAlign w:val="center"/>
          </w:tcPr>
          <w:p w14:paraId="390F6B36">
            <w:pPr>
              <w:adjustRightInd w:val="0"/>
              <w:snapToGrid w:val="0"/>
              <w:jc w:val="center"/>
              <w:rPr>
                <w:rFonts w:ascii="宋体" w:hAnsi="宋体" w:cs="宋体"/>
                <w:color w:val="auto"/>
                <w:kern w:val="0"/>
                <w:sz w:val="24"/>
                <w:highlight w:val="none"/>
              </w:rPr>
            </w:pPr>
            <w:r>
              <w:rPr>
                <w:rFonts w:hint="eastAsia" w:ascii="宋体" w:hAnsi="宋体" w:cs="宋体"/>
                <w:color w:val="auto"/>
                <w:kern w:val="0"/>
                <w:sz w:val="24"/>
                <w:highlight w:val="none"/>
              </w:rPr>
              <w:t>环境</w:t>
            </w:r>
          </w:p>
          <w:p w14:paraId="1F90D494">
            <w:pPr>
              <w:adjustRightInd w:val="0"/>
              <w:snapToGrid w:val="0"/>
              <w:jc w:val="center"/>
              <w:rPr>
                <w:rFonts w:ascii="宋体" w:hAnsi="宋体" w:cs="宋体"/>
                <w:color w:val="auto"/>
                <w:kern w:val="0"/>
                <w:sz w:val="24"/>
                <w:highlight w:val="none"/>
              </w:rPr>
            </w:pPr>
            <w:r>
              <w:rPr>
                <w:rFonts w:hint="eastAsia" w:ascii="宋体" w:hAnsi="宋体" w:cs="宋体"/>
                <w:color w:val="auto"/>
                <w:kern w:val="0"/>
                <w:sz w:val="24"/>
                <w:highlight w:val="none"/>
              </w:rPr>
              <w:t>保护</w:t>
            </w:r>
          </w:p>
          <w:p w14:paraId="12380311">
            <w:pPr>
              <w:adjustRightInd w:val="0"/>
              <w:snapToGrid w:val="0"/>
              <w:jc w:val="center"/>
              <w:rPr>
                <w:rFonts w:ascii="宋体" w:hAnsi="宋体" w:cs="宋体"/>
                <w:color w:val="auto"/>
                <w:kern w:val="0"/>
                <w:szCs w:val="21"/>
                <w:highlight w:val="none"/>
              </w:rPr>
            </w:pPr>
            <w:r>
              <w:rPr>
                <w:rFonts w:hint="eastAsia" w:ascii="宋体" w:hAnsi="宋体" w:cs="宋体"/>
                <w:color w:val="auto"/>
                <w:kern w:val="0"/>
                <w:sz w:val="24"/>
                <w:highlight w:val="none"/>
              </w:rPr>
              <w:t>目标</w:t>
            </w:r>
          </w:p>
          <w:p w14:paraId="09DA59BA">
            <w:pPr>
              <w:adjustRightInd w:val="0"/>
              <w:snapToGrid w:val="0"/>
              <w:rPr>
                <w:rFonts w:ascii="宋体" w:hAnsi="宋体" w:cs="宋体"/>
                <w:color w:val="auto"/>
                <w:kern w:val="0"/>
                <w:szCs w:val="21"/>
                <w:highlight w:val="none"/>
              </w:rPr>
            </w:pPr>
          </w:p>
        </w:tc>
        <w:tc>
          <w:tcPr>
            <w:tcW w:w="8312" w:type="dxa"/>
          </w:tcPr>
          <w:p w14:paraId="18B0F10A">
            <w:pPr>
              <w:adjustRightInd w:val="0"/>
              <w:snapToGrid w:val="0"/>
              <w:spacing w:line="360" w:lineRule="auto"/>
              <w:ind w:firstLine="482" w:firstLineChars="200"/>
              <w:jc w:val="left"/>
              <w:rPr>
                <w:color w:val="auto"/>
                <w:highlight w:val="none"/>
              </w:rPr>
            </w:pPr>
            <w:r>
              <w:rPr>
                <w:rFonts w:hint="eastAsia"/>
                <w:b/>
                <w:bCs/>
                <w:color w:val="auto"/>
                <w:sz w:val="24"/>
                <w:highlight w:val="none"/>
              </w:rPr>
              <w:t>一、大气环境保护目标：</w:t>
            </w:r>
          </w:p>
          <w:p w14:paraId="571BD683">
            <w:pPr>
              <w:pStyle w:val="43"/>
              <w:spacing w:line="360" w:lineRule="auto"/>
              <w:ind w:firstLine="480" w:firstLineChars="200"/>
              <w:rPr>
                <w:color w:val="auto"/>
                <w:highlight w:val="none"/>
              </w:rPr>
            </w:pPr>
            <w:r>
              <w:rPr>
                <w:rFonts w:hint="eastAsia"/>
                <w:color w:val="auto"/>
                <w:highlight w:val="none"/>
              </w:rPr>
              <w:t>经调查，除陕西汉中朱鹮国家级自然保护区外，厂区周边</w:t>
            </w:r>
            <w:r>
              <w:rPr>
                <w:rFonts w:hint="eastAsia" w:ascii="Times New Roman" w:hAnsi="Times New Roman" w:cs="Times New Roman"/>
                <w:color w:val="auto"/>
                <w:highlight w:val="none"/>
              </w:rPr>
              <w:t>500m</w:t>
            </w:r>
            <w:r>
              <w:rPr>
                <w:rFonts w:hint="eastAsia"/>
                <w:color w:val="auto"/>
                <w:highlight w:val="none"/>
              </w:rPr>
              <w:t>范围内无基本农田保护区、风景名胜区等其他敏感区，主要分布有三合村住户、果园及农田，</w:t>
            </w:r>
            <w:r>
              <w:rPr>
                <w:color w:val="auto"/>
                <w:highlight w:val="none"/>
              </w:rPr>
              <w:t>项目外环境关系相对简单</w:t>
            </w:r>
            <w:r>
              <w:rPr>
                <w:rFonts w:hint="eastAsia"/>
                <w:color w:val="auto"/>
                <w:highlight w:val="none"/>
              </w:rPr>
              <w:t>，四邻关系情况如下：</w:t>
            </w:r>
          </w:p>
          <w:p w14:paraId="62013D2C">
            <w:pPr>
              <w:adjustRightInd w:val="0"/>
              <w:snapToGrid w:val="0"/>
              <w:spacing w:line="360" w:lineRule="auto"/>
              <w:ind w:firstLine="480" w:firstLineChars="200"/>
              <w:rPr>
                <w:color w:val="auto"/>
                <w:highlight w:val="none"/>
              </w:rPr>
            </w:pPr>
            <w:r>
              <w:rPr>
                <w:rFonts w:hint="eastAsia"/>
                <w:color w:val="auto"/>
                <w:sz w:val="24"/>
                <w:highlight w:val="none"/>
              </w:rPr>
              <w:t>厂界北侧5m处为</w:t>
            </w:r>
            <w:r>
              <w:rPr>
                <w:rFonts w:hint="eastAsia"/>
                <w:color w:val="auto"/>
                <w:sz w:val="24"/>
                <w:highlight w:val="none"/>
                <w:lang w:eastAsia="zh-CN"/>
              </w:rPr>
              <w:t>建设单位主管人员自建房（用作本项目办公区）</w:t>
            </w:r>
            <w:r>
              <w:rPr>
                <w:rFonts w:hint="eastAsia"/>
                <w:color w:val="auto"/>
                <w:sz w:val="24"/>
                <w:highlight w:val="none"/>
              </w:rPr>
              <w:t>、东北侧230m处为三合村住户、西北侧280m处为花滩湾住户。东</w:t>
            </w:r>
            <w:r>
              <w:rPr>
                <w:color w:val="auto"/>
                <w:sz w:val="24"/>
                <w:highlight w:val="none"/>
              </w:rPr>
              <w:t>侧</w:t>
            </w:r>
            <w:r>
              <w:rPr>
                <w:rFonts w:hint="eastAsia"/>
                <w:color w:val="auto"/>
                <w:sz w:val="24"/>
                <w:highlight w:val="none"/>
              </w:rPr>
              <w:t>、西侧和南侧500m范围内无住户，均为农田和果园。</w:t>
            </w:r>
          </w:p>
          <w:p w14:paraId="6494BC2A">
            <w:pPr>
              <w:pStyle w:val="12"/>
              <w:spacing w:line="360" w:lineRule="auto"/>
              <w:ind w:firstLine="480" w:firstLineChars="200"/>
              <w:rPr>
                <w:b/>
                <w:color w:val="auto"/>
                <w:kern w:val="0"/>
                <w:szCs w:val="21"/>
                <w:highlight w:val="none"/>
              </w:rPr>
            </w:pPr>
            <w:r>
              <w:rPr>
                <w:rFonts w:hint="eastAsia"/>
                <w:color w:val="auto"/>
                <w:highlight w:val="none"/>
              </w:rPr>
              <w:t>综上，项目大气环境保护目标见表3-4，详见附图7。</w:t>
            </w:r>
            <w:bookmarkStart w:id="3" w:name="_Ref287340937"/>
          </w:p>
          <w:p w14:paraId="390388C6">
            <w:pPr>
              <w:adjustRightInd w:val="0"/>
              <w:snapToGrid w:val="0"/>
              <w:jc w:val="center"/>
              <w:rPr>
                <w:b/>
                <w:bCs/>
                <w:color w:val="auto"/>
                <w:kern w:val="0"/>
                <w:szCs w:val="21"/>
                <w:highlight w:val="none"/>
              </w:rPr>
            </w:pPr>
            <w:r>
              <w:rPr>
                <w:rFonts w:hint="eastAsia"/>
                <w:b/>
                <w:bCs/>
                <w:color w:val="auto"/>
                <w:kern w:val="0"/>
                <w:szCs w:val="21"/>
                <w:highlight w:val="none"/>
              </w:rPr>
              <w:t>表</w:t>
            </w:r>
            <w:bookmarkEnd w:id="3"/>
            <w:r>
              <w:rPr>
                <w:rFonts w:hint="eastAsia"/>
                <w:b/>
                <w:bCs/>
                <w:color w:val="auto"/>
                <w:kern w:val="0"/>
                <w:szCs w:val="21"/>
                <w:highlight w:val="none"/>
              </w:rPr>
              <w:t>3-4</w:t>
            </w:r>
            <w:r>
              <w:rPr>
                <w:b/>
                <w:bCs/>
                <w:color w:val="auto"/>
                <w:kern w:val="0"/>
                <w:szCs w:val="21"/>
                <w:highlight w:val="none"/>
              </w:rPr>
              <w:t xml:space="preserve">  项目</w:t>
            </w:r>
            <w:r>
              <w:rPr>
                <w:rFonts w:hint="eastAsia"/>
                <w:b/>
                <w:bCs/>
                <w:color w:val="auto"/>
                <w:kern w:val="0"/>
                <w:szCs w:val="21"/>
                <w:highlight w:val="none"/>
              </w:rPr>
              <w:t>大气</w:t>
            </w:r>
            <w:r>
              <w:rPr>
                <w:b/>
                <w:bCs/>
                <w:color w:val="auto"/>
                <w:kern w:val="0"/>
                <w:szCs w:val="21"/>
                <w:highlight w:val="none"/>
              </w:rPr>
              <w:t>环境保护目标一览表</w:t>
            </w:r>
          </w:p>
          <w:tbl>
            <w:tblPr>
              <w:tblStyle w:val="35"/>
              <w:tblW w:w="8124"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
            <w:tblGrid>
              <w:gridCol w:w="684"/>
              <w:gridCol w:w="900"/>
              <w:gridCol w:w="1000"/>
              <w:gridCol w:w="1467"/>
              <w:gridCol w:w="733"/>
              <w:gridCol w:w="1017"/>
              <w:gridCol w:w="900"/>
              <w:gridCol w:w="1423"/>
            </w:tblGrid>
            <w:tr w14:paraId="022ED73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684" w:type="dxa"/>
                  <w:vMerge w:val="restart"/>
                  <w:tcBorders>
                    <w:tl2br w:val="nil"/>
                    <w:tr2bl w:val="nil"/>
                  </w:tcBorders>
                  <w:vAlign w:val="center"/>
                </w:tcPr>
                <w:p w14:paraId="57A2F4E3">
                  <w:pPr>
                    <w:widowControl/>
                    <w:jc w:val="center"/>
                    <w:rPr>
                      <w:color w:val="auto"/>
                      <w:highlight w:val="none"/>
                    </w:rPr>
                  </w:pPr>
                  <w:r>
                    <w:rPr>
                      <w:color w:val="auto"/>
                      <w:highlight w:val="none"/>
                    </w:rPr>
                    <w:t>名称</w:t>
                  </w:r>
                </w:p>
              </w:tc>
              <w:tc>
                <w:tcPr>
                  <w:tcW w:w="1900" w:type="dxa"/>
                  <w:gridSpan w:val="2"/>
                  <w:tcBorders>
                    <w:tl2br w:val="nil"/>
                    <w:tr2bl w:val="nil"/>
                  </w:tcBorders>
                  <w:vAlign w:val="center"/>
                </w:tcPr>
                <w:p w14:paraId="219983F4">
                  <w:pPr>
                    <w:widowControl/>
                    <w:jc w:val="center"/>
                    <w:rPr>
                      <w:color w:val="auto"/>
                      <w:highlight w:val="none"/>
                    </w:rPr>
                  </w:pPr>
                  <w:r>
                    <w:rPr>
                      <w:rFonts w:hint="eastAsia"/>
                      <w:color w:val="auto"/>
                      <w:highlight w:val="none"/>
                    </w:rPr>
                    <w:t>坐标/m</w:t>
                  </w:r>
                </w:p>
              </w:tc>
              <w:tc>
                <w:tcPr>
                  <w:tcW w:w="1467" w:type="dxa"/>
                  <w:vMerge w:val="restart"/>
                  <w:tcBorders>
                    <w:tl2br w:val="nil"/>
                    <w:tr2bl w:val="nil"/>
                  </w:tcBorders>
                  <w:vAlign w:val="center"/>
                </w:tcPr>
                <w:p w14:paraId="1967F92A">
                  <w:pPr>
                    <w:widowControl/>
                    <w:jc w:val="center"/>
                    <w:rPr>
                      <w:color w:val="auto"/>
                      <w:highlight w:val="none"/>
                    </w:rPr>
                  </w:pPr>
                  <w:r>
                    <w:rPr>
                      <w:color w:val="auto"/>
                      <w:highlight w:val="none"/>
                    </w:rPr>
                    <w:t>保护对象</w:t>
                  </w:r>
                </w:p>
              </w:tc>
              <w:tc>
                <w:tcPr>
                  <w:tcW w:w="733" w:type="dxa"/>
                  <w:vMerge w:val="restart"/>
                  <w:tcBorders>
                    <w:tl2br w:val="nil"/>
                    <w:tr2bl w:val="nil"/>
                  </w:tcBorders>
                  <w:vAlign w:val="center"/>
                </w:tcPr>
                <w:p w14:paraId="44CE8BB6">
                  <w:pPr>
                    <w:jc w:val="center"/>
                    <w:rPr>
                      <w:color w:val="auto"/>
                      <w:highlight w:val="none"/>
                    </w:rPr>
                  </w:pPr>
                  <w:r>
                    <w:rPr>
                      <w:color w:val="auto"/>
                      <w:highlight w:val="none"/>
                    </w:rPr>
                    <w:t>保护</w:t>
                  </w:r>
                </w:p>
                <w:p w14:paraId="42D29B96">
                  <w:pPr>
                    <w:jc w:val="center"/>
                    <w:rPr>
                      <w:color w:val="auto"/>
                      <w:highlight w:val="none"/>
                    </w:rPr>
                  </w:pPr>
                  <w:r>
                    <w:rPr>
                      <w:color w:val="auto"/>
                      <w:highlight w:val="none"/>
                    </w:rPr>
                    <w:t>内容</w:t>
                  </w:r>
                </w:p>
              </w:tc>
              <w:tc>
                <w:tcPr>
                  <w:tcW w:w="1017" w:type="dxa"/>
                  <w:vMerge w:val="restart"/>
                  <w:tcBorders>
                    <w:tl2br w:val="nil"/>
                    <w:tr2bl w:val="nil"/>
                  </w:tcBorders>
                  <w:vAlign w:val="center"/>
                </w:tcPr>
                <w:p w14:paraId="24A7947F">
                  <w:pPr>
                    <w:jc w:val="center"/>
                    <w:rPr>
                      <w:color w:val="auto"/>
                      <w:highlight w:val="none"/>
                    </w:rPr>
                  </w:pPr>
                  <w:r>
                    <w:rPr>
                      <w:color w:val="auto"/>
                      <w:highlight w:val="none"/>
                    </w:rPr>
                    <w:t>环境</w:t>
                  </w:r>
                </w:p>
                <w:p w14:paraId="4BF89F28">
                  <w:pPr>
                    <w:jc w:val="center"/>
                    <w:rPr>
                      <w:color w:val="auto"/>
                      <w:highlight w:val="none"/>
                    </w:rPr>
                  </w:pPr>
                  <w:r>
                    <w:rPr>
                      <w:color w:val="auto"/>
                      <w:highlight w:val="none"/>
                    </w:rPr>
                    <w:t>功能</w:t>
                  </w:r>
                </w:p>
              </w:tc>
              <w:tc>
                <w:tcPr>
                  <w:tcW w:w="900" w:type="dxa"/>
                  <w:vMerge w:val="restart"/>
                  <w:tcBorders>
                    <w:tl2br w:val="nil"/>
                    <w:tr2bl w:val="nil"/>
                  </w:tcBorders>
                  <w:vAlign w:val="center"/>
                </w:tcPr>
                <w:p w14:paraId="1BFEA543">
                  <w:pPr>
                    <w:jc w:val="center"/>
                    <w:rPr>
                      <w:color w:val="auto"/>
                      <w:highlight w:val="none"/>
                    </w:rPr>
                  </w:pPr>
                  <w:r>
                    <w:rPr>
                      <w:color w:val="auto"/>
                      <w:highlight w:val="none"/>
                    </w:rPr>
                    <w:t>相对</w:t>
                  </w:r>
                </w:p>
                <w:p w14:paraId="1316CC1E">
                  <w:pPr>
                    <w:jc w:val="center"/>
                    <w:rPr>
                      <w:color w:val="auto"/>
                      <w:highlight w:val="none"/>
                    </w:rPr>
                  </w:pPr>
                  <w:r>
                    <w:rPr>
                      <w:color w:val="auto"/>
                      <w:highlight w:val="none"/>
                    </w:rPr>
                    <w:t>方位</w:t>
                  </w:r>
                </w:p>
              </w:tc>
              <w:tc>
                <w:tcPr>
                  <w:tcW w:w="1423" w:type="dxa"/>
                  <w:vMerge w:val="restart"/>
                  <w:tcBorders>
                    <w:tl2br w:val="nil"/>
                    <w:tr2bl w:val="nil"/>
                  </w:tcBorders>
                  <w:vAlign w:val="center"/>
                </w:tcPr>
                <w:p w14:paraId="6CA14707">
                  <w:pPr>
                    <w:jc w:val="center"/>
                    <w:rPr>
                      <w:color w:val="auto"/>
                      <w:highlight w:val="none"/>
                    </w:rPr>
                  </w:pPr>
                  <w:r>
                    <w:rPr>
                      <w:color w:val="auto"/>
                      <w:highlight w:val="none"/>
                    </w:rPr>
                    <w:t>相对厂界</w:t>
                  </w:r>
                  <w:r>
                    <w:rPr>
                      <w:rFonts w:hint="eastAsia"/>
                      <w:color w:val="auto"/>
                      <w:highlight w:val="none"/>
                    </w:rPr>
                    <w:t>最近</w:t>
                  </w:r>
                  <w:r>
                    <w:rPr>
                      <w:color w:val="auto"/>
                      <w:highlight w:val="none"/>
                    </w:rPr>
                    <w:t>距离（m）</w:t>
                  </w:r>
                </w:p>
              </w:tc>
            </w:tr>
            <w:tr w14:paraId="496BED0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684" w:type="dxa"/>
                  <w:vMerge w:val="continue"/>
                  <w:tcBorders>
                    <w:tl2br w:val="nil"/>
                    <w:tr2bl w:val="nil"/>
                  </w:tcBorders>
                  <w:vAlign w:val="center"/>
                </w:tcPr>
                <w:p w14:paraId="5A036CF6">
                  <w:pPr>
                    <w:widowControl/>
                    <w:spacing w:line="240" w:lineRule="exact"/>
                    <w:jc w:val="center"/>
                    <w:rPr>
                      <w:color w:val="auto"/>
                      <w:highlight w:val="none"/>
                    </w:rPr>
                  </w:pPr>
                </w:p>
              </w:tc>
              <w:tc>
                <w:tcPr>
                  <w:tcW w:w="900" w:type="dxa"/>
                  <w:tcBorders>
                    <w:tl2br w:val="nil"/>
                    <w:tr2bl w:val="nil"/>
                  </w:tcBorders>
                  <w:vAlign w:val="center"/>
                </w:tcPr>
                <w:p w14:paraId="50780F9B">
                  <w:pPr>
                    <w:widowControl/>
                    <w:spacing w:line="240" w:lineRule="exact"/>
                    <w:jc w:val="center"/>
                    <w:rPr>
                      <w:color w:val="auto"/>
                      <w:highlight w:val="none"/>
                    </w:rPr>
                  </w:pPr>
                  <w:r>
                    <w:rPr>
                      <w:rFonts w:hint="eastAsia"/>
                      <w:color w:val="auto"/>
                      <w:highlight w:val="none"/>
                    </w:rPr>
                    <w:t>X</w:t>
                  </w:r>
                </w:p>
              </w:tc>
              <w:tc>
                <w:tcPr>
                  <w:tcW w:w="1000" w:type="dxa"/>
                  <w:tcBorders>
                    <w:tl2br w:val="nil"/>
                    <w:tr2bl w:val="nil"/>
                  </w:tcBorders>
                  <w:vAlign w:val="center"/>
                </w:tcPr>
                <w:p w14:paraId="28FB8FEA">
                  <w:pPr>
                    <w:widowControl/>
                    <w:spacing w:line="240" w:lineRule="exact"/>
                    <w:jc w:val="center"/>
                    <w:rPr>
                      <w:color w:val="auto"/>
                      <w:highlight w:val="none"/>
                    </w:rPr>
                  </w:pPr>
                  <w:r>
                    <w:rPr>
                      <w:rFonts w:hint="eastAsia"/>
                      <w:color w:val="auto"/>
                      <w:highlight w:val="none"/>
                    </w:rPr>
                    <w:t>Y</w:t>
                  </w:r>
                </w:p>
              </w:tc>
              <w:tc>
                <w:tcPr>
                  <w:tcW w:w="1467" w:type="dxa"/>
                  <w:vMerge w:val="continue"/>
                  <w:tcBorders>
                    <w:tl2br w:val="nil"/>
                    <w:tr2bl w:val="nil"/>
                  </w:tcBorders>
                  <w:vAlign w:val="center"/>
                </w:tcPr>
                <w:p w14:paraId="55CCDF58">
                  <w:pPr>
                    <w:widowControl/>
                    <w:spacing w:line="240" w:lineRule="exact"/>
                    <w:jc w:val="center"/>
                    <w:rPr>
                      <w:color w:val="auto"/>
                      <w:highlight w:val="none"/>
                    </w:rPr>
                  </w:pPr>
                </w:p>
              </w:tc>
              <w:tc>
                <w:tcPr>
                  <w:tcW w:w="733" w:type="dxa"/>
                  <w:vMerge w:val="continue"/>
                  <w:tcBorders>
                    <w:tl2br w:val="nil"/>
                    <w:tr2bl w:val="nil"/>
                  </w:tcBorders>
                  <w:vAlign w:val="center"/>
                </w:tcPr>
                <w:p w14:paraId="2FA11CEB">
                  <w:pPr>
                    <w:spacing w:line="240" w:lineRule="exact"/>
                    <w:jc w:val="center"/>
                    <w:rPr>
                      <w:color w:val="auto"/>
                      <w:highlight w:val="none"/>
                    </w:rPr>
                  </w:pPr>
                </w:p>
              </w:tc>
              <w:tc>
                <w:tcPr>
                  <w:tcW w:w="1017" w:type="dxa"/>
                  <w:vMerge w:val="continue"/>
                  <w:tcBorders>
                    <w:tl2br w:val="nil"/>
                    <w:tr2bl w:val="nil"/>
                  </w:tcBorders>
                  <w:vAlign w:val="center"/>
                </w:tcPr>
                <w:p w14:paraId="52DF3711">
                  <w:pPr>
                    <w:spacing w:line="240" w:lineRule="exact"/>
                    <w:jc w:val="center"/>
                    <w:rPr>
                      <w:color w:val="auto"/>
                      <w:highlight w:val="none"/>
                    </w:rPr>
                  </w:pPr>
                </w:p>
              </w:tc>
              <w:tc>
                <w:tcPr>
                  <w:tcW w:w="900" w:type="dxa"/>
                  <w:vMerge w:val="continue"/>
                  <w:tcBorders>
                    <w:tl2br w:val="nil"/>
                    <w:tr2bl w:val="nil"/>
                  </w:tcBorders>
                  <w:vAlign w:val="center"/>
                </w:tcPr>
                <w:p w14:paraId="58505CE5">
                  <w:pPr>
                    <w:spacing w:line="240" w:lineRule="exact"/>
                    <w:jc w:val="center"/>
                    <w:rPr>
                      <w:color w:val="auto"/>
                      <w:highlight w:val="none"/>
                    </w:rPr>
                  </w:pPr>
                </w:p>
              </w:tc>
              <w:tc>
                <w:tcPr>
                  <w:tcW w:w="1423" w:type="dxa"/>
                  <w:vMerge w:val="continue"/>
                  <w:tcBorders>
                    <w:tl2br w:val="nil"/>
                    <w:tr2bl w:val="nil"/>
                  </w:tcBorders>
                  <w:vAlign w:val="center"/>
                </w:tcPr>
                <w:p w14:paraId="1E088F3E">
                  <w:pPr>
                    <w:spacing w:line="240" w:lineRule="exact"/>
                    <w:jc w:val="center"/>
                    <w:rPr>
                      <w:color w:val="auto"/>
                      <w:highlight w:val="none"/>
                    </w:rPr>
                  </w:pPr>
                </w:p>
              </w:tc>
            </w:tr>
            <w:tr w14:paraId="4D69AC7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06" w:hRule="exact"/>
                <w:jc w:val="center"/>
              </w:trPr>
              <w:tc>
                <w:tcPr>
                  <w:tcW w:w="684" w:type="dxa"/>
                  <w:tcBorders>
                    <w:tl2br w:val="nil"/>
                    <w:tr2bl w:val="nil"/>
                  </w:tcBorders>
                  <w:vAlign w:val="center"/>
                </w:tcPr>
                <w:p w14:paraId="4C710587">
                  <w:pPr>
                    <w:spacing w:before="72" w:beforeLines="30" w:after="72" w:afterLines="30" w:line="240" w:lineRule="exact"/>
                    <w:jc w:val="center"/>
                    <w:rPr>
                      <w:color w:val="auto"/>
                      <w:highlight w:val="none"/>
                    </w:rPr>
                  </w:pPr>
                  <w:r>
                    <w:rPr>
                      <w:color w:val="auto"/>
                      <w:highlight w:val="none"/>
                    </w:rPr>
                    <w:t>1</w:t>
                  </w:r>
                </w:p>
              </w:tc>
              <w:tc>
                <w:tcPr>
                  <w:tcW w:w="900" w:type="dxa"/>
                  <w:tcBorders>
                    <w:tl2br w:val="nil"/>
                    <w:tr2bl w:val="nil"/>
                  </w:tcBorders>
                  <w:vAlign w:val="center"/>
                </w:tcPr>
                <w:p w14:paraId="26EDD9AC">
                  <w:pPr>
                    <w:spacing w:before="72" w:beforeLines="30" w:after="72" w:afterLines="30" w:line="240" w:lineRule="exact"/>
                    <w:jc w:val="center"/>
                    <w:rPr>
                      <w:color w:val="auto"/>
                      <w:highlight w:val="none"/>
                    </w:rPr>
                  </w:pPr>
                  <w:r>
                    <w:rPr>
                      <w:rFonts w:hint="eastAsia"/>
                      <w:color w:val="auto"/>
                      <w:highlight w:val="none"/>
                    </w:rPr>
                    <w:t>744597</w:t>
                  </w:r>
                </w:p>
              </w:tc>
              <w:tc>
                <w:tcPr>
                  <w:tcW w:w="1000" w:type="dxa"/>
                  <w:tcBorders>
                    <w:tl2br w:val="nil"/>
                    <w:tr2bl w:val="nil"/>
                  </w:tcBorders>
                  <w:vAlign w:val="center"/>
                </w:tcPr>
                <w:p w14:paraId="0DC455DB">
                  <w:pPr>
                    <w:spacing w:before="72" w:beforeLines="30" w:after="72" w:afterLines="30" w:line="240" w:lineRule="exact"/>
                    <w:jc w:val="center"/>
                    <w:rPr>
                      <w:color w:val="auto"/>
                      <w:highlight w:val="none"/>
                    </w:rPr>
                  </w:pPr>
                  <w:r>
                    <w:rPr>
                      <w:rFonts w:hint="eastAsia"/>
                      <w:color w:val="auto"/>
                      <w:highlight w:val="none"/>
                    </w:rPr>
                    <w:t>3677929</w:t>
                  </w:r>
                </w:p>
              </w:tc>
              <w:tc>
                <w:tcPr>
                  <w:tcW w:w="1467" w:type="dxa"/>
                  <w:tcBorders>
                    <w:tl2br w:val="nil"/>
                    <w:tr2bl w:val="nil"/>
                  </w:tcBorders>
                  <w:vAlign w:val="center"/>
                </w:tcPr>
                <w:p w14:paraId="401E7924">
                  <w:pPr>
                    <w:widowControl/>
                    <w:jc w:val="center"/>
                    <w:textAlignment w:val="center"/>
                    <w:rPr>
                      <w:color w:val="auto"/>
                      <w:szCs w:val="21"/>
                      <w:highlight w:val="none"/>
                    </w:rPr>
                  </w:pPr>
                  <w:r>
                    <w:rPr>
                      <w:rFonts w:hint="eastAsia"/>
                      <w:color w:val="auto"/>
                      <w:szCs w:val="21"/>
                      <w:highlight w:val="none"/>
                    </w:rPr>
                    <w:t>三合村住户</w:t>
                  </w:r>
                </w:p>
              </w:tc>
              <w:tc>
                <w:tcPr>
                  <w:tcW w:w="733" w:type="dxa"/>
                  <w:vMerge w:val="restart"/>
                  <w:tcBorders>
                    <w:tl2br w:val="nil"/>
                    <w:tr2bl w:val="nil"/>
                  </w:tcBorders>
                  <w:vAlign w:val="center"/>
                </w:tcPr>
                <w:p w14:paraId="6C1A37F6">
                  <w:pPr>
                    <w:spacing w:before="72" w:beforeLines="30" w:after="72" w:afterLines="30" w:line="240" w:lineRule="exact"/>
                    <w:jc w:val="center"/>
                    <w:rPr>
                      <w:rFonts w:hint="eastAsia" w:eastAsia="宋体"/>
                      <w:color w:val="auto"/>
                      <w:highlight w:val="none"/>
                      <w:lang w:eastAsia="zh-CN"/>
                    </w:rPr>
                  </w:pPr>
                  <w:r>
                    <w:rPr>
                      <w:rFonts w:hint="eastAsia"/>
                      <w:color w:val="auto"/>
                      <w:highlight w:val="none"/>
                      <w:lang w:eastAsia="zh-CN"/>
                    </w:rPr>
                    <w:t>人体健康</w:t>
                  </w:r>
                </w:p>
              </w:tc>
              <w:tc>
                <w:tcPr>
                  <w:tcW w:w="1017" w:type="dxa"/>
                  <w:vMerge w:val="restart"/>
                  <w:tcBorders>
                    <w:tl2br w:val="nil"/>
                    <w:tr2bl w:val="nil"/>
                  </w:tcBorders>
                  <w:vAlign w:val="center"/>
                </w:tcPr>
                <w:p w14:paraId="44E1C90F">
                  <w:pPr>
                    <w:spacing w:before="72" w:beforeLines="30" w:after="72" w:afterLines="30" w:line="240" w:lineRule="exact"/>
                    <w:jc w:val="center"/>
                    <w:rPr>
                      <w:color w:val="auto"/>
                      <w:highlight w:val="none"/>
                    </w:rPr>
                  </w:pPr>
                  <w:r>
                    <w:rPr>
                      <w:rFonts w:hint="eastAsia"/>
                      <w:color w:val="auto"/>
                      <w:highlight w:val="none"/>
                    </w:rPr>
                    <w:t>环境空气二类区</w:t>
                  </w:r>
                </w:p>
              </w:tc>
              <w:tc>
                <w:tcPr>
                  <w:tcW w:w="900" w:type="dxa"/>
                  <w:tcBorders>
                    <w:tl2br w:val="nil"/>
                    <w:tr2bl w:val="nil"/>
                  </w:tcBorders>
                  <w:vAlign w:val="center"/>
                </w:tcPr>
                <w:p w14:paraId="24EB257C">
                  <w:pPr>
                    <w:spacing w:before="72" w:beforeLines="30" w:after="72" w:afterLines="30" w:line="240" w:lineRule="exact"/>
                    <w:jc w:val="center"/>
                    <w:rPr>
                      <w:color w:val="auto"/>
                      <w:highlight w:val="none"/>
                    </w:rPr>
                  </w:pPr>
                  <w:r>
                    <w:rPr>
                      <w:rFonts w:hint="eastAsia"/>
                      <w:color w:val="auto"/>
                      <w:highlight w:val="none"/>
                    </w:rPr>
                    <w:t>N</w:t>
                  </w:r>
                </w:p>
              </w:tc>
              <w:tc>
                <w:tcPr>
                  <w:tcW w:w="1423" w:type="dxa"/>
                  <w:tcBorders>
                    <w:tl2br w:val="nil"/>
                    <w:tr2bl w:val="nil"/>
                  </w:tcBorders>
                  <w:vAlign w:val="center"/>
                </w:tcPr>
                <w:p w14:paraId="6C09C223">
                  <w:pPr>
                    <w:spacing w:before="72" w:beforeLines="30" w:after="72" w:afterLines="30" w:line="240" w:lineRule="exact"/>
                    <w:jc w:val="center"/>
                    <w:rPr>
                      <w:color w:val="auto"/>
                      <w:highlight w:val="none"/>
                    </w:rPr>
                  </w:pPr>
                  <w:r>
                    <w:rPr>
                      <w:rFonts w:hint="eastAsia"/>
                      <w:color w:val="auto"/>
                      <w:highlight w:val="none"/>
                    </w:rPr>
                    <w:t>230</w:t>
                  </w:r>
                </w:p>
              </w:tc>
            </w:tr>
            <w:tr w14:paraId="0DBB562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exact"/>
                <w:jc w:val="center"/>
              </w:trPr>
              <w:tc>
                <w:tcPr>
                  <w:tcW w:w="684" w:type="dxa"/>
                  <w:tcBorders>
                    <w:tl2br w:val="nil"/>
                    <w:tr2bl w:val="nil"/>
                  </w:tcBorders>
                  <w:vAlign w:val="center"/>
                </w:tcPr>
                <w:p w14:paraId="6A0AB695">
                  <w:pPr>
                    <w:spacing w:before="72" w:beforeLines="30" w:after="72" w:afterLines="30" w:line="240" w:lineRule="exact"/>
                    <w:jc w:val="center"/>
                    <w:rPr>
                      <w:color w:val="auto"/>
                      <w:highlight w:val="none"/>
                    </w:rPr>
                  </w:pPr>
                  <w:r>
                    <w:rPr>
                      <w:rFonts w:hint="eastAsia"/>
                      <w:color w:val="auto"/>
                      <w:highlight w:val="none"/>
                    </w:rPr>
                    <w:t>2</w:t>
                  </w:r>
                </w:p>
              </w:tc>
              <w:tc>
                <w:tcPr>
                  <w:tcW w:w="900" w:type="dxa"/>
                  <w:tcBorders>
                    <w:tl2br w:val="nil"/>
                    <w:tr2bl w:val="nil"/>
                  </w:tcBorders>
                  <w:vAlign w:val="center"/>
                </w:tcPr>
                <w:p w14:paraId="380B7268">
                  <w:pPr>
                    <w:spacing w:before="72" w:beforeLines="30" w:after="72" w:afterLines="30" w:line="240" w:lineRule="exact"/>
                    <w:jc w:val="center"/>
                    <w:rPr>
                      <w:color w:val="auto"/>
                      <w:highlight w:val="none"/>
                    </w:rPr>
                  </w:pPr>
                  <w:r>
                    <w:rPr>
                      <w:rFonts w:hint="eastAsia"/>
                      <w:color w:val="auto"/>
                      <w:highlight w:val="none"/>
                    </w:rPr>
                    <w:t>744453</w:t>
                  </w:r>
                </w:p>
              </w:tc>
              <w:tc>
                <w:tcPr>
                  <w:tcW w:w="1000" w:type="dxa"/>
                  <w:tcBorders>
                    <w:tl2br w:val="nil"/>
                    <w:tr2bl w:val="nil"/>
                  </w:tcBorders>
                  <w:vAlign w:val="center"/>
                </w:tcPr>
                <w:p w14:paraId="2A30D86C">
                  <w:pPr>
                    <w:spacing w:before="72" w:beforeLines="30" w:after="72" w:afterLines="30" w:line="240" w:lineRule="exact"/>
                    <w:jc w:val="center"/>
                    <w:rPr>
                      <w:color w:val="auto"/>
                      <w:highlight w:val="none"/>
                    </w:rPr>
                  </w:pPr>
                  <w:r>
                    <w:rPr>
                      <w:rFonts w:hint="eastAsia"/>
                      <w:color w:val="auto"/>
                      <w:highlight w:val="none"/>
                    </w:rPr>
                    <w:t>3677965</w:t>
                  </w:r>
                </w:p>
              </w:tc>
              <w:tc>
                <w:tcPr>
                  <w:tcW w:w="1467" w:type="dxa"/>
                  <w:tcBorders>
                    <w:tl2br w:val="nil"/>
                    <w:tr2bl w:val="nil"/>
                  </w:tcBorders>
                  <w:vAlign w:val="center"/>
                </w:tcPr>
                <w:p w14:paraId="2EEB7C81">
                  <w:pPr>
                    <w:spacing w:before="72" w:beforeLines="30" w:after="72" w:afterLines="30" w:line="240" w:lineRule="exact"/>
                    <w:jc w:val="center"/>
                    <w:rPr>
                      <w:color w:val="auto"/>
                      <w:szCs w:val="21"/>
                      <w:highlight w:val="none"/>
                    </w:rPr>
                  </w:pPr>
                  <w:r>
                    <w:rPr>
                      <w:rFonts w:hint="eastAsia"/>
                      <w:color w:val="auto"/>
                      <w:szCs w:val="21"/>
                      <w:highlight w:val="none"/>
                    </w:rPr>
                    <w:t>花滩湾住户</w:t>
                  </w:r>
                </w:p>
              </w:tc>
              <w:tc>
                <w:tcPr>
                  <w:tcW w:w="733" w:type="dxa"/>
                  <w:vMerge w:val="continue"/>
                  <w:tcBorders>
                    <w:tl2br w:val="nil"/>
                    <w:tr2bl w:val="nil"/>
                  </w:tcBorders>
                  <w:vAlign w:val="center"/>
                </w:tcPr>
                <w:p w14:paraId="1B142F77">
                  <w:pPr>
                    <w:spacing w:before="72" w:beforeLines="30" w:after="72" w:afterLines="30" w:line="240" w:lineRule="exact"/>
                    <w:jc w:val="center"/>
                    <w:rPr>
                      <w:color w:val="auto"/>
                      <w:highlight w:val="none"/>
                    </w:rPr>
                  </w:pPr>
                </w:p>
              </w:tc>
              <w:tc>
                <w:tcPr>
                  <w:tcW w:w="1017" w:type="dxa"/>
                  <w:vMerge w:val="continue"/>
                  <w:tcBorders>
                    <w:tl2br w:val="nil"/>
                    <w:tr2bl w:val="nil"/>
                  </w:tcBorders>
                  <w:vAlign w:val="center"/>
                </w:tcPr>
                <w:p w14:paraId="706DB075">
                  <w:pPr>
                    <w:spacing w:before="72" w:beforeLines="30" w:after="72" w:afterLines="30" w:line="240" w:lineRule="exact"/>
                    <w:jc w:val="center"/>
                    <w:rPr>
                      <w:color w:val="auto"/>
                      <w:highlight w:val="none"/>
                    </w:rPr>
                  </w:pPr>
                </w:p>
              </w:tc>
              <w:tc>
                <w:tcPr>
                  <w:tcW w:w="900" w:type="dxa"/>
                  <w:tcBorders>
                    <w:tl2br w:val="nil"/>
                    <w:tr2bl w:val="nil"/>
                  </w:tcBorders>
                  <w:vAlign w:val="center"/>
                </w:tcPr>
                <w:p w14:paraId="3B177C9A">
                  <w:pPr>
                    <w:spacing w:before="72" w:beforeLines="30" w:after="72" w:afterLines="30" w:line="240" w:lineRule="exact"/>
                    <w:jc w:val="center"/>
                    <w:rPr>
                      <w:color w:val="auto"/>
                      <w:highlight w:val="none"/>
                    </w:rPr>
                  </w:pPr>
                  <w:r>
                    <w:rPr>
                      <w:rFonts w:hint="eastAsia"/>
                      <w:color w:val="auto"/>
                      <w:highlight w:val="none"/>
                    </w:rPr>
                    <w:t>NW</w:t>
                  </w:r>
                </w:p>
              </w:tc>
              <w:tc>
                <w:tcPr>
                  <w:tcW w:w="1423" w:type="dxa"/>
                  <w:tcBorders>
                    <w:tl2br w:val="nil"/>
                    <w:tr2bl w:val="nil"/>
                  </w:tcBorders>
                  <w:vAlign w:val="center"/>
                </w:tcPr>
                <w:p w14:paraId="0F1402C7">
                  <w:pPr>
                    <w:spacing w:before="72" w:beforeLines="30" w:after="72" w:afterLines="30" w:line="240" w:lineRule="exact"/>
                    <w:jc w:val="center"/>
                    <w:rPr>
                      <w:color w:val="auto"/>
                      <w:highlight w:val="none"/>
                    </w:rPr>
                  </w:pPr>
                  <w:r>
                    <w:rPr>
                      <w:rFonts w:hint="eastAsia"/>
                      <w:color w:val="auto"/>
                      <w:highlight w:val="none"/>
                    </w:rPr>
                    <w:t>280</w:t>
                  </w:r>
                </w:p>
              </w:tc>
            </w:tr>
            <w:tr w14:paraId="099993D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792" w:hRule="exact"/>
                <w:jc w:val="center"/>
              </w:trPr>
              <w:tc>
                <w:tcPr>
                  <w:tcW w:w="684" w:type="dxa"/>
                  <w:tcBorders>
                    <w:tl2br w:val="nil"/>
                    <w:tr2bl w:val="nil"/>
                  </w:tcBorders>
                  <w:vAlign w:val="center"/>
                </w:tcPr>
                <w:p w14:paraId="66E5B391">
                  <w:pPr>
                    <w:spacing w:before="72" w:beforeLines="30" w:after="72" w:afterLines="30" w:line="240" w:lineRule="exact"/>
                    <w:jc w:val="center"/>
                    <w:rPr>
                      <w:color w:val="auto"/>
                      <w:highlight w:val="none"/>
                    </w:rPr>
                  </w:pPr>
                  <w:r>
                    <w:rPr>
                      <w:rFonts w:hint="eastAsia"/>
                      <w:color w:val="auto"/>
                      <w:highlight w:val="none"/>
                    </w:rPr>
                    <w:t>3</w:t>
                  </w:r>
                </w:p>
              </w:tc>
              <w:tc>
                <w:tcPr>
                  <w:tcW w:w="900" w:type="dxa"/>
                  <w:tcBorders>
                    <w:tl2br w:val="nil"/>
                    <w:tr2bl w:val="nil"/>
                  </w:tcBorders>
                  <w:vAlign w:val="center"/>
                </w:tcPr>
                <w:p w14:paraId="1526BCDC">
                  <w:pPr>
                    <w:spacing w:before="72" w:beforeLines="30" w:after="72" w:afterLines="30" w:line="240" w:lineRule="exact"/>
                    <w:jc w:val="center"/>
                    <w:rPr>
                      <w:color w:val="auto"/>
                      <w:highlight w:val="none"/>
                    </w:rPr>
                  </w:pPr>
                  <w:r>
                    <w:rPr>
                      <w:rFonts w:hint="eastAsia"/>
                      <w:color w:val="auto"/>
                      <w:highlight w:val="none"/>
                    </w:rPr>
                    <w:t>744517</w:t>
                  </w:r>
                </w:p>
              </w:tc>
              <w:tc>
                <w:tcPr>
                  <w:tcW w:w="1000" w:type="dxa"/>
                  <w:tcBorders>
                    <w:tl2br w:val="nil"/>
                    <w:tr2bl w:val="nil"/>
                  </w:tcBorders>
                  <w:vAlign w:val="center"/>
                </w:tcPr>
                <w:p w14:paraId="0A280F14">
                  <w:pPr>
                    <w:spacing w:before="72" w:beforeLines="30" w:after="72" w:afterLines="30" w:line="240" w:lineRule="exact"/>
                    <w:jc w:val="center"/>
                    <w:rPr>
                      <w:color w:val="auto"/>
                      <w:highlight w:val="none"/>
                    </w:rPr>
                  </w:pPr>
                  <w:r>
                    <w:rPr>
                      <w:rFonts w:hint="eastAsia"/>
                      <w:color w:val="auto"/>
                      <w:highlight w:val="none"/>
                    </w:rPr>
                    <w:t>3677072</w:t>
                  </w:r>
                </w:p>
              </w:tc>
              <w:tc>
                <w:tcPr>
                  <w:tcW w:w="1467" w:type="dxa"/>
                  <w:tcBorders>
                    <w:tl2br w:val="nil"/>
                    <w:tr2bl w:val="nil"/>
                  </w:tcBorders>
                  <w:vAlign w:val="center"/>
                </w:tcPr>
                <w:p w14:paraId="3DD72CDC">
                  <w:pPr>
                    <w:spacing w:before="72" w:beforeLines="30" w:after="72" w:afterLines="30" w:line="240" w:lineRule="exact"/>
                    <w:jc w:val="center"/>
                    <w:rPr>
                      <w:color w:val="auto"/>
                      <w:highlight w:val="none"/>
                    </w:rPr>
                  </w:pPr>
                  <w:r>
                    <w:rPr>
                      <w:rFonts w:hint="eastAsia"/>
                      <w:color w:val="auto"/>
                      <w:highlight w:val="none"/>
                    </w:rPr>
                    <w:t>陕西汉中朱鹮国家级自然保护区</w:t>
                  </w:r>
                </w:p>
              </w:tc>
              <w:tc>
                <w:tcPr>
                  <w:tcW w:w="733" w:type="dxa"/>
                  <w:tcBorders>
                    <w:tl2br w:val="nil"/>
                    <w:tr2bl w:val="nil"/>
                  </w:tcBorders>
                  <w:vAlign w:val="center"/>
                </w:tcPr>
                <w:p w14:paraId="743C534B">
                  <w:pPr>
                    <w:spacing w:before="72" w:beforeLines="30" w:after="72" w:afterLines="30" w:line="240" w:lineRule="exact"/>
                    <w:jc w:val="center"/>
                    <w:rPr>
                      <w:rFonts w:hint="eastAsia" w:eastAsia="宋体"/>
                      <w:color w:val="auto"/>
                      <w:highlight w:val="none"/>
                      <w:lang w:eastAsia="zh-CN"/>
                    </w:rPr>
                  </w:pPr>
                  <w:r>
                    <w:rPr>
                      <w:rFonts w:hint="eastAsia"/>
                      <w:color w:val="auto"/>
                      <w:highlight w:val="none"/>
                      <w:lang w:eastAsia="zh-CN"/>
                    </w:rPr>
                    <w:t>生物多样性</w:t>
                  </w:r>
                </w:p>
              </w:tc>
              <w:tc>
                <w:tcPr>
                  <w:tcW w:w="1017" w:type="dxa"/>
                  <w:tcBorders>
                    <w:tl2br w:val="nil"/>
                    <w:tr2bl w:val="nil"/>
                  </w:tcBorders>
                  <w:vAlign w:val="center"/>
                </w:tcPr>
                <w:p w14:paraId="02E0CF6A">
                  <w:pPr>
                    <w:spacing w:before="72" w:beforeLines="30" w:after="72" w:afterLines="30" w:line="240" w:lineRule="exact"/>
                    <w:jc w:val="center"/>
                    <w:rPr>
                      <w:color w:val="auto"/>
                      <w:highlight w:val="none"/>
                    </w:rPr>
                  </w:pPr>
                  <w:r>
                    <w:rPr>
                      <w:rFonts w:hint="eastAsia"/>
                      <w:color w:val="auto"/>
                      <w:highlight w:val="none"/>
                    </w:rPr>
                    <w:t>环境空气一类区</w:t>
                  </w:r>
                </w:p>
              </w:tc>
              <w:tc>
                <w:tcPr>
                  <w:tcW w:w="900" w:type="dxa"/>
                  <w:tcBorders>
                    <w:tl2br w:val="nil"/>
                    <w:tr2bl w:val="nil"/>
                  </w:tcBorders>
                  <w:vAlign w:val="center"/>
                </w:tcPr>
                <w:p w14:paraId="0581C0AC">
                  <w:pPr>
                    <w:spacing w:before="72" w:beforeLines="30" w:after="72" w:afterLines="30" w:line="240" w:lineRule="exact"/>
                    <w:jc w:val="center"/>
                    <w:rPr>
                      <w:color w:val="auto"/>
                      <w:highlight w:val="none"/>
                    </w:rPr>
                  </w:pPr>
                  <w:r>
                    <w:rPr>
                      <w:rFonts w:hint="eastAsia"/>
                      <w:color w:val="auto"/>
                      <w:highlight w:val="none"/>
                    </w:rPr>
                    <w:t>S</w:t>
                  </w:r>
                </w:p>
              </w:tc>
              <w:tc>
                <w:tcPr>
                  <w:tcW w:w="1423" w:type="dxa"/>
                  <w:tcBorders>
                    <w:tl2br w:val="nil"/>
                    <w:tr2bl w:val="nil"/>
                  </w:tcBorders>
                  <w:vAlign w:val="center"/>
                </w:tcPr>
                <w:p w14:paraId="5DC92B93">
                  <w:pPr>
                    <w:spacing w:before="72" w:beforeLines="30" w:after="72" w:afterLines="30" w:line="240" w:lineRule="exact"/>
                    <w:jc w:val="center"/>
                    <w:rPr>
                      <w:color w:val="auto"/>
                      <w:highlight w:val="none"/>
                    </w:rPr>
                  </w:pPr>
                  <w:r>
                    <w:rPr>
                      <w:rFonts w:hint="eastAsia"/>
                      <w:color w:val="auto"/>
                      <w:highlight w:val="none"/>
                    </w:rPr>
                    <w:t>490</w:t>
                  </w:r>
                </w:p>
              </w:tc>
            </w:tr>
          </w:tbl>
          <w:p w14:paraId="63CA5E4C">
            <w:pPr>
              <w:adjustRightInd w:val="0"/>
              <w:snapToGrid w:val="0"/>
              <w:spacing w:line="360" w:lineRule="auto"/>
              <w:ind w:firstLine="482" w:firstLineChars="200"/>
              <w:jc w:val="left"/>
              <w:rPr>
                <w:b/>
                <w:bCs/>
                <w:color w:val="auto"/>
                <w:sz w:val="24"/>
                <w:highlight w:val="none"/>
              </w:rPr>
            </w:pPr>
            <w:r>
              <w:rPr>
                <w:rFonts w:hint="eastAsia"/>
                <w:b/>
                <w:bCs/>
                <w:color w:val="auto"/>
                <w:sz w:val="24"/>
                <w:highlight w:val="none"/>
              </w:rPr>
              <w:t>二、</w:t>
            </w:r>
            <w:r>
              <w:rPr>
                <w:b/>
                <w:bCs/>
                <w:color w:val="auto"/>
                <w:sz w:val="24"/>
                <w:highlight w:val="none"/>
              </w:rPr>
              <w:t>地下水环境保护目标</w:t>
            </w:r>
          </w:p>
          <w:p w14:paraId="659081B8">
            <w:pPr>
              <w:pStyle w:val="43"/>
              <w:spacing w:line="360" w:lineRule="auto"/>
              <w:ind w:firstLine="480" w:firstLineChars="200"/>
              <w:rPr>
                <w:color w:val="auto"/>
                <w:highlight w:val="none"/>
              </w:rPr>
            </w:pPr>
            <w:r>
              <w:rPr>
                <w:rFonts w:hint="eastAsia" w:ascii="Times New Roman" w:hAnsi="Times New Roman" w:cs="Times New Roman"/>
                <w:color w:val="auto"/>
                <w:highlight w:val="none"/>
              </w:rPr>
              <w:t>根据现场调查，本</w:t>
            </w:r>
            <w:r>
              <w:rPr>
                <w:color w:val="auto"/>
                <w:highlight w:val="none"/>
              </w:rPr>
              <w:t>项目厂界外</w:t>
            </w:r>
            <w:r>
              <w:rPr>
                <w:rFonts w:ascii="Times New Roman" w:hAnsi="Times New Roman" w:cs="Times New Roman"/>
                <w:color w:val="auto"/>
                <w:highlight w:val="none"/>
              </w:rPr>
              <w:t>500m</w:t>
            </w:r>
            <w:r>
              <w:rPr>
                <w:color w:val="auto"/>
                <w:highlight w:val="none"/>
              </w:rPr>
              <w:t>范围内无</w:t>
            </w:r>
            <w:r>
              <w:rPr>
                <w:rFonts w:hint="eastAsia"/>
                <w:color w:val="auto"/>
                <w:highlight w:val="none"/>
              </w:rPr>
              <w:t>其他</w:t>
            </w:r>
            <w:r>
              <w:rPr>
                <w:color w:val="auto"/>
                <w:highlight w:val="none"/>
              </w:rPr>
              <w:t>地下水集中式饮用水水源和热水、矿泉水、温泉等特殊地下水资源。</w:t>
            </w:r>
          </w:p>
          <w:p w14:paraId="73CD5033">
            <w:pPr>
              <w:pStyle w:val="43"/>
              <w:spacing w:line="360" w:lineRule="auto"/>
              <w:ind w:firstLine="482" w:firstLineChars="200"/>
              <w:rPr>
                <w:rFonts w:ascii="Times New Roman" w:hAnsi="Times New Roman" w:cs="Times New Roman"/>
                <w:b/>
                <w:bCs/>
                <w:color w:val="auto"/>
                <w:highlight w:val="none"/>
              </w:rPr>
            </w:pPr>
            <w:r>
              <w:rPr>
                <w:rFonts w:hint="eastAsia" w:ascii="Times New Roman" w:hAnsi="Times New Roman" w:cs="Times New Roman"/>
                <w:b/>
                <w:bCs/>
                <w:color w:val="auto"/>
                <w:highlight w:val="none"/>
              </w:rPr>
              <w:t>三、声环境保护目标</w:t>
            </w:r>
          </w:p>
          <w:p w14:paraId="268AA4FF">
            <w:pPr>
              <w:pStyle w:val="45"/>
              <w:spacing w:line="360" w:lineRule="auto"/>
              <w:ind w:left="0" w:firstLine="480" w:firstLineChars="200"/>
              <w:rPr>
                <w:rFonts w:ascii="Times New Roman"/>
                <w:b w:val="0"/>
                <w:bCs w:val="0"/>
                <w:color w:val="auto"/>
                <w:sz w:val="24"/>
                <w:szCs w:val="24"/>
                <w:highlight w:val="none"/>
              </w:rPr>
            </w:pPr>
            <w:r>
              <w:rPr>
                <w:rFonts w:hint="eastAsia" w:ascii="Times New Roman"/>
                <w:b w:val="0"/>
                <w:bCs w:val="0"/>
                <w:color w:val="auto"/>
                <w:sz w:val="24"/>
                <w:szCs w:val="24"/>
                <w:highlight w:val="none"/>
              </w:rPr>
              <w:t>由于本项目50m范围内无住户，因此本次无声环境保护目标。</w:t>
            </w:r>
          </w:p>
          <w:p w14:paraId="2FE896D7">
            <w:pPr>
              <w:pStyle w:val="46"/>
              <w:spacing w:line="360" w:lineRule="auto"/>
              <w:ind w:left="480"/>
              <w:rPr>
                <w:b/>
                <w:bCs/>
                <w:color w:val="auto"/>
                <w:highlight w:val="none"/>
              </w:rPr>
            </w:pPr>
            <w:r>
              <w:rPr>
                <w:rFonts w:hint="eastAsia"/>
                <w:b/>
                <w:bCs/>
                <w:color w:val="auto"/>
                <w:highlight w:val="none"/>
              </w:rPr>
              <w:t>四、生态环境保护目标</w:t>
            </w:r>
          </w:p>
          <w:p w14:paraId="08EF8588">
            <w:pPr>
              <w:autoSpaceDE w:val="0"/>
              <w:autoSpaceDN w:val="0"/>
              <w:adjustRightInd w:val="0"/>
              <w:snapToGrid w:val="0"/>
              <w:spacing w:line="360" w:lineRule="auto"/>
              <w:ind w:firstLine="435"/>
              <w:jc w:val="left"/>
              <w:rPr>
                <w:color w:val="auto"/>
                <w:highlight w:val="none"/>
              </w:rPr>
            </w:pPr>
            <w:r>
              <w:rPr>
                <w:rFonts w:hint="eastAsia"/>
                <w:color w:val="auto"/>
                <w:sz w:val="24"/>
                <w:highlight w:val="none"/>
              </w:rPr>
              <w:t>本项目位于产业园区外，不新增用地，因此无新增用地范围内生态环境保护目标</w:t>
            </w:r>
            <w:r>
              <w:rPr>
                <w:rFonts w:hint="eastAsia"/>
                <w:color w:val="auto"/>
                <w:kern w:val="0"/>
                <w:sz w:val="24"/>
                <w:highlight w:val="none"/>
              </w:rPr>
              <w:t>。</w:t>
            </w:r>
          </w:p>
        </w:tc>
      </w:tr>
      <w:tr w14:paraId="0D302E0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78" w:type="dxa"/>
            <w:tcMar>
              <w:left w:w="28" w:type="dxa"/>
              <w:right w:w="28" w:type="dxa"/>
            </w:tcMar>
            <w:vAlign w:val="center"/>
          </w:tcPr>
          <w:p w14:paraId="7684BD14">
            <w:pPr>
              <w:adjustRightInd w:val="0"/>
              <w:snapToGrid w:val="0"/>
              <w:jc w:val="center"/>
              <w:rPr>
                <w:rFonts w:ascii="宋体" w:hAnsi="宋体" w:cs="宋体"/>
                <w:color w:val="auto"/>
                <w:kern w:val="0"/>
                <w:sz w:val="24"/>
                <w:highlight w:val="none"/>
              </w:rPr>
            </w:pPr>
            <w:r>
              <w:rPr>
                <w:rFonts w:hint="eastAsia" w:ascii="宋体" w:hAnsi="宋体" w:cs="宋体"/>
                <w:color w:val="auto"/>
                <w:kern w:val="0"/>
                <w:sz w:val="24"/>
                <w:highlight w:val="none"/>
              </w:rPr>
              <w:t>污染</w:t>
            </w:r>
          </w:p>
          <w:p w14:paraId="5D568F24">
            <w:pPr>
              <w:adjustRightInd w:val="0"/>
              <w:snapToGrid w:val="0"/>
              <w:jc w:val="center"/>
              <w:rPr>
                <w:rFonts w:ascii="宋体" w:hAnsi="宋体" w:cs="宋体"/>
                <w:color w:val="auto"/>
                <w:kern w:val="0"/>
                <w:sz w:val="24"/>
                <w:highlight w:val="none"/>
              </w:rPr>
            </w:pPr>
            <w:r>
              <w:rPr>
                <w:rFonts w:hint="eastAsia" w:ascii="宋体" w:hAnsi="宋体" w:cs="宋体"/>
                <w:color w:val="auto"/>
                <w:kern w:val="0"/>
                <w:sz w:val="24"/>
                <w:highlight w:val="none"/>
              </w:rPr>
              <w:t>物排</w:t>
            </w:r>
          </w:p>
          <w:p w14:paraId="5CBE410D">
            <w:pPr>
              <w:adjustRightInd w:val="0"/>
              <w:snapToGrid w:val="0"/>
              <w:jc w:val="center"/>
              <w:rPr>
                <w:rFonts w:ascii="宋体" w:hAnsi="宋体" w:cs="宋体"/>
                <w:color w:val="auto"/>
                <w:kern w:val="0"/>
                <w:sz w:val="24"/>
                <w:highlight w:val="none"/>
              </w:rPr>
            </w:pPr>
            <w:r>
              <w:rPr>
                <w:rFonts w:hint="eastAsia" w:ascii="宋体" w:hAnsi="宋体" w:cs="宋体"/>
                <w:color w:val="auto"/>
                <w:kern w:val="0"/>
                <w:sz w:val="24"/>
                <w:highlight w:val="none"/>
              </w:rPr>
              <w:t>放控</w:t>
            </w:r>
          </w:p>
          <w:p w14:paraId="09D27BEC">
            <w:pPr>
              <w:adjustRightInd w:val="0"/>
              <w:snapToGrid w:val="0"/>
              <w:jc w:val="center"/>
              <w:rPr>
                <w:rFonts w:ascii="宋体" w:hAnsi="宋体" w:cs="宋体"/>
                <w:color w:val="auto"/>
                <w:kern w:val="0"/>
                <w:sz w:val="24"/>
                <w:highlight w:val="none"/>
              </w:rPr>
            </w:pPr>
            <w:r>
              <w:rPr>
                <w:rFonts w:hint="eastAsia" w:ascii="宋体" w:hAnsi="宋体" w:cs="宋体"/>
                <w:color w:val="auto"/>
                <w:kern w:val="0"/>
                <w:sz w:val="24"/>
                <w:highlight w:val="none"/>
              </w:rPr>
              <w:t>制标</w:t>
            </w:r>
          </w:p>
          <w:p w14:paraId="6AE8CB4C">
            <w:pPr>
              <w:adjustRightInd w:val="0"/>
              <w:snapToGrid w:val="0"/>
              <w:jc w:val="center"/>
              <w:rPr>
                <w:rFonts w:ascii="宋体" w:hAnsi="宋体" w:cs="宋体"/>
                <w:color w:val="auto"/>
                <w:kern w:val="0"/>
                <w:szCs w:val="21"/>
                <w:highlight w:val="none"/>
              </w:rPr>
            </w:pPr>
            <w:r>
              <w:rPr>
                <w:rFonts w:hint="eastAsia" w:ascii="宋体" w:hAnsi="宋体" w:cs="宋体"/>
                <w:color w:val="auto"/>
                <w:kern w:val="0"/>
                <w:sz w:val="24"/>
                <w:highlight w:val="none"/>
              </w:rPr>
              <w:t>准</w:t>
            </w:r>
          </w:p>
        </w:tc>
        <w:tc>
          <w:tcPr>
            <w:tcW w:w="8312" w:type="dxa"/>
            <w:vAlign w:val="center"/>
          </w:tcPr>
          <w:p w14:paraId="7FCC1625">
            <w:pPr>
              <w:numPr>
                <w:ilvl w:val="0"/>
                <w:numId w:val="2"/>
              </w:numPr>
              <w:snapToGrid w:val="0"/>
              <w:spacing w:line="360" w:lineRule="auto"/>
              <w:ind w:firstLine="480" w:firstLineChars="200"/>
              <w:rPr>
                <w:color w:val="auto"/>
                <w:sz w:val="24"/>
                <w:highlight w:val="none"/>
              </w:rPr>
            </w:pPr>
            <w:r>
              <w:rPr>
                <w:rFonts w:hint="eastAsia"/>
                <w:color w:val="auto"/>
                <w:sz w:val="24"/>
                <w:highlight w:val="none"/>
              </w:rPr>
              <w:t>厂区废水执行《污水综合排放标准》（GB8978-1996）中二类水域禁止新建排污口的规定，运营期</w:t>
            </w:r>
            <w:r>
              <w:rPr>
                <w:color w:val="auto"/>
                <w:kern w:val="0"/>
                <w:sz w:val="24"/>
                <w:highlight w:val="none"/>
              </w:rPr>
              <w:t>污水实行“零”排放</w:t>
            </w:r>
            <w:r>
              <w:rPr>
                <w:rFonts w:hint="eastAsia"/>
                <w:color w:val="auto"/>
                <w:sz w:val="24"/>
                <w:highlight w:val="none"/>
              </w:rPr>
              <w:t>。餐饮废水经油水分离器处理后，同生活污水一起排入厂区化粪池，处理后用于周边农田施肥；生产废水经厂内污水处理设施处理</w:t>
            </w:r>
            <w:r>
              <w:rPr>
                <w:rFonts w:hint="eastAsia"/>
                <w:color w:val="auto"/>
                <w:sz w:val="24"/>
                <w:highlight w:val="none"/>
                <w:lang w:eastAsia="zh-CN"/>
              </w:rPr>
              <w:t>满足</w:t>
            </w:r>
            <w:r>
              <w:rPr>
                <w:rFonts w:hint="eastAsia"/>
                <w:color w:val="auto"/>
                <w:sz w:val="24"/>
                <w:highlight w:val="none"/>
              </w:rPr>
              <w:t>《农田灌溉水质标准》（GB5084-2021）表1中的限值后</w:t>
            </w:r>
            <w:r>
              <w:rPr>
                <w:rFonts w:hint="eastAsia"/>
                <w:color w:val="auto"/>
                <w:sz w:val="24"/>
                <w:highlight w:val="none"/>
                <w:lang w:eastAsia="zh-CN"/>
              </w:rPr>
              <w:t>作为</w:t>
            </w:r>
            <w:r>
              <w:rPr>
                <w:rFonts w:hint="eastAsia"/>
                <w:color w:val="auto"/>
                <w:sz w:val="24"/>
                <w:highlight w:val="none"/>
              </w:rPr>
              <w:t>周边果园</w:t>
            </w:r>
            <w:r>
              <w:rPr>
                <w:rFonts w:hint="eastAsia"/>
                <w:color w:val="auto"/>
                <w:sz w:val="24"/>
                <w:highlight w:val="none"/>
                <w:lang w:eastAsia="zh-CN"/>
              </w:rPr>
              <w:t>灌溉用水</w:t>
            </w:r>
            <w:r>
              <w:rPr>
                <w:rFonts w:hint="eastAsia"/>
                <w:color w:val="auto"/>
                <w:sz w:val="24"/>
                <w:highlight w:val="none"/>
              </w:rPr>
              <w:t>。</w:t>
            </w:r>
          </w:p>
          <w:p w14:paraId="537A8D3D">
            <w:pPr>
              <w:snapToGrid w:val="0"/>
              <w:spacing w:line="360" w:lineRule="auto"/>
              <w:ind w:firstLine="480" w:firstLineChars="200"/>
              <w:rPr>
                <w:b/>
                <w:bCs/>
                <w:color w:val="auto"/>
                <w:kern w:val="0"/>
                <w:szCs w:val="21"/>
                <w:highlight w:val="none"/>
              </w:rPr>
            </w:pPr>
            <w:r>
              <w:rPr>
                <w:rFonts w:hint="eastAsia"/>
                <w:color w:val="auto"/>
                <w:sz w:val="24"/>
                <w:highlight w:val="none"/>
              </w:rPr>
              <w:t>2、施工期扬尘排放执行《施工场界扬尘排放限值》（</w:t>
            </w:r>
            <w:r>
              <w:rPr>
                <w:color w:val="auto"/>
                <w:sz w:val="24"/>
                <w:highlight w:val="none"/>
              </w:rPr>
              <w:t>DB61/1078-2017</w:t>
            </w:r>
            <w:r>
              <w:rPr>
                <w:rFonts w:hint="eastAsia"/>
                <w:color w:val="auto"/>
                <w:sz w:val="24"/>
                <w:highlight w:val="none"/>
              </w:rPr>
              <w:t>）排放限值；</w:t>
            </w:r>
            <w:r>
              <w:rPr>
                <w:color w:val="auto"/>
                <w:kern w:val="0"/>
                <w:sz w:val="24"/>
                <w:highlight w:val="none"/>
              </w:rPr>
              <w:t>运营期</w:t>
            </w:r>
            <w:r>
              <w:rPr>
                <w:color w:val="auto"/>
                <w:sz w:val="24"/>
                <w:highlight w:val="none"/>
                <w:lang w:bidi="ar"/>
              </w:rPr>
              <w:t>油烟排放执行《饮食业油烟排放标准》（GB18483-2001）中排放限值</w:t>
            </w:r>
            <w:r>
              <w:rPr>
                <w:rFonts w:hint="eastAsia"/>
                <w:color w:val="auto"/>
                <w:sz w:val="24"/>
                <w:highlight w:val="none"/>
                <w:lang w:bidi="ar"/>
              </w:rPr>
              <w:t>，</w:t>
            </w:r>
            <w:r>
              <w:rPr>
                <w:rFonts w:hint="eastAsia"/>
                <w:color w:val="auto"/>
                <w:sz w:val="24"/>
                <w:highlight w:val="none"/>
              </w:rPr>
              <w:t>锅炉废气执行《锅炉大气污染物排放标准》（DB61/1226-2018）中表5生物质锅炉排放限值，污水处理站恶臭排放执行《恶臭污染物排放标准》（GB14554-93）表1中的厂界标准值</w:t>
            </w:r>
            <w:r>
              <w:rPr>
                <w:rFonts w:hint="eastAsia"/>
                <w:color w:val="auto"/>
                <w:kern w:val="0"/>
                <w:sz w:val="24"/>
                <w:highlight w:val="none"/>
              </w:rPr>
              <w:t>。</w:t>
            </w:r>
          </w:p>
          <w:p w14:paraId="1F894A7C">
            <w:pPr>
              <w:adjustRightInd w:val="0"/>
              <w:snapToGrid w:val="0"/>
              <w:jc w:val="center"/>
              <w:rPr>
                <w:color w:val="auto"/>
                <w:sz w:val="24"/>
                <w:highlight w:val="none"/>
                <w:lang w:bidi="ar"/>
              </w:rPr>
            </w:pPr>
            <w:r>
              <w:rPr>
                <w:b/>
                <w:bCs/>
                <w:color w:val="auto"/>
                <w:kern w:val="0"/>
                <w:szCs w:val="21"/>
                <w:highlight w:val="none"/>
              </w:rPr>
              <w:t>表3-5  废气排放标准一览表</w:t>
            </w:r>
          </w:p>
          <w:tbl>
            <w:tblPr>
              <w:tblStyle w:val="35"/>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341"/>
              <w:gridCol w:w="1143"/>
              <w:gridCol w:w="2666"/>
              <w:gridCol w:w="1530"/>
              <w:gridCol w:w="1413"/>
            </w:tblGrid>
            <w:tr w14:paraId="5554C36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29" w:type="pct"/>
                  <w:vAlign w:val="center"/>
                </w:tcPr>
                <w:p w14:paraId="70FB2B0B">
                  <w:pPr>
                    <w:adjustRightInd w:val="0"/>
                    <w:snapToGrid w:val="0"/>
                    <w:jc w:val="center"/>
                    <w:rPr>
                      <w:b/>
                      <w:bCs/>
                      <w:color w:val="auto"/>
                      <w:kern w:val="0"/>
                      <w:szCs w:val="21"/>
                      <w:highlight w:val="none"/>
                    </w:rPr>
                  </w:pPr>
                  <w:r>
                    <w:rPr>
                      <w:b/>
                      <w:bCs/>
                      <w:color w:val="auto"/>
                      <w:kern w:val="0"/>
                      <w:szCs w:val="21"/>
                      <w:highlight w:val="none"/>
                    </w:rPr>
                    <w:t>污染物种类</w:t>
                  </w:r>
                </w:p>
              </w:tc>
              <w:tc>
                <w:tcPr>
                  <w:tcW w:w="4170" w:type="pct"/>
                  <w:gridSpan w:val="4"/>
                  <w:vAlign w:val="center"/>
                </w:tcPr>
                <w:p w14:paraId="6EAF4772">
                  <w:pPr>
                    <w:adjustRightInd w:val="0"/>
                    <w:snapToGrid w:val="0"/>
                    <w:jc w:val="center"/>
                    <w:rPr>
                      <w:b/>
                      <w:bCs/>
                      <w:color w:val="auto"/>
                      <w:kern w:val="0"/>
                      <w:szCs w:val="21"/>
                      <w:highlight w:val="none"/>
                    </w:rPr>
                  </w:pPr>
                  <w:r>
                    <w:rPr>
                      <w:b/>
                      <w:bCs/>
                      <w:color w:val="auto"/>
                      <w:kern w:val="0"/>
                      <w:szCs w:val="21"/>
                      <w:highlight w:val="none"/>
                    </w:rPr>
                    <w:t>排放标准相关要求</w:t>
                  </w:r>
                </w:p>
              </w:tc>
            </w:tr>
            <w:tr w14:paraId="2BED1D7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5000" w:type="pct"/>
                  <w:gridSpan w:val="5"/>
                  <w:vAlign w:val="center"/>
                </w:tcPr>
                <w:p w14:paraId="2FD8D195">
                  <w:pPr>
                    <w:adjustRightInd w:val="0"/>
                    <w:snapToGrid w:val="0"/>
                    <w:jc w:val="center"/>
                    <w:rPr>
                      <w:b/>
                      <w:bCs/>
                      <w:color w:val="auto"/>
                      <w:kern w:val="0"/>
                      <w:szCs w:val="21"/>
                      <w:highlight w:val="none"/>
                    </w:rPr>
                  </w:pPr>
                  <w:r>
                    <w:rPr>
                      <w:b/>
                      <w:bCs/>
                      <w:color w:val="auto"/>
                      <w:kern w:val="0"/>
                      <w:szCs w:val="21"/>
                      <w:highlight w:val="none"/>
                    </w:rPr>
                    <w:t>施工期</w:t>
                  </w:r>
                </w:p>
              </w:tc>
            </w:tr>
            <w:tr w14:paraId="00BB363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29" w:type="pct"/>
                  <w:vMerge w:val="restart"/>
                  <w:vAlign w:val="center"/>
                </w:tcPr>
                <w:p w14:paraId="428F497F">
                  <w:pPr>
                    <w:adjustRightInd w:val="0"/>
                    <w:snapToGrid w:val="0"/>
                    <w:jc w:val="center"/>
                    <w:rPr>
                      <w:color w:val="auto"/>
                      <w:kern w:val="0"/>
                      <w:szCs w:val="21"/>
                      <w:highlight w:val="none"/>
                    </w:rPr>
                  </w:pPr>
                  <w:r>
                    <w:rPr>
                      <w:color w:val="auto"/>
                      <w:kern w:val="0"/>
                      <w:szCs w:val="21"/>
                      <w:highlight w:val="none"/>
                    </w:rPr>
                    <w:t>施工扬尘</w:t>
                  </w:r>
                </w:p>
              </w:tc>
              <w:tc>
                <w:tcPr>
                  <w:tcW w:w="706" w:type="pct"/>
                  <w:vAlign w:val="center"/>
                </w:tcPr>
                <w:p w14:paraId="0E0377FD">
                  <w:pPr>
                    <w:adjustRightInd w:val="0"/>
                    <w:snapToGrid w:val="0"/>
                    <w:jc w:val="center"/>
                    <w:rPr>
                      <w:bCs/>
                      <w:color w:val="auto"/>
                      <w:kern w:val="0"/>
                      <w:szCs w:val="21"/>
                      <w:highlight w:val="none"/>
                    </w:rPr>
                  </w:pPr>
                  <w:r>
                    <w:rPr>
                      <w:bCs/>
                      <w:color w:val="auto"/>
                      <w:kern w:val="0"/>
                      <w:szCs w:val="21"/>
                      <w:highlight w:val="none"/>
                    </w:rPr>
                    <w:t>监控点</w:t>
                  </w:r>
                </w:p>
              </w:tc>
              <w:tc>
                <w:tcPr>
                  <w:tcW w:w="1647" w:type="pct"/>
                  <w:vAlign w:val="center"/>
                </w:tcPr>
                <w:p w14:paraId="361ED923">
                  <w:pPr>
                    <w:adjustRightInd w:val="0"/>
                    <w:snapToGrid w:val="0"/>
                    <w:jc w:val="center"/>
                    <w:rPr>
                      <w:bCs/>
                      <w:color w:val="auto"/>
                      <w:szCs w:val="21"/>
                      <w:highlight w:val="none"/>
                      <w:lang w:bidi="ar"/>
                    </w:rPr>
                  </w:pPr>
                  <w:r>
                    <w:rPr>
                      <w:bCs/>
                      <w:color w:val="auto"/>
                      <w:szCs w:val="21"/>
                      <w:highlight w:val="none"/>
                      <w:lang w:bidi="ar"/>
                    </w:rPr>
                    <w:t>执行标准</w:t>
                  </w:r>
                </w:p>
              </w:tc>
              <w:tc>
                <w:tcPr>
                  <w:tcW w:w="945" w:type="pct"/>
                  <w:vAlign w:val="center"/>
                </w:tcPr>
                <w:p w14:paraId="587CDE58">
                  <w:pPr>
                    <w:adjustRightInd w:val="0"/>
                    <w:snapToGrid w:val="0"/>
                    <w:jc w:val="center"/>
                    <w:rPr>
                      <w:bCs/>
                      <w:color w:val="auto"/>
                      <w:kern w:val="0"/>
                      <w:szCs w:val="21"/>
                      <w:highlight w:val="none"/>
                    </w:rPr>
                  </w:pPr>
                  <w:r>
                    <w:rPr>
                      <w:bCs/>
                      <w:color w:val="auto"/>
                      <w:kern w:val="0"/>
                      <w:szCs w:val="21"/>
                      <w:highlight w:val="none"/>
                    </w:rPr>
                    <w:t>施工阶段</w:t>
                  </w:r>
                </w:p>
              </w:tc>
              <w:tc>
                <w:tcPr>
                  <w:tcW w:w="869" w:type="pct"/>
                  <w:vAlign w:val="center"/>
                </w:tcPr>
                <w:p w14:paraId="496AAC83">
                  <w:pPr>
                    <w:widowControl/>
                    <w:jc w:val="center"/>
                    <w:rPr>
                      <w:bCs/>
                      <w:color w:val="auto"/>
                      <w:szCs w:val="21"/>
                      <w:highlight w:val="none"/>
                    </w:rPr>
                  </w:pPr>
                  <w:r>
                    <w:rPr>
                      <w:bCs/>
                      <w:color w:val="auto"/>
                      <w:szCs w:val="21"/>
                      <w:highlight w:val="none"/>
                    </w:rPr>
                    <w:t>小时平均</w:t>
                  </w:r>
                </w:p>
                <w:p w14:paraId="1C68EF90">
                  <w:pPr>
                    <w:widowControl/>
                    <w:jc w:val="center"/>
                    <w:rPr>
                      <w:bCs/>
                      <w:color w:val="auto"/>
                      <w:kern w:val="0"/>
                      <w:szCs w:val="21"/>
                      <w:highlight w:val="none"/>
                    </w:rPr>
                  </w:pPr>
                  <w:r>
                    <w:rPr>
                      <w:bCs/>
                      <w:color w:val="auto"/>
                      <w:szCs w:val="21"/>
                      <w:highlight w:val="none"/>
                    </w:rPr>
                    <w:t>浓度限值</w:t>
                  </w:r>
                </w:p>
              </w:tc>
            </w:tr>
            <w:tr w14:paraId="58BD059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29" w:type="pct"/>
                  <w:vMerge w:val="continue"/>
                  <w:vAlign w:val="center"/>
                </w:tcPr>
                <w:p w14:paraId="291B99B9">
                  <w:pPr>
                    <w:adjustRightInd w:val="0"/>
                    <w:snapToGrid w:val="0"/>
                    <w:jc w:val="center"/>
                    <w:rPr>
                      <w:color w:val="auto"/>
                      <w:kern w:val="0"/>
                      <w:szCs w:val="21"/>
                      <w:highlight w:val="none"/>
                    </w:rPr>
                  </w:pPr>
                </w:p>
              </w:tc>
              <w:tc>
                <w:tcPr>
                  <w:tcW w:w="706" w:type="pct"/>
                  <w:vMerge w:val="restart"/>
                  <w:vAlign w:val="center"/>
                </w:tcPr>
                <w:p w14:paraId="22E51B76">
                  <w:pPr>
                    <w:adjustRightInd w:val="0"/>
                    <w:snapToGrid w:val="0"/>
                    <w:jc w:val="center"/>
                    <w:rPr>
                      <w:color w:val="auto"/>
                      <w:kern w:val="0"/>
                      <w:szCs w:val="21"/>
                      <w:highlight w:val="none"/>
                    </w:rPr>
                  </w:pPr>
                  <w:r>
                    <w:rPr>
                      <w:color w:val="auto"/>
                      <w:kern w:val="0"/>
                      <w:szCs w:val="21"/>
                      <w:highlight w:val="none"/>
                    </w:rPr>
                    <w:t>周界外浓度最高点</w:t>
                  </w:r>
                </w:p>
              </w:tc>
              <w:tc>
                <w:tcPr>
                  <w:tcW w:w="1647" w:type="pct"/>
                  <w:vMerge w:val="restart"/>
                  <w:vAlign w:val="center"/>
                </w:tcPr>
                <w:p w14:paraId="4A5B4742">
                  <w:pPr>
                    <w:adjustRightInd w:val="0"/>
                    <w:snapToGrid w:val="0"/>
                    <w:jc w:val="center"/>
                    <w:rPr>
                      <w:color w:val="auto"/>
                      <w:kern w:val="0"/>
                      <w:szCs w:val="21"/>
                      <w:highlight w:val="none"/>
                    </w:rPr>
                  </w:pPr>
                  <w:r>
                    <w:rPr>
                      <w:color w:val="auto"/>
                      <w:szCs w:val="21"/>
                      <w:highlight w:val="none"/>
                      <w:lang w:bidi="ar"/>
                    </w:rPr>
                    <w:t>《施工场界扬尘排放限值》（DB61/1078-2017）</w:t>
                  </w:r>
                </w:p>
              </w:tc>
              <w:tc>
                <w:tcPr>
                  <w:tcW w:w="945" w:type="pct"/>
                  <w:vAlign w:val="center"/>
                </w:tcPr>
                <w:p w14:paraId="2AC998D0">
                  <w:pPr>
                    <w:pStyle w:val="29"/>
                    <w:widowControl w:val="0"/>
                    <w:spacing w:before="0" w:beforeAutospacing="0" w:after="0" w:afterAutospacing="0"/>
                    <w:jc w:val="center"/>
                    <w:rPr>
                      <w:rFonts w:ascii="Times New Roman" w:hAnsi="Times New Roman"/>
                      <w:b/>
                      <w:bCs/>
                      <w:color w:val="auto"/>
                      <w:sz w:val="21"/>
                      <w:szCs w:val="21"/>
                      <w:highlight w:val="none"/>
                    </w:rPr>
                  </w:pPr>
                  <w:r>
                    <w:rPr>
                      <w:rFonts w:ascii="Times New Roman" w:hAnsi="Times New Roman"/>
                      <w:color w:val="auto"/>
                      <w:kern w:val="2"/>
                      <w:sz w:val="21"/>
                      <w:szCs w:val="21"/>
                      <w:highlight w:val="none"/>
                      <w:lang w:bidi="ar"/>
                    </w:rPr>
                    <w:t>拆除、土方及地基处理工程</w:t>
                  </w:r>
                </w:p>
              </w:tc>
              <w:tc>
                <w:tcPr>
                  <w:tcW w:w="869" w:type="pct"/>
                  <w:vAlign w:val="center"/>
                </w:tcPr>
                <w:p w14:paraId="12F84007">
                  <w:pPr>
                    <w:widowControl/>
                    <w:jc w:val="center"/>
                    <w:rPr>
                      <w:color w:val="auto"/>
                      <w:kern w:val="0"/>
                      <w:szCs w:val="21"/>
                      <w:highlight w:val="none"/>
                    </w:rPr>
                  </w:pPr>
                  <w:r>
                    <w:rPr>
                      <w:color w:val="auto"/>
                      <w:szCs w:val="21"/>
                      <w:highlight w:val="none"/>
                    </w:rPr>
                    <w:t>≤0.8</w:t>
                  </w:r>
                  <w:r>
                    <w:rPr>
                      <w:bCs/>
                      <w:color w:val="auto"/>
                      <w:szCs w:val="21"/>
                      <w:highlight w:val="none"/>
                    </w:rPr>
                    <w:t>mg/m</w:t>
                  </w:r>
                  <w:r>
                    <w:rPr>
                      <w:bCs/>
                      <w:color w:val="auto"/>
                      <w:szCs w:val="21"/>
                      <w:highlight w:val="none"/>
                      <w:vertAlign w:val="superscript"/>
                    </w:rPr>
                    <w:t>3</w:t>
                  </w:r>
                </w:p>
              </w:tc>
            </w:tr>
            <w:tr w14:paraId="78E7840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29" w:type="pct"/>
                  <w:vMerge w:val="continue"/>
                  <w:vAlign w:val="center"/>
                </w:tcPr>
                <w:p w14:paraId="668B47EB">
                  <w:pPr>
                    <w:adjustRightInd w:val="0"/>
                    <w:snapToGrid w:val="0"/>
                    <w:jc w:val="center"/>
                    <w:rPr>
                      <w:color w:val="auto"/>
                      <w:kern w:val="0"/>
                      <w:szCs w:val="21"/>
                      <w:highlight w:val="none"/>
                    </w:rPr>
                  </w:pPr>
                </w:p>
              </w:tc>
              <w:tc>
                <w:tcPr>
                  <w:tcW w:w="706" w:type="pct"/>
                  <w:vMerge w:val="continue"/>
                  <w:vAlign w:val="center"/>
                </w:tcPr>
                <w:p w14:paraId="0852DDB6">
                  <w:pPr>
                    <w:adjustRightInd w:val="0"/>
                    <w:snapToGrid w:val="0"/>
                    <w:jc w:val="center"/>
                    <w:rPr>
                      <w:color w:val="auto"/>
                      <w:kern w:val="0"/>
                      <w:szCs w:val="21"/>
                      <w:highlight w:val="none"/>
                    </w:rPr>
                  </w:pPr>
                </w:p>
              </w:tc>
              <w:tc>
                <w:tcPr>
                  <w:tcW w:w="1647" w:type="pct"/>
                  <w:vMerge w:val="continue"/>
                  <w:vAlign w:val="center"/>
                </w:tcPr>
                <w:p w14:paraId="6E1052B3">
                  <w:pPr>
                    <w:adjustRightInd w:val="0"/>
                    <w:snapToGrid w:val="0"/>
                    <w:jc w:val="center"/>
                    <w:rPr>
                      <w:color w:val="auto"/>
                      <w:szCs w:val="21"/>
                      <w:highlight w:val="none"/>
                      <w:lang w:bidi="ar"/>
                    </w:rPr>
                  </w:pPr>
                </w:p>
              </w:tc>
              <w:tc>
                <w:tcPr>
                  <w:tcW w:w="945" w:type="pct"/>
                  <w:vAlign w:val="center"/>
                </w:tcPr>
                <w:p w14:paraId="03419717">
                  <w:pPr>
                    <w:pStyle w:val="29"/>
                    <w:widowControl w:val="0"/>
                    <w:spacing w:before="0" w:beforeAutospacing="0" w:after="0" w:afterAutospacing="0"/>
                    <w:jc w:val="center"/>
                    <w:rPr>
                      <w:rFonts w:ascii="Times New Roman" w:hAnsi="Times New Roman"/>
                      <w:b/>
                      <w:bCs/>
                      <w:color w:val="auto"/>
                      <w:sz w:val="21"/>
                      <w:szCs w:val="21"/>
                      <w:highlight w:val="none"/>
                    </w:rPr>
                  </w:pPr>
                  <w:r>
                    <w:rPr>
                      <w:rFonts w:ascii="Times New Roman" w:hAnsi="Times New Roman"/>
                      <w:color w:val="auto"/>
                      <w:kern w:val="2"/>
                      <w:sz w:val="21"/>
                      <w:szCs w:val="21"/>
                      <w:highlight w:val="none"/>
                      <w:lang w:bidi="ar"/>
                    </w:rPr>
                    <w:t>基础、主体结构及装饰工程</w:t>
                  </w:r>
                </w:p>
              </w:tc>
              <w:tc>
                <w:tcPr>
                  <w:tcW w:w="869" w:type="pct"/>
                  <w:vAlign w:val="center"/>
                </w:tcPr>
                <w:p w14:paraId="064DFCCA">
                  <w:pPr>
                    <w:widowControl/>
                    <w:jc w:val="center"/>
                    <w:rPr>
                      <w:color w:val="auto"/>
                      <w:kern w:val="0"/>
                      <w:szCs w:val="21"/>
                      <w:highlight w:val="none"/>
                    </w:rPr>
                  </w:pPr>
                  <w:r>
                    <w:rPr>
                      <w:color w:val="auto"/>
                      <w:szCs w:val="21"/>
                      <w:highlight w:val="none"/>
                    </w:rPr>
                    <w:t>≤0.7</w:t>
                  </w:r>
                  <w:r>
                    <w:rPr>
                      <w:bCs/>
                      <w:color w:val="auto"/>
                      <w:szCs w:val="21"/>
                      <w:highlight w:val="none"/>
                    </w:rPr>
                    <w:t>mg/m</w:t>
                  </w:r>
                  <w:r>
                    <w:rPr>
                      <w:bCs/>
                      <w:color w:val="auto"/>
                      <w:szCs w:val="21"/>
                      <w:highlight w:val="none"/>
                      <w:vertAlign w:val="superscript"/>
                    </w:rPr>
                    <w:t>3</w:t>
                  </w:r>
                </w:p>
              </w:tc>
            </w:tr>
            <w:tr w14:paraId="6341D93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4" w:hRule="atLeast"/>
                <w:jc w:val="center"/>
              </w:trPr>
              <w:tc>
                <w:tcPr>
                  <w:tcW w:w="5000" w:type="pct"/>
                  <w:gridSpan w:val="5"/>
                  <w:vAlign w:val="center"/>
                </w:tcPr>
                <w:p w14:paraId="64C13602">
                  <w:pPr>
                    <w:adjustRightInd w:val="0"/>
                    <w:snapToGrid w:val="0"/>
                    <w:jc w:val="center"/>
                    <w:rPr>
                      <w:b/>
                      <w:color w:val="auto"/>
                      <w:kern w:val="0"/>
                      <w:szCs w:val="21"/>
                      <w:highlight w:val="none"/>
                    </w:rPr>
                  </w:pPr>
                  <w:r>
                    <w:rPr>
                      <w:b/>
                      <w:color w:val="auto"/>
                      <w:kern w:val="0"/>
                      <w:szCs w:val="21"/>
                      <w:highlight w:val="none"/>
                    </w:rPr>
                    <w:t>运营期</w:t>
                  </w:r>
                </w:p>
              </w:tc>
            </w:tr>
            <w:tr w14:paraId="2DF5853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29" w:type="pct"/>
                  <w:vAlign w:val="center"/>
                </w:tcPr>
                <w:p w14:paraId="70381CA7">
                  <w:pPr>
                    <w:adjustRightInd w:val="0"/>
                    <w:snapToGrid w:val="0"/>
                    <w:jc w:val="center"/>
                    <w:rPr>
                      <w:b/>
                      <w:color w:val="auto"/>
                      <w:kern w:val="0"/>
                      <w:szCs w:val="21"/>
                      <w:highlight w:val="none"/>
                    </w:rPr>
                  </w:pPr>
                  <w:r>
                    <w:rPr>
                      <w:b/>
                      <w:bCs/>
                      <w:color w:val="auto"/>
                      <w:kern w:val="0"/>
                      <w:szCs w:val="21"/>
                      <w:highlight w:val="none"/>
                    </w:rPr>
                    <w:t>污染物种类</w:t>
                  </w:r>
                </w:p>
              </w:tc>
              <w:tc>
                <w:tcPr>
                  <w:tcW w:w="706" w:type="pct"/>
                  <w:vAlign w:val="center"/>
                </w:tcPr>
                <w:p w14:paraId="33B0198C">
                  <w:pPr>
                    <w:adjustRightInd w:val="0"/>
                    <w:snapToGrid w:val="0"/>
                    <w:jc w:val="center"/>
                    <w:rPr>
                      <w:bCs/>
                      <w:color w:val="auto"/>
                      <w:kern w:val="0"/>
                      <w:szCs w:val="21"/>
                      <w:highlight w:val="none"/>
                    </w:rPr>
                  </w:pPr>
                  <w:r>
                    <w:rPr>
                      <w:bCs/>
                      <w:color w:val="auto"/>
                      <w:kern w:val="0"/>
                      <w:szCs w:val="21"/>
                      <w:highlight w:val="none"/>
                    </w:rPr>
                    <w:t>排放形式</w:t>
                  </w:r>
                </w:p>
              </w:tc>
              <w:tc>
                <w:tcPr>
                  <w:tcW w:w="1647" w:type="pct"/>
                  <w:vAlign w:val="center"/>
                </w:tcPr>
                <w:p w14:paraId="05D0D279">
                  <w:pPr>
                    <w:adjustRightInd w:val="0"/>
                    <w:snapToGrid w:val="0"/>
                    <w:jc w:val="center"/>
                    <w:rPr>
                      <w:bCs/>
                      <w:color w:val="auto"/>
                      <w:kern w:val="0"/>
                      <w:szCs w:val="21"/>
                      <w:highlight w:val="none"/>
                    </w:rPr>
                  </w:pPr>
                  <w:r>
                    <w:rPr>
                      <w:bCs/>
                      <w:color w:val="auto"/>
                      <w:kern w:val="0"/>
                      <w:szCs w:val="21"/>
                      <w:highlight w:val="none"/>
                    </w:rPr>
                    <w:t>执行标准</w:t>
                  </w:r>
                </w:p>
              </w:tc>
              <w:tc>
                <w:tcPr>
                  <w:tcW w:w="945" w:type="pct"/>
                  <w:vAlign w:val="center"/>
                </w:tcPr>
                <w:p w14:paraId="372731CB">
                  <w:pPr>
                    <w:adjustRightInd w:val="0"/>
                    <w:snapToGrid w:val="0"/>
                    <w:jc w:val="center"/>
                    <w:rPr>
                      <w:bCs/>
                      <w:color w:val="auto"/>
                      <w:kern w:val="0"/>
                      <w:szCs w:val="21"/>
                      <w:highlight w:val="none"/>
                    </w:rPr>
                  </w:pPr>
                  <w:r>
                    <w:rPr>
                      <w:bCs/>
                      <w:color w:val="auto"/>
                      <w:kern w:val="0"/>
                      <w:szCs w:val="21"/>
                      <w:highlight w:val="none"/>
                    </w:rPr>
                    <w:t>浓度限值</w:t>
                  </w:r>
                </w:p>
              </w:tc>
              <w:tc>
                <w:tcPr>
                  <w:tcW w:w="869" w:type="pct"/>
                  <w:vAlign w:val="center"/>
                </w:tcPr>
                <w:p w14:paraId="75ADF74F">
                  <w:pPr>
                    <w:adjustRightInd w:val="0"/>
                    <w:snapToGrid w:val="0"/>
                    <w:jc w:val="center"/>
                    <w:rPr>
                      <w:bCs/>
                      <w:color w:val="auto"/>
                      <w:kern w:val="0"/>
                      <w:szCs w:val="21"/>
                      <w:highlight w:val="none"/>
                    </w:rPr>
                  </w:pPr>
                  <w:r>
                    <w:rPr>
                      <w:bCs/>
                      <w:color w:val="auto"/>
                      <w:kern w:val="0"/>
                      <w:szCs w:val="21"/>
                      <w:highlight w:val="none"/>
                    </w:rPr>
                    <w:t>监控点</w:t>
                  </w:r>
                </w:p>
              </w:tc>
            </w:tr>
            <w:tr w14:paraId="6076A39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29" w:type="pct"/>
                  <w:vAlign w:val="center"/>
                </w:tcPr>
                <w:p w14:paraId="3F055299">
                  <w:pPr>
                    <w:adjustRightInd w:val="0"/>
                    <w:snapToGrid w:val="0"/>
                    <w:jc w:val="center"/>
                    <w:rPr>
                      <w:color w:val="auto"/>
                      <w:kern w:val="0"/>
                      <w:szCs w:val="21"/>
                      <w:highlight w:val="none"/>
                    </w:rPr>
                  </w:pPr>
                  <w:r>
                    <w:rPr>
                      <w:color w:val="auto"/>
                      <w:kern w:val="0"/>
                      <w:szCs w:val="21"/>
                      <w:highlight w:val="none"/>
                    </w:rPr>
                    <w:t>颗粒物</w:t>
                  </w:r>
                </w:p>
              </w:tc>
              <w:tc>
                <w:tcPr>
                  <w:tcW w:w="706" w:type="pct"/>
                  <w:vMerge w:val="restart"/>
                  <w:vAlign w:val="center"/>
                </w:tcPr>
                <w:p w14:paraId="4A3E7E77">
                  <w:pPr>
                    <w:adjustRightInd w:val="0"/>
                    <w:snapToGrid w:val="0"/>
                    <w:jc w:val="center"/>
                    <w:rPr>
                      <w:color w:val="auto"/>
                      <w:kern w:val="0"/>
                      <w:szCs w:val="21"/>
                      <w:highlight w:val="none"/>
                    </w:rPr>
                  </w:pPr>
                  <w:r>
                    <w:rPr>
                      <w:color w:val="auto"/>
                      <w:kern w:val="0"/>
                      <w:szCs w:val="21"/>
                      <w:highlight w:val="none"/>
                    </w:rPr>
                    <w:t>有组织</w:t>
                  </w:r>
                </w:p>
              </w:tc>
              <w:tc>
                <w:tcPr>
                  <w:tcW w:w="1647" w:type="pct"/>
                  <w:vMerge w:val="restart"/>
                  <w:vAlign w:val="center"/>
                </w:tcPr>
                <w:p w14:paraId="5A866EA0">
                  <w:pPr>
                    <w:adjustRightInd w:val="0"/>
                    <w:snapToGrid w:val="0"/>
                    <w:jc w:val="center"/>
                    <w:rPr>
                      <w:color w:val="auto"/>
                      <w:kern w:val="0"/>
                      <w:szCs w:val="21"/>
                      <w:highlight w:val="none"/>
                    </w:rPr>
                  </w:pPr>
                  <w:r>
                    <w:rPr>
                      <w:color w:val="auto"/>
                      <w:kern w:val="0"/>
                      <w:szCs w:val="21"/>
                      <w:highlight w:val="none"/>
                    </w:rPr>
                    <w:t>《锅炉大气污染物排放标准》（DB61/1226-2018）</w:t>
                  </w:r>
                </w:p>
              </w:tc>
              <w:tc>
                <w:tcPr>
                  <w:tcW w:w="945" w:type="pct"/>
                  <w:vAlign w:val="center"/>
                </w:tcPr>
                <w:p w14:paraId="724ED055">
                  <w:pPr>
                    <w:adjustRightInd w:val="0"/>
                    <w:snapToGrid w:val="0"/>
                    <w:jc w:val="center"/>
                    <w:rPr>
                      <w:color w:val="auto"/>
                      <w:kern w:val="0"/>
                      <w:szCs w:val="21"/>
                      <w:highlight w:val="none"/>
                    </w:rPr>
                  </w:pPr>
                  <w:r>
                    <w:rPr>
                      <w:rFonts w:hint="eastAsia"/>
                      <w:color w:val="auto"/>
                      <w:kern w:val="0"/>
                      <w:szCs w:val="21"/>
                      <w:highlight w:val="none"/>
                    </w:rPr>
                    <w:t>20</w:t>
                  </w:r>
                  <w:r>
                    <w:rPr>
                      <w:bCs/>
                      <w:color w:val="auto"/>
                      <w:kern w:val="0"/>
                      <w:szCs w:val="21"/>
                      <w:highlight w:val="none"/>
                    </w:rPr>
                    <w:t>mg/m</w:t>
                  </w:r>
                  <w:r>
                    <w:rPr>
                      <w:bCs/>
                      <w:color w:val="auto"/>
                      <w:kern w:val="0"/>
                      <w:szCs w:val="21"/>
                      <w:highlight w:val="none"/>
                      <w:vertAlign w:val="superscript"/>
                    </w:rPr>
                    <w:t>3</w:t>
                  </w:r>
                </w:p>
              </w:tc>
              <w:tc>
                <w:tcPr>
                  <w:tcW w:w="869" w:type="pct"/>
                  <w:vMerge w:val="restart"/>
                  <w:vAlign w:val="center"/>
                </w:tcPr>
                <w:p w14:paraId="549B2F69">
                  <w:pPr>
                    <w:adjustRightInd w:val="0"/>
                    <w:snapToGrid w:val="0"/>
                    <w:jc w:val="center"/>
                    <w:rPr>
                      <w:color w:val="auto"/>
                      <w:kern w:val="0"/>
                      <w:szCs w:val="21"/>
                      <w:highlight w:val="none"/>
                    </w:rPr>
                  </w:pPr>
                  <w:r>
                    <w:rPr>
                      <w:rFonts w:hint="eastAsia"/>
                      <w:color w:val="auto"/>
                      <w:kern w:val="0"/>
                      <w:szCs w:val="21"/>
                      <w:highlight w:val="none"/>
                    </w:rPr>
                    <w:t>烟囱排放口</w:t>
                  </w:r>
                </w:p>
              </w:tc>
            </w:tr>
            <w:tr w14:paraId="7DCC3DE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29" w:type="pct"/>
                  <w:vAlign w:val="center"/>
                </w:tcPr>
                <w:p w14:paraId="426EA688">
                  <w:pPr>
                    <w:adjustRightInd w:val="0"/>
                    <w:snapToGrid w:val="0"/>
                    <w:jc w:val="center"/>
                    <w:rPr>
                      <w:color w:val="auto"/>
                      <w:kern w:val="0"/>
                      <w:szCs w:val="21"/>
                      <w:highlight w:val="none"/>
                    </w:rPr>
                  </w:pPr>
                  <w:r>
                    <w:rPr>
                      <w:color w:val="auto"/>
                      <w:kern w:val="0"/>
                      <w:szCs w:val="21"/>
                      <w:highlight w:val="none"/>
                    </w:rPr>
                    <w:t>二氧化硫</w:t>
                  </w:r>
                </w:p>
              </w:tc>
              <w:tc>
                <w:tcPr>
                  <w:tcW w:w="706" w:type="pct"/>
                  <w:vMerge w:val="continue"/>
                  <w:vAlign w:val="center"/>
                </w:tcPr>
                <w:p w14:paraId="29F77E9B">
                  <w:pPr>
                    <w:adjustRightInd w:val="0"/>
                    <w:snapToGrid w:val="0"/>
                    <w:jc w:val="center"/>
                    <w:rPr>
                      <w:color w:val="auto"/>
                      <w:kern w:val="0"/>
                      <w:szCs w:val="21"/>
                      <w:highlight w:val="none"/>
                    </w:rPr>
                  </w:pPr>
                </w:p>
              </w:tc>
              <w:tc>
                <w:tcPr>
                  <w:tcW w:w="1647" w:type="pct"/>
                  <w:vMerge w:val="continue"/>
                  <w:vAlign w:val="center"/>
                </w:tcPr>
                <w:p w14:paraId="16C0D9ED">
                  <w:pPr>
                    <w:adjustRightInd w:val="0"/>
                    <w:snapToGrid w:val="0"/>
                    <w:jc w:val="center"/>
                    <w:rPr>
                      <w:color w:val="auto"/>
                      <w:kern w:val="0"/>
                      <w:szCs w:val="21"/>
                      <w:highlight w:val="none"/>
                    </w:rPr>
                  </w:pPr>
                </w:p>
              </w:tc>
              <w:tc>
                <w:tcPr>
                  <w:tcW w:w="945" w:type="pct"/>
                  <w:vAlign w:val="center"/>
                </w:tcPr>
                <w:p w14:paraId="7F7515DC">
                  <w:pPr>
                    <w:adjustRightInd w:val="0"/>
                    <w:snapToGrid w:val="0"/>
                    <w:jc w:val="center"/>
                    <w:rPr>
                      <w:color w:val="auto"/>
                      <w:kern w:val="0"/>
                      <w:szCs w:val="21"/>
                      <w:highlight w:val="none"/>
                    </w:rPr>
                  </w:pPr>
                  <w:r>
                    <w:rPr>
                      <w:rFonts w:hint="eastAsia"/>
                      <w:color w:val="auto"/>
                      <w:kern w:val="0"/>
                      <w:szCs w:val="21"/>
                      <w:highlight w:val="none"/>
                    </w:rPr>
                    <w:t>35</w:t>
                  </w:r>
                  <w:r>
                    <w:rPr>
                      <w:bCs/>
                      <w:color w:val="auto"/>
                      <w:kern w:val="0"/>
                      <w:szCs w:val="21"/>
                      <w:highlight w:val="none"/>
                    </w:rPr>
                    <w:t>mg/m</w:t>
                  </w:r>
                  <w:r>
                    <w:rPr>
                      <w:bCs/>
                      <w:color w:val="auto"/>
                      <w:kern w:val="0"/>
                      <w:szCs w:val="21"/>
                      <w:highlight w:val="none"/>
                      <w:vertAlign w:val="superscript"/>
                    </w:rPr>
                    <w:t>3</w:t>
                  </w:r>
                </w:p>
              </w:tc>
              <w:tc>
                <w:tcPr>
                  <w:tcW w:w="869" w:type="pct"/>
                  <w:vMerge w:val="continue"/>
                  <w:vAlign w:val="center"/>
                </w:tcPr>
                <w:p w14:paraId="49D4A50A">
                  <w:pPr>
                    <w:adjustRightInd w:val="0"/>
                    <w:snapToGrid w:val="0"/>
                    <w:jc w:val="center"/>
                    <w:rPr>
                      <w:color w:val="auto"/>
                      <w:kern w:val="0"/>
                      <w:szCs w:val="21"/>
                      <w:highlight w:val="none"/>
                    </w:rPr>
                  </w:pPr>
                </w:p>
              </w:tc>
            </w:tr>
            <w:tr w14:paraId="325606C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29" w:type="pct"/>
                  <w:vAlign w:val="center"/>
                </w:tcPr>
                <w:p w14:paraId="1F6EEB5C">
                  <w:pPr>
                    <w:adjustRightInd w:val="0"/>
                    <w:snapToGrid w:val="0"/>
                    <w:jc w:val="center"/>
                    <w:rPr>
                      <w:color w:val="auto"/>
                      <w:kern w:val="0"/>
                      <w:szCs w:val="21"/>
                      <w:highlight w:val="none"/>
                    </w:rPr>
                  </w:pPr>
                  <w:r>
                    <w:rPr>
                      <w:color w:val="auto"/>
                      <w:kern w:val="0"/>
                      <w:szCs w:val="21"/>
                      <w:highlight w:val="none"/>
                    </w:rPr>
                    <w:t>氮氧化物</w:t>
                  </w:r>
                </w:p>
              </w:tc>
              <w:tc>
                <w:tcPr>
                  <w:tcW w:w="706" w:type="pct"/>
                  <w:vMerge w:val="continue"/>
                  <w:vAlign w:val="center"/>
                </w:tcPr>
                <w:p w14:paraId="7D47DD65">
                  <w:pPr>
                    <w:adjustRightInd w:val="0"/>
                    <w:snapToGrid w:val="0"/>
                    <w:jc w:val="center"/>
                    <w:rPr>
                      <w:color w:val="auto"/>
                      <w:kern w:val="0"/>
                      <w:szCs w:val="21"/>
                      <w:highlight w:val="none"/>
                    </w:rPr>
                  </w:pPr>
                </w:p>
              </w:tc>
              <w:tc>
                <w:tcPr>
                  <w:tcW w:w="1647" w:type="pct"/>
                  <w:vMerge w:val="continue"/>
                  <w:vAlign w:val="center"/>
                </w:tcPr>
                <w:p w14:paraId="490555A4">
                  <w:pPr>
                    <w:adjustRightInd w:val="0"/>
                    <w:snapToGrid w:val="0"/>
                    <w:jc w:val="center"/>
                    <w:rPr>
                      <w:color w:val="auto"/>
                      <w:kern w:val="0"/>
                      <w:szCs w:val="21"/>
                      <w:highlight w:val="none"/>
                    </w:rPr>
                  </w:pPr>
                </w:p>
              </w:tc>
              <w:tc>
                <w:tcPr>
                  <w:tcW w:w="945" w:type="pct"/>
                  <w:vAlign w:val="center"/>
                </w:tcPr>
                <w:p w14:paraId="6CB3486C">
                  <w:pPr>
                    <w:adjustRightInd w:val="0"/>
                    <w:snapToGrid w:val="0"/>
                    <w:jc w:val="center"/>
                    <w:rPr>
                      <w:color w:val="auto"/>
                      <w:kern w:val="0"/>
                      <w:szCs w:val="21"/>
                      <w:highlight w:val="none"/>
                    </w:rPr>
                  </w:pPr>
                  <w:r>
                    <w:rPr>
                      <w:rFonts w:hint="eastAsia"/>
                      <w:color w:val="auto"/>
                      <w:kern w:val="0"/>
                      <w:szCs w:val="21"/>
                      <w:highlight w:val="none"/>
                    </w:rPr>
                    <w:t>1</w:t>
                  </w:r>
                  <w:r>
                    <w:rPr>
                      <w:color w:val="auto"/>
                      <w:kern w:val="0"/>
                      <w:szCs w:val="21"/>
                      <w:highlight w:val="none"/>
                    </w:rPr>
                    <w:t>50</w:t>
                  </w:r>
                  <w:r>
                    <w:rPr>
                      <w:bCs/>
                      <w:color w:val="auto"/>
                      <w:kern w:val="0"/>
                      <w:szCs w:val="21"/>
                      <w:highlight w:val="none"/>
                    </w:rPr>
                    <w:t>mg/m</w:t>
                  </w:r>
                  <w:r>
                    <w:rPr>
                      <w:bCs/>
                      <w:color w:val="auto"/>
                      <w:kern w:val="0"/>
                      <w:szCs w:val="21"/>
                      <w:highlight w:val="none"/>
                      <w:vertAlign w:val="superscript"/>
                    </w:rPr>
                    <w:t>3</w:t>
                  </w:r>
                </w:p>
              </w:tc>
              <w:tc>
                <w:tcPr>
                  <w:tcW w:w="869" w:type="pct"/>
                  <w:vMerge w:val="continue"/>
                  <w:vAlign w:val="center"/>
                </w:tcPr>
                <w:p w14:paraId="34EE3AE4">
                  <w:pPr>
                    <w:adjustRightInd w:val="0"/>
                    <w:snapToGrid w:val="0"/>
                    <w:jc w:val="center"/>
                    <w:rPr>
                      <w:color w:val="auto"/>
                      <w:kern w:val="0"/>
                      <w:szCs w:val="21"/>
                      <w:highlight w:val="none"/>
                    </w:rPr>
                  </w:pPr>
                </w:p>
              </w:tc>
            </w:tr>
            <w:tr w14:paraId="264E0E3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29" w:type="pct"/>
                  <w:vAlign w:val="center"/>
                </w:tcPr>
                <w:p w14:paraId="294F0B36">
                  <w:pPr>
                    <w:adjustRightInd w:val="0"/>
                    <w:snapToGrid w:val="0"/>
                    <w:jc w:val="center"/>
                    <w:rPr>
                      <w:color w:val="auto"/>
                      <w:kern w:val="0"/>
                      <w:szCs w:val="21"/>
                      <w:highlight w:val="none"/>
                    </w:rPr>
                  </w:pPr>
                  <w:r>
                    <w:rPr>
                      <w:rFonts w:hint="eastAsia"/>
                      <w:color w:val="auto"/>
                      <w:kern w:val="0"/>
                      <w:szCs w:val="21"/>
                      <w:highlight w:val="none"/>
                    </w:rPr>
                    <w:t>氨</w:t>
                  </w:r>
                </w:p>
              </w:tc>
              <w:tc>
                <w:tcPr>
                  <w:tcW w:w="706" w:type="pct"/>
                  <w:vMerge w:val="restart"/>
                  <w:vAlign w:val="center"/>
                </w:tcPr>
                <w:p w14:paraId="586DE750">
                  <w:pPr>
                    <w:adjustRightInd w:val="0"/>
                    <w:snapToGrid w:val="0"/>
                    <w:jc w:val="center"/>
                    <w:rPr>
                      <w:color w:val="auto"/>
                      <w:kern w:val="0"/>
                      <w:szCs w:val="21"/>
                      <w:highlight w:val="none"/>
                    </w:rPr>
                  </w:pPr>
                  <w:r>
                    <w:rPr>
                      <w:rFonts w:hint="eastAsia"/>
                      <w:color w:val="auto"/>
                      <w:kern w:val="0"/>
                      <w:szCs w:val="21"/>
                      <w:highlight w:val="none"/>
                    </w:rPr>
                    <w:t>无组织</w:t>
                  </w:r>
                </w:p>
              </w:tc>
              <w:tc>
                <w:tcPr>
                  <w:tcW w:w="1647" w:type="pct"/>
                  <w:vMerge w:val="restart"/>
                  <w:vAlign w:val="center"/>
                </w:tcPr>
                <w:p w14:paraId="0B4FD9F5">
                  <w:pPr>
                    <w:adjustRightInd w:val="0"/>
                    <w:snapToGrid w:val="0"/>
                    <w:jc w:val="center"/>
                    <w:rPr>
                      <w:color w:val="auto"/>
                      <w:kern w:val="0"/>
                      <w:szCs w:val="21"/>
                      <w:highlight w:val="none"/>
                    </w:rPr>
                  </w:pPr>
                  <w:r>
                    <w:rPr>
                      <w:rFonts w:hint="eastAsia"/>
                      <w:color w:val="auto"/>
                      <w:kern w:val="0"/>
                      <w:szCs w:val="21"/>
                      <w:highlight w:val="none"/>
                    </w:rPr>
                    <w:t>《恶臭污染物排放标准》（GB14554-93）</w:t>
                  </w:r>
                </w:p>
              </w:tc>
              <w:tc>
                <w:tcPr>
                  <w:tcW w:w="945" w:type="pct"/>
                  <w:vAlign w:val="center"/>
                </w:tcPr>
                <w:p w14:paraId="11694314">
                  <w:pPr>
                    <w:adjustRightInd w:val="0"/>
                    <w:snapToGrid w:val="0"/>
                    <w:jc w:val="center"/>
                    <w:rPr>
                      <w:color w:val="auto"/>
                      <w:kern w:val="0"/>
                      <w:szCs w:val="21"/>
                      <w:highlight w:val="none"/>
                    </w:rPr>
                  </w:pPr>
                  <w:r>
                    <w:rPr>
                      <w:rFonts w:hint="eastAsia"/>
                      <w:color w:val="auto"/>
                      <w:kern w:val="0"/>
                      <w:szCs w:val="21"/>
                      <w:highlight w:val="none"/>
                    </w:rPr>
                    <w:t>1.5</w:t>
                  </w:r>
                  <w:r>
                    <w:rPr>
                      <w:bCs/>
                      <w:color w:val="auto"/>
                      <w:kern w:val="0"/>
                      <w:szCs w:val="21"/>
                      <w:highlight w:val="none"/>
                    </w:rPr>
                    <w:t>mg/m</w:t>
                  </w:r>
                  <w:r>
                    <w:rPr>
                      <w:bCs/>
                      <w:color w:val="auto"/>
                      <w:kern w:val="0"/>
                      <w:szCs w:val="21"/>
                      <w:highlight w:val="none"/>
                      <w:vertAlign w:val="superscript"/>
                    </w:rPr>
                    <w:t>3</w:t>
                  </w:r>
                </w:p>
              </w:tc>
              <w:tc>
                <w:tcPr>
                  <w:tcW w:w="869" w:type="pct"/>
                  <w:vMerge w:val="restart"/>
                  <w:vAlign w:val="center"/>
                </w:tcPr>
                <w:p w14:paraId="0E3F1D27">
                  <w:pPr>
                    <w:adjustRightInd w:val="0"/>
                    <w:snapToGrid w:val="0"/>
                    <w:jc w:val="center"/>
                    <w:rPr>
                      <w:color w:val="auto"/>
                      <w:kern w:val="0"/>
                      <w:szCs w:val="21"/>
                      <w:highlight w:val="none"/>
                    </w:rPr>
                  </w:pPr>
                  <w:r>
                    <w:rPr>
                      <w:rFonts w:hint="eastAsia"/>
                      <w:color w:val="auto"/>
                      <w:kern w:val="0"/>
                      <w:szCs w:val="21"/>
                      <w:highlight w:val="none"/>
                    </w:rPr>
                    <w:t>/</w:t>
                  </w:r>
                </w:p>
              </w:tc>
            </w:tr>
            <w:tr w14:paraId="36F98F1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29" w:type="pct"/>
                  <w:vAlign w:val="center"/>
                </w:tcPr>
                <w:p w14:paraId="1B839ABD">
                  <w:pPr>
                    <w:adjustRightInd w:val="0"/>
                    <w:snapToGrid w:val="0"/>
                    <w:jc w:val="center"/>
                    <w:rPr>
                      <w:color w:val="auto"/>
                      <w:kern w:val="0"/>
                      <w:szCs w:val="21"/>
                      <w:highlight w:val="none"/>
                    </w:rPr>
                  </w:pPr>
                  <w:r>
                    <w:rPr>
                      <w:rFonts w:hint="eastAsia"/>
                      <w:color w:val="auto"/>
                      <w:kern w:val="0"/>
                      <w:szCs w:val="21"/>
                      <w:highlight w:val="none"/>
                    </w:rPr>
                    <w:t>硫化氢</w:t>
                  </w:r>
                </w:p>
              </w:tc>
              <w:tc>
                <w:tcPr>
                  <w:tcW w:w="706" w:type="pct"/>
                  <w:vMerge w:val="continue"/>
                  <w:vAlign w:val="center"/>
                </w:tcPr>
                <w:p w14:paraId="22D400D4">
                  <w:pPr>
                    <w:adjustRightInd w:val="0"/>
                    <w:snapToGrid w:val="0"/>
                    <w:jc w:val="center"/>
                    <w:rPr>
                      <w:color w:val="auto"/>
                      <w:kern w:val="0"/>
                      <w:szCs w:val="21"/>
                      <w:highlight w:val="none"/>
                    </w:rPr>
                  </w:pPr>
                </w:p>
              </w:tc>
              <w:tc>
                <w:tcPr>
                  <w:tcW w:w="1647" w:type="pct"/>
                  <w:vMerge w:val="continue"/>
                  <w:vAlign w:val="center"/>
                </w:tcPr>
                <w:p w14:paraId="3A309963">
                  <w:pPr>
                    <w:adjustRightInd w:val="0"/>
                    <w:snapToGrid w:val="0"/>
                    <w:jc w:val="center"/>
                    <w:rPr>
                      <w:color w:val="auto"/>
                      <w:kern w:val="0"/>
                      <w:szCs w:val="21"/>
                      <w:highlight w:val="none"/>
                    </w:rPr>
                  </w:pPr>
                </w:p>
              </w:tc>
              <w:tc>
                <w:tcPr>
                  <w:tcW w:w="945" w:type="pct"/>
                  <w:vAlign w:val="center"/>
                </w:tcPr>
                <w:p w14:paraId="757932AB">
                  <w:pPr>
                    <w:adjustRightInd w:val="0"/>
                    <w:snapToGrid w:val="0"/>
                    <w:jc w:val="center"/>
                    <w:rPr>
                      <w:color w:val="auto"/>
                      <w:kern w:val="0"/>
                      <w:szCs w:val="21"/>
                      <w:highlight w:val="none"/>
                    </w:rPr>
                  </w:pPr>
                  <w:r>
                    <w:rPr>
                      <w:rFonts w:hint="eastAsia"/>
                      <w:color w:val="auto"/>
                      <w:kern w:val="0"/>
                      <w:szCs w:val="21"/>
                      <w:highlight w:val="none"/>
                    </w:rPr>
                    <w:t>0.06</w:t>
                  </w:r>
                  <w:r>
                    <w:rPr>
                      <w:bCs/>
                      <w:color w:val="auto"/>
                      <w:kern w:val="0"/>
                      <w:szCs w:val="21"/>
                      <w:highlight w:val="none"/>
                    </w:rPr>
                    <w:t>mg/m</w:t>
                  </w:r>
                  <w:r>
                    <w:rPr>
                      <w:bCs/>
                      <w:color w:val="auto"/>
                      <w:kern w:val="0"/>
                      <w:szCs w:val="21"/>
                      <w:highlight w:val="none"/>
                      <w:vertAlign w:val="superscript"/>
                    </w:rPr>
                    <w:t>3</w:t>
                  </w:r>
                </w:p>
              </w:tc>
              <w:tc>
                <w:tcPr>
                  <w:tcW w:w="869" w:type="pct"/>
                  <w:vMerge w:val="continue"/>
                  <w:vAlign w:val="center"/>
                </w:tcPr>
                <w:p w14:paraId="4599C3CE">
                  <w:pPr>
                    <w:adjustRightInd w:val="0"/>
                    <w:snapToGrid w:val="0"/>
                    <w:jc w:val="center"/>
                    <w:rPr>
                      <w:color w:val="auto"/>
                      <w:kern w:val="0"/>
                      <w:szCs w:val="21"/>
                      <w:highlight w:val="none"/>
                    </w:rPr>
                  </w:pPr>
                </w:p>
              </w:tc>
            </w:tr>
            <w:tr w14:paraId="77299EE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29" w:type="pct"/>
                  <w:vAlign w:val="center"/>
                </w:tcPr>
                <w:p w14:paraId="1EF2B28E">
                  <w:pPr>
                    <w:adjustRightInd w:val="0"/>
                    <w:snapToGrid w:val="0"/>
                    <w:jc w:val="center"/>
                    <w:rPr>
                      <w:color w:val="auto"/>
                      <w:kern w:val="0"/>
                      <w:szCs w:val="21"/>
                      <w:highlight w:val="none"/>
                    </w:rPr>
                  </w:pPr>
                  <w:r>
                    <w:rPr>
                      <w:rFonts w:hint="eastAsia"/>
                      <w:color w:val="auto"/>
                      <w:kern w:val="0"/>
                      <w:szCs w:val="21"/>
                      <w:highlight w:val="none"/>
                    </w:rPr>
                    <w:t>臭气浓度</w:t>
                  </w:r>
                </w:p>
              </w:tc>
              <w:tc>
                <w:tcPr>
                  <w:tcW w:w="706" w:type="pct"/>
                  <w:vMerge w:val="continue"/>
                  <w:vAlign w:val="center"/>
                </w:tcPr>
                <w:p w14:paraId="5FB8C594">
                  <w:pPr>
                    <w:adjustRightInd w:val="0"/>
                    <w:snapToGrid w:val="0"/>
                    <w:jc w:val="center"/>
                    <w:rPr>
                      <w:color w:val="auto"/>
                      <w:kern w:val="0"/>
                      <w:szCs w:val="21"/>
                      <w:highlight w:val="none"/>
                    </w:rPr>
                  </w:pPr>
                </w:p>
              </w:tc>
              <w:tc>
                <w:tcPr>
                  <w:tcW w:w="1647" w:type="pct"/>
                  <w:vMerge w:val="continue"/>
                  <w:vAlign w:val="center"/>
                </w:tcPr>
                <w:p w14:paraId="4E80B05B">
                  <w:pPr>
                    <w:adjustRightInd w:val="0"/>
                    <w:snapToGrid w:val="0"/>
                    <w:jc w:val="center"/>
                    <w:rPr>
                      <w:color w:val="auto"/>
                      <w:kern w:val="0"/>
                      <w:szCs w:val="21"/>
                      <w:highlight w:val="none"/>
                    </w:rPr>
                  </w:pPr>
                </w:p>
              </w:tc>
              <w:tc>
                <w:tcPr>
                  <w:tcW w:w="945" w:type="pct"/>
                  <w:vAlign w:val="center"/>
                </w:tcPr>
                <w:p w14:paraId="39FA7AFC">
                  <w:pPr>
                    <w:adjustRightInd w:val="0"/>
                    <w:snapToGrid w:val="0"/>
                    <w:jc w:val="center"/>
                    <w:rPr>
                      <w:color w:val="auto"/>
                      <w:kern w:val="0"/>
                      <w:szCs w:val="21"/>
                      <w:highlight w:val="none"/>
                    </w:rPr>
                  </w:pPr>
                  <w:r>
                    <w:rPr>
                      <w:rFonts w:hint="eastAsia"/>
                      <w:color w:val="auto"/>
                      <w:kern w:val="0"/>
                      <w:szCs w:val="21"/>
                      <w:highlight w:val="none"/>
                    </w:rPr>
                    <w:t>20（无量纲）</w:t>
                  </w:r>
                </w:p>
              </w:tc>
              <w:tc>
                <w:tcPr>
                  <w:tcW w:w="869" w:type="pct"/>
                  <w:vMerge w:val="continue"/>
                  <w:vAlign w:val="center"/>
                </w:tcPr>
                <w:p w14:paraId="594CECE9">
                  <w:pPr>
                    <w:adjustRightInd w:val="0"/>
                    <w:snapToGrid w:val="0"/>
                    <w:jc w:val="center"/>
                    <w:rPr>
                      <w:color w:val="auto"/>
                      <w:kern w:val="0"/>
                      <w:szCs w:val="21"/>
                      <w:highlight w:val="none"/>
                    </w:rPr>
                  </w:pPr>
                </w:p>
              </w:tc>
            </w:tr>
            <w:tr w14:paraId="4B9913D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29" w:type="pct"/>
                  <w:vMerge w:val="restart"/>
                  <w:vAlign w:val="center"/>
                </w:tcPr>
                <w:p w14:paraId="12C1F237">
                  <w:pPr>
                    <w:adjustRightInd w:val="0"/>
                    <w:snapToGrid w:val="0"/>
                    <w:jc w:val="center"/>
                    <w:rPr>
                      <w:color w:val="auto"/>
                      <w:kern w:val="0"/>
                      <w:szCs w:val="21"/>
                      <w:highlight w:val="none"/>
                    </w:rPr>
                  </w:pPr>
                  <w:r>
                    <w:rPr>
                      <w:color w:val="auto"/>
                      <w:kern w:val="0"/>
                      <w:szCs w:val="21"/>
                      <w:highlight w:val="none"/>
                    </w:rPr>
                    <w:t>油烟</w:t>
                  </w:r>
                </w:p>
              </w:tc>
              <w:tc>
                <w:tcPr>
                  <w:tcW w:w="706" w:type="pct"/>
                  <w:vMerge w:val="restart"/>
                  <w:vAlign w:val="center"/>
                </w:tcPr>
                <w:p w14:paraId="3575E9D8">
                  <w:pPr>
                    <w:adjustRightInd w:val="0"/>
                    <w:snapToGrid w:val="0"/>
                    <w:jc w:val="center"/>
                    <w:rPr>
                      <w:color w:val="auto"/>
                      <w:kern w:val="0"/>
                      <w:szCs w:val="21"/>
                      <w:highlight w:val="none"/>
                    </w:rPr>
                  </w:pPr>
                  <w:r>
                    <w:rPr>
                      <w:rFonts w:hint="eastAsia"/>
                      <w:color w:val="auto"/>
                      <w:kern w:val="0"/>
                      <w:szCs w:val="21"/>
                      <w:highlight w:val="none"/>
                    </w:rPr>
                    <w:t>有组织</w:t>
                  </w:r>
                </w:p>
              </w:tc>
              <w:tc>
                <w:tcPr>
                  <w:tcW w:w="1647" w:type="pct"/>
                  <w:vMerge w:val="restart"/>
                  <w:vAlign w:val="center"/>
                </w:tcPr>
                <w:p w14:paraId="0798D059">
                  <w:pPr>
                    <w:adjustRightInd w:val="0"/>
                    <w:snapToGrid w:val="0"/>
                    <w:jc w:val="center"/>
                    <w:rPr>
                      <w:color w:val="auto"/>
                      <w:kern w:val="0"/>
                      <w:szCs w:val="21"/>
                      <w:highlight w:val="none"/>
                    </w:rPr>
                  </w:pPr>
                  <w:r>
                    <w:rPr>
                      <w:color w:val="auto"/>
                      <w:szCs w:val="21"/>
                      <w:highlight w:val="none"/>
                      <w:lang w:bidi="ar"/>
                    </w:rPr>
                    <w:t>《饮食业油烟排放标准》（GB18483-2001）</w:t>
                  </w:r>
                </w:p>
              </w:tc>
              <w:tc>
                <w:tcPr>
                  <w:tcW w:w="1815" w:type="pct"/>
                  <w:gridSpan w:val="2"/>
                  <w:vAlign w:val="center"/>
                </w:tcPr>
                <w:p w14:paraId="0C7DA7BF">
                  <w:pPr>
                    <w:pStyle w:val="29"/>
                    <w:widowControl w:val="0"/>
                    <w:spacing w:before="0" w:beforeAutospacing="0" w:after="0" w:afterAutospacing="0"/>
                    <w:jc w:val="center"/>
                    <w:rPr>
                      <w:rFonts w:ascii="Times New Roman" w:hAnsi="Times New Roman"/>
                      <w:color w:val="auto"/>
                      <w:szCs w:val="21"/>
                      <w:highlight w:val="none"/>
                    </w:rPr>
                  </w:pPr>
                  <w:r>
                    <w:rPr>
                      <w:rFonts w:ascii="Times New Roman" w:hAnsi="Times New Roman"/>
                      <w:color w:val="auto"/>
                      <w:kern w:val="2"/>
                      <w:sz w:val="21"/>
                      <w:szCs w:val="24"/>
                      <w:highlight w:val="none"/>
                      <w:lang w:bidi="ar"/>
                    </w:rPr>
                    <w:t>最高允许排放浓度限值</w:t>
                  </w:r>
                </w:p>
              </w:tc>
            </w:tr>
            <w:tr w14:paraId="3AADDA3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29" w:type="pct"/>
                  <w:vMerge w:val="continue"/>
                  <w:vAlign w:val="center"/>
                </w:tcPr>
                <w:p w14:paraId="4A9A1310">
                  <w:pPr>
                    <w:adjustRightInd w:val="0"/>
                    <w:snapToGrid w:val="0"/>
                    <w:jc w:val="center"/>
                    <w:rPr>
                      <w:color w:val="auto"/>
                      <w:kern w:val="0"/>
                      <w:szCs w:val="21"/>
                      <w:highlight w:val="none"/>
                    </w:rPr>
                  </w:pPr>
                </w:p>
              </w:tc>
              <w:tc>
                <w:tcPr>
                  <w:tcW w:w="706" w:type="pct"/>
                  <w:vMerge w:val="continue"/>
                  <w:vAlign w:val="center"/>
                </w:tcPr>
                <w:p w14:paraId="13DA3A5C">
                  <w:pPr>
                    <w:adjustRightInd w:val="0"/>
                    <w:snapToGrid w:val="0"/>
                    <w:jc w:val="center"/>
                    <w:rPr>
                      <w:color w:val="auto"/>
                      <w:kern w:val="0"/>
                      <w:szCs w:val="21"/>
                      <w:highlight w:val="none"/>
                    </w:rPr>
                  </w:pPr>
                </w:p>
              </w:tc>
              <w:tc>
                <w:tcPr>
                  <w:tcW w:w="1647" w:type="pct"/>
                  <w:vMerge w:val="continue"/>
                  <w:vAlign w:val="center"/>
                </w:tcPr>
                <w:p w14:paraId="35FDA454">
                  <w:pPr>
                    <w:adjustRightInd w:val="0"/>
                    <w:snapToGrid w:val="0"/>
                    <w:jc w:val="center"/>
                    <w:rPr>
                      <w:color w:val="auto"/>
                      <w:kern w:val="0"/>
                      <w:szCs w:val="21"/>
                      <w:highlight w:val="none"/>
                    </w:rPr>
                  </w:pPr>
                </w:p>
              </w:tc>
              <w:tc>
                <w:tcPr>
                  <w:tcW w:w="1815" w:type="pct"/>
                  <w:gridSpan w:val="2"/>
                  <w:vAlign w:val="center"/>
                </w:tcPr>
                <w:p w14:paraId="5E95FA3D">
                  <w:pPr>
                    <w:pStyle w:val="29"/>
                    <w:widowControl w:val="0"/>
                    <w:spacing w:before="0" w:beforeAutospacing="0" w:after="0" w:afterAutospacing="0"/>
                    <w:jc w:val="center"/>
                    <w:rPr>
                      <w:rFonts w:ascii="Times New Roman" w:hAnsi="Times New Roman"/>
                      <w:color w:val="auto"/>
                      <w:szCs w:val="21"/>
                      <w:highlight w:val="none"/>
                    </w:rPr>
                  </w:pPr>
                  <w:r>
                    <w:rPr>
                      <w:rFonts w:ascii="Times New Roman" w:hAnsi="Times New Roman"/>
                      <w:color w:val="auto"/>
                      <w:kern w:val="2"/>
                      <w:sz w:val="21"/>
                      <w:szCs w:val="21"/>
                      <w:highlight w:val="none"/>
                      <w:lang w:bidi="ar"/>
                    </w:rPr>
                    <w:t>＜2mg/m</w:t>
                  </w:r>
                  <w:r>
                    <w:rPr>
                      <w:rFonts w:ascii="Times New Roman" w:hAnsi="Times New Roman"/>
                      <w:color w:val="auto"/>
                      <w:kern w:val="2"/>
                      <w:sz w:val="21"/>
                      <w:szCs w:val="21"/>
                      <w:highlight w:val="none"/>
                      <w:vertAlign w:val="superscript"/>
                      <w:lang w:bidi="ar"/>
                    </w:rPr>
                    <w:t>3</w:t>
                  </w:r>
                </w:p>
              </w:tc>
            </w:tr>
          </w:tbl>
          <w:p w14:paraId="3A985016">
            <w:pPr>
              <w:snapToGrid w:val="0"/>
              <w:spacing w:line="360" w:lineRule="auto"/>
              <w:ind w:firstLine="480" w:firstLineChars="200"/>
              <w:rPr>
                <w:color w:val="auto"/>
                <w:sz w:val="24"/>
                <w:highlight w:val="none"/>
              </w:rPr>
            </w:pPr>
            <w:r>
              <w:rPr>
                <w:rFonts w:hint="eastAsia"/>
                <w:color w:val="auto"/>
                <w:sz w:val="24"/>
                <w:highlight w:val="none"/>
              </w:rPr>
              <w:t>3、施工期噪声执行《建筑施工场界环境噪声排放标准》（GB12523-2011）</w:t>
            </w:r>
            <w:r>
              <w:rPr>
                <w:rFonts w:hint="eastAsia"/>
                <w:color w:val="auto"/>
                <w:sz w:val="24"/>
                <w:highlight w:val="none"/>
                <w:lang w:eastAsia="zh-CN"/>
              </w:rPr>
              <w:t>表</w:t>
            </w:r>
            <w:r>
              <w:rPr>
                <w:rFonts w:hint="eastAsia"/>
                <w:color w:val="auto"/>
                <w:sz w:val="24"/>
                <w:highlight w:val="none"/>
                <w:lang w:val="en-US" w:eastAsia="zh-CN"/>
              </w:rPr>
              <w:t>1中的排放限值</w:t>
            </w:r>
            <w:r>
              <w:rPr>
                <w:rFonts w:hint="eastAsia"/>
                <w:color w:val="auto"/>
                <w:sz w:val="24"/>
                <w:highlight w:val="none"/>
              </w:rPr>
              <w:t>；运营期厂区噪声排放执行《工业企业厂界环境噪声排放标准》（G</w:t>
            </w:r>
            <w:r>
              <w:rPr>
                <w:color w:val="auto"/>
                <w:sz w:val="24"/>
                <w:highlight w:val="none"/>
              </w:rPr>
              <w:t>B12348-2008</w:t>
            </w:r>
            <w:r>
              <w:rPr>
                <w:rFonts w:hint="eastAsia"/>
                <w:color w:val="auto"/>
                <w:sz w:val="24"/>
                <w:highlight w:val="none"/>
              </w:rPr>
              <w:t>）表1中</w:t>
            </w:r>
            <w:bookmarkStart w:id="4" w:name="OLE_LINK12"/>
            <w:r>
              <w:rPr>
                <w:rFonts w:hint="eastAsia"/>
                <w:color w:val="auto"/>
                <w:sz w:val="24"/>
                <w:highlight w:val="none"/>
              </w:rPr>
              <w:t>2类功能区的排放限值</w:t>
            </w:r>
            <w:bookmarkEnd w:id="4"/>
            <w:r>
              <w:rPr>
                <w:rFonts w:hint="eastAsia"/>
                <w:color w:val="auto"/>
                <w:sz w:val="24"/>
                <w:highlight w:val="none"/>
              </w:rPr>
              <w:t>。</w:t>
            </w:r>
          </w:p>
          <w:p w14:paraId="00451E02">
            <w:pPr>
              <w:adjustRightInd w:val="0"/>
              <w:snapToGrid w:val="0"/>
              <w:jc w:val="center"/>
              <w:rPr>
                <w:b/>
                <w:color w:val="auto"/>
                <w:kern w:val="0"/>
                <w:szCs w:val="21"/>
                <w:highlight w:val="none"/>
              </w:rPr>
            </w:pPr>
            <w:r>
              <w:rPr>
                <w:b/>
                <w:bCs/>
                <w:color w:val="auto"/>
                <w:kern w:val="0"/>
                <w:szCs w:val="21"/>
                <w:highlight w:val="none"/>
              </w:rPr>
              <w:t>表3-</w:t>
            </w:r>
            <w:r>
              <w:rPr>
                <w:rFonts w:hint="eastAsia"/>
                <w:b/>
                <w:bCs/>
                <w:color w:val="auto"/>
                <w:kern w:val="0"/>
                <w:szCs w:val="21"/>
                <w:highlight w:val="none"/>
              </w:rPr>
              <w:t xml:space="preserve">6 </w:t>
            </w:r>
            <w:r>
              <w:rPr>
                <w:b/>
                <w:bCs/>
                <w:color w:val="auto"/>
                <w:kern w:val="0"/>
                <w:szCs w:val="21"/>
                <w:highlight w:val="none"/>
              </w:rPr>
              <w:t xml:space="preserve"> 噪声排放标准</w:t>
            </w:r>
            <w:r>
              <w:rPr>
                <w:rFonts w:hint="eastAsia"/>
                <w:b/>
                <w:bCs/>
                <w:color w:val="auto"/>
                <w:kern w:val="0"/>
                <w:szCs w:val="21"/>
                <w:highlight w:val="none"/>
              </w:rPr>
              <w:t xml:space="preserve">    单位：</w:t>
            </w:r>
            <w:r>
              <w:rPr>
                <w:b/>
                <w:bCs/>
                <w:color w:val="auto"/>
                <w:kern w:val="0"/>
                <w:szCs w:val="21"/>
                <w:highlight w:val="none"/>
              </w:rPr>
              <w:t>dB</w:t>
            </w:r>
            <w:r>
              <w:rPr>
                <w:rFonts w:hint="eastAsia"/>
                <w:b/>
                <w:bCs/>
                <w:color w:val="auto"/>
                <w:kern w:val="0"/>
                <w:szCs w:val="21"/>
                <w:highlight w:val="none"/>
              </w:rPr>
              <w:t>（A）</w:t>
            </w:r>
          </w:p>
          <w:tbl>
            <w:tblPr>
              <w:tblStyle w:val="35"/>
              <w:tblW w:w="8183"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441"/>
              <w:gridCol w:w="1371"/>
              <w:gridCol w:w="1371"/>
            </w:tblGrid>
            <w:tr w14:paraId="2B591EB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441" w:type="dxa"/>
                  <w:vMerge w:val="restart"/>
                  <w:tcBorders>
                    <w:tl2br w:val="nil"/>
                    <w:tr2bl w:val="nil"/>
                  </w:tcBorders>
                  <w:vAlign w:val="center"/>
                </w:tcPr>
                <w:p w14:paraId="769CE72C">
                  <w:pPr>
                    <w:adjustRightInd w:val="0"/>
                    <w:snapToGrid w:val="0"/>
                    <w:jc w:val="center"/>
                    <w:rPr>
                      <w:color w:val="auto"/>
                      <w:kern w:val="0"/>
                      <w:szCs w:val="21"/>
                      <w:highlight w:val="none"/>
                    </w:rPr>
                  </w:pPr>
                  <w:r>
                    <w:rPr>
                      <w:color w:val="auto"/>
                      <w:kern w:val="0"/>
                      <w:szCs w:val="21"/>
                      <w:highlight w:val="none"/>
                    </w:rPr>
                    <w:t>执行标准</w:t>
                  </w:r>
                </w:p>
              </w:tc>
              <w:tc>
                <w:tcPr>
                  <w:tcW w:w="2742" w:type="dxa"/>
                  <w:gridSpan w:val="2"/>
                  <w:tcBorders>
                    <w:tl2br w:val="nil"/>
                    <w:tr2bl w:val="nil"/>
                  </w:tcBorders>
                  <w:vAlign w:val="center"/>
                </w:tcPr>
                <w:p w14:paraId="7C5D88E1">
                  <w:pPr>
                    <w:adjustRightInd w:val="0"/>
                    <w:snapToGrid w:val="0"/>
                    <w:jc w:val="center"/>
                    <w:rPr>
                      <w:color w:val="auto"/>
                      <w:kern w:val="0"/>
                      <w:szCs w:val="21"/>
                      <w:highlight w:val="none"/>
                    </w:rPr>
                  </w:pPr>
                  <w:r>
                    <w:rPr>
                      <w:color w:val="auto"/>
                      <w:kern w:val="0"/>
                      <w:szCs w:val="21"/>
                      <w:highlight w:val="none"/>
                    </w:rPr>
                    <w:t>标准值</w:t>
                  </w:r>
                </w:p>
              </w:tc>
            </w:tr>
            <w:tr w14:paraId="07D033C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441" w:type="dxa"/>
                  <w:vMerge w:val="continue"/>
                  <w:tcBorders>
                    <w:tl2br w:val="nil"/>
                    <w:tr2bl w:val="nil"/>
                  </w:tcBorders>
                  <w:vAlign w:val="center"/>
                </w:tcPr>
                <w:p w14:paraId="14FD345F">
                  <w:pPr>
                    <w:adjustRightInd w:val="0"/>
                    <w:snapToGrid w:val="0"/>
                    <w:jc w:val="center"/>
                    <w:rPr>
                      <w:color w:val="auto"/>
                      <w:kern w:val="0"/>
                      <w:szCs w:val="21"/>
                      <w:highlight w:val="none"/>
                    </w:rPr>
                  </w:pPr>
                </w:p>
              </w:tc>
              <w:tc>
                <w:tcPr>
                  <w:tcW w:w="1371" w:type="dxa"/>
                  <w:tcBorders>
                    <w:tl2br w:val="nil"/>
                    <w:tr2bl w:val="nil"/>
                  </w:tcBorders>
                  <w:vAlign w:val="center"/>
                </w:tcPr>
                <w:p w14:paraId="50CECFB7">
                  <w:pPr>
                    <w:adjustRightInd w:val="0"/>
                    <w:snapToGrid w:val="0"/>
                    <w:jc w:val="center"/>
                    <w:rPr>
                      <w:color w:val="auto"/>
                      <w:kern w:val="0"/>
                      <w:szCs w:val="21"/>
                      <w:highlight w:val="none"/>
                    </w:rPr>
                  </w:pPr>
                  <w:r>
                    <w:rPr>
                      <w:color w:val="auto"/>
                      <w:kern w:val="0"/>
                      <w:szCs w:val="21"/>
                      <w:highlight w:val="none"/>
                    </w:rPr>
                    <w:t>昼间</w:t>
                  </w:r>
                </w:p>
              </w:tc>
              <w:tc>
                <w:tcPr>
                  <w:tcW w:w="1371" w:type="dxa"/>
                  <w:tcBorders>
                    <w:tl2br w:val="nil"/>
                    <w:tr2bl w:val="nil"/>
                  </w:tcBorders>
                  <w:vAlign w:val="center"/>
                </w:tcPr>
                <w:p w14:paraId="290389F5">
                  <w:pPr>
                    <w:adjustRightInd w:val="0"/>
                    <w:snapToGrid w:val="0"/>
                    <w:jc w:val="center"/>
                    <w:rPr>
                      <w:color w:val="auto"/>
                      <w:kern w:val="0"/>
                      <w:szCs w:val="21"/>
                      <w:highlight w:val="none"/>
                    </w:rPr>
                  </w:pPr>
                  <w:r>
                    <w:rPr>
                      <w:color w:val="auto"/>
                      <w:kern w:val="0"/>
                      <w:szCs w:val="21"/>
                      <w:highlight w:val="none"/>
                    </w:rPr>
                    <w:t>夜间</w:t>
                  </w:r>
                </w:p>
              </w:tc>
            </w:tr>
            <w:tr w14:paraId="7315832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441" w:type="dxa"/>
                  <w:tcBorders>
                    <w:tl2br w:val="nil"/>
                    <w:tr2bl w:val="nil"/>
                  </w:tcBorders>
                  <w:vAlign w:val="center"/>
                </w:tcPr>
                <w:p w14:paraId="595E2BFC">
                  <w:pPr>
                    <w:adjustRightInd w:val="0"/>
                    <w:snapToGrid w:val="0"/>
                    <w:jc w:val="center"/>
                    <w:rPr>
                      <w:rFonts w:hint="default" w:eastAsia="宋体"/>
                      <w:color w:val="auto"/>
                      <w:kern w:val="0"/>
                      <w:szCs w:val="21"/>
                      <w:highlight w:val="none"/>
                      <w:lang w:val="en-US" w:eastAsia="zh-CN"/>
                    </w:rPr>
                  </w:pPr>
                  <w:r>
                    <w:rPr>
                      <w:color w:val="auto"/>
                      <w:kern w:val="0"/>
                      <w:szCs w:val="21"/>
                      <w:highlight w:val="none"/>
                    </w:rPr>
                    <w:t>《</w:t>
                  </w:r>
                  <w:r>
                    <w:rPr>
                      <w:rFonts w:hint="eastAsia"/>
                      <w:color w:val="auto"/>
                      <w:kern w:val="0"/>
                      <w:szCs w:val="21"/>
                      <w:highlight w:val="none"/>
                    </w:rPr>
                    <w:t>建筑施工场界环境噪声排放标准</w:t>
                  </w:r>
                  <w:r>
                    <w:rPr>
                      <w:color w:val="auto"/>
                      <w:kern w:val="0"/>
                      <w:szCs w:val="21"/>
                      <w:highlight w:val="none"/>
                    </w:rPr>
                    <w:t>》（</w:t>
                  </w:r>
                  <w:r>
                    <w:rPr>
                      <w:color w:val="auto"/>
                      <w:szCs w:val="21"/>
                      <w:highlight w:val="none"/>
                    </w:rPr>
                    <w:t>GB12523</w:t>
                  </w:r>
                  <w:r>
                    <w:rPr>
                      <w:rFonts w:hint="eastAsia"/>
                      <w:color w:val="auto"/>
                      <w:szCs w:val="21"/>
                      <w:highlight w:val="none"/>
                    </w:rPr>
                    <w:t>-</w:t>
                  </w:r>
                  <w:r>
                    <w:rPr>
                      <w:color w:val="auto"/>
                      <w:szCs w:val="21"/>
                      <w:highlight w:val="none"/>
                    </w:rPr>
                    <w:t>2011</w:t>
                  </w:r>
                  <w:r>
                    <w:rPr>
                      <w:color w:val="auto"/>
                      <w:kern w:val="0"/>
                      <w:szCs w:val="21"/>
                      <w:highlight w:val="none"/>
                    </w:rPr>
                    <w:t>）</w:t>
                  </w:r>
                  <w:r>
                    <w:rPr>
                      <w:rFonts w:hint="eastAsia"/>
                      <w:color w:val="auto"/>
                      <w:kern w:val="0"/>
                      <w:szCs w:val="21"/>
                      <w:highlight w:val="none"/>
                      <w:lang w:eastAsia="zh-CN"/>
                    </w:rPr>
                    <w:t>表</w:t>
                  </w:r>
                  <w:r>
                    <w:rPr>
                      <w:rFonts w:hint="eastAsia"/>
                      <w:color w:val="auto"/>
                      <w:kern w:val="0"/>
                      <w:szCs w:val="21"/>
                      <w:highlight w:val="none"/>
                      <w:lang w:val="en-US" w:eastAsia="zh-CN"/>
                    </w:rPr>
                    <w:t>1中的排放限值</w:t>
                  </w:r>
                </w:p>
              </w:tc>
              <w:tc>
                <w:tcPr>
                  <w:tcW w:w="1371" w:type="dxa"/>
                  <w:tcBorders>
                    <w:tl2br w:val="nil"/>
                    <w:tr2bl w:val="nil"/>
                  </w:tcBorders>
                  <w:vAlign w:val="center"/>
                </w:tcPr>
                <w:p w14:paraId="0CCA3738">
                  <w:pPr>
                    <w:adjustRightInd w:val="0"/>
                    <w:snapToGrid w:val="0"/>
                    <w:jc w:val="center"/>
                    <w:rPr>
                      <w:color w:val="auto"/>
                      <w:kern w:val="0"/>
                      <w:szCs w:val="21"/>
                      <w:highlight w:val="none"/>
                    </w:rPr>
                  </w:pPr>
                  <w:r>
                    <w:rPr>
                      <w:rFonts w:hint="eastAsia"/>
                      <w:color w:val="auto"/>
                      <w:kern w:val="0"/>
                      <w:szCs w:val="21"/>
                      <w:highlight w:val="none"/>
                    </w:rPr>
                    <w:t>70</w:t>
                  </w:r>
                </w:p>
              </w:tc>
              <w:tc>
                <w:tcPr>
                  <w:tcW w:w="1371" w:type="dxa"/>
                  <w:tcBorders>
                    <w:tl2br w:val="nil"/>
                    <w:tr2bl w:val="nil"/>
                  </w:tcBorders>
                  <w:vAlign w:val="center"/>
                </w:tcPr>
                <w:p w14:paraId="44B51C8F">
                  <w:pPr>
                    <w:adjustRightInd w:val="0"/>
                    <w:snapToGrid w:val="0"/>
                    <w:jc w:val="center"/>
                    <w:rPr>
                      <w:color w:val="auto"/>
                      <w:kern w:val="0"/>
                      <w:szCs w:val="21"/>
                      <w:highlight w:val="none"/>
                    </w:rPr>
                  </w:pPr>
                  <w:r>
                    <w:rPr>
                      <w:rFonts w:hint="eastAsia"/>
                      <w:color w:val="auto"/>
                      <w:kern w:val="0"/>
                      <w:szCs w:val="21"/>
                      <w:highlight w:val="none"/>
                    </w:rPr>
                    <w:t>55</w:t>
                  </w:r>
                </w:p>
              </w:tc>
            </w:tr>
            <w:tr w14:paraId="41C0FD2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441" w:type="dxa"/>
                  <w:tcBorders>
                    <w:tl2br w:val="nil"/>
                    <w:tr2bl w:val="nil"/>
                  </w:tcBorders>
                  <w:vAlign w:val="center"/>
                </w:tcPr>
                <w:p w14:paraId="1B55238C">
                  <w:pPr>
                    <w:adjustRightInd w:val="0"/>
                    <w:snapToGrid w:val="0"/>
                    <w:jc w:val="center"/>
                    <w:rPr>
                      <w:rFonts w:hint="eastAsia" w:eastAsia="宋体"/>
                      <w:color w:val="auto"/>
                      <w:kern w:val="0"/>
                      <w:szCs w:val="21"/>
                      <w:highlight w:val="none"/>
                      <w:lang w:val="en-US" w:eastAsia="zh-CN"/>
                    </w:rPr>
                  </w:pPr>
                  <w:r>
                    <w:rPr>
                      <w:color w:val="auto"/>
                      <w:kern w:val="0"/>
                      <w:szCs w:val="21"/>
                      <w:highlight w:val="none"/>
                    </w:rPr>
                    <w:t>《工业企业厂界环境噪声排放标准》（GB12348-2008）</w:t>
                  </w:r>
                  <w:r>
                    <w:rPr>
                      <w:rFonts w:hint="eastAsia"/>
                      <w:color w:val="auto"/>
                      <w:kern w:val="0"/>
                      <w:szCs w:val="21"/>
                      <w:highlight w:val="none"/>
                    </w:rPr>
                    <w:t>表1中</w:t>
                  </w:r>
                  <w:r>
                    <w:rPr>
                      <w:rStyle w:val="41"/>
                      <w:rFonts w:hint="eastAsia"/>
                      <w:color w:val="auto"/>
                      <w:kern w:val="0"/>
                      <w:szCs w:val="20"/>
                      <w:highlight w:val="none"/>
                      <w:lang w:val="en-US" w:eastAsia="zh-CN"/>
                    </w:rPr>
                    <w:t>2类功能区排放限值</w:t>
                  </w:r>
                </w:p>
              </w:tc>
              <w:tc>
                <w:tcPr>
                  <w:tcW w:w="1371" w:type="dxa"/>
                  <w:tcBorders>
                    <w:tl2br w:val="nil"/>
                    <w:tr2bl w:val="nil"/>
                  </w:tcBorders>
                  <w:vAlign w:val="center"/>
                </w:tcPr>
                <w:p w14:paraId="2C416423">
                  <w:pPr>
                    <w:adjustRightInd w:val="0"/>
                    <w:snapToGrid w:val="0"/>
                    <w:jc w:val="center"/>
                    <w:rPr>
                      <w:color w:val="auto"/>
                      <w:kern w:val="0"/>
                      <w:szCs w:val="21"/>
                      <w:highlight w:val="none"/>
                    </w:rPr>
                  </w:pPr>
                  <w:r>
                    <w:rPr>
                      <w:rFonts w:hint="eastAsia"/>
                      <w:color w:val="auto"/>
                      <w:kern w:val="0"/>
                      <w:szCs w:val="21"/>
                      <w:highlight w:val="none"/>
                    </w:rPr>
                    <w:t>60</w:t>
                  </w:r>
                </w:p>
              </w:tc>
              <w:tc>
                <w:tcPr>
                  <w:tcW w:w="1371" w:type="dxa"/>
                  <w:tcBorders>
                    <w:tl2br w:val="nil"/>
                    <w:tr2bl w:val="nil"/>
                  </w:tcBorders>
                  <w:vAlign w:val="center"/>
                </w:tcPr>
                <w:p w14:paraId="63AB67FB">
                  <w:pPr>
                    <w:adjustRightInd w:val="0"/>
                    <w:snapToGrid w:val="0"/>
                    <w:jc w:val="center"/>
                    <w:rPr>
                      <w:color w:val="auto"/>
                      <w:kern w:val="0"/>
                      <w:szCs w:val="21"/>
                      <w:highlight w:val="none"/>
                    </w:rPr>
                  </w:pPr>
                  <w:r>
                    <w:rPr>
                      <w:rFonts w:hint="eastAsia"/>
                      <w:color w:val="auto"/>
                      <w:kern w:val="0"/>
                      <w:szCs w:val="21"/>
                      <w:highlight w:val="none"/>
                    </w:rPr>
                    <w:t>50</w:t>
                  </w:r>
                </w:p>
              </w:tc>
            </w:tr>
          </w:tbl>
          <w:p w14:paraId="23BC630A">
            <w:pPr>
              <w:spacing w:line="360" w:lineRule="auto"/>
              <w:ind w:firstLine="480" w:firstLineChars="200"/>
              <w:jc w:val="left"/>
              <w:rPr>
                <w:rFonts w:ascii="宋体" w:hAnsi="宋体" w:cs="宋体"/>
                <w:color w:val="auto"/>
                <w:kern w:val="0"/>
                <w:szCs w:val="21"/>
                <w:highlight w:val="none"/>
              </w:rPr>
            </w:pPr>
            <w:r>
              <w:rPr>
                <w:rFonts w:hint="eastAsia"/>
                <w:color w:val="auto"/>
                <w:sz w:val="24"/>
                <w:highlight w:val="none"/>
              </w:rPr>
              <w:t>4、厂区运营期</w:t>
            </w:r>
            <w:r>
              <w:rPr>
                <w:color w:val="auto"/>
                <w:kern w:val="0"/>
                <w:sz w:val="24"/>
                <w:highlight w:val="none"/>
              </w:rPr>
              <w:t>一般工业固体废物的贮存、处置执行《一般工业固体废物贮存和填埋污染控制标准》（GB18599-2020）中的相关规定</w:t>
            </w:r>
            <w:r>
              <w:rPr>
                <w:rFonts w:hint="eastAsia"/>
                <w:color w:val="auto"/>
                <w:sz w:val="24"/>
                <w:highlight w:val="none"/>
              </w:rPr>
              <w:t>。</w:t>
            </w:r>
          </w:p>
        </w:tc>
      </w:tr>
      <w:tr w14:paraId="4468C1E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985" w:hRule="atLeast"/>
          <w:jc w:val="center"/>
        </w:trPr>
        <w:tc>
          <w:tcPr>
            <w:tcW w:w="678" w:type="dxa"/>
            <w:vAlign w:val="center"/>
          </w:tcPr>
          <w:p w14:paraId="0C61BF1F">
            <w:pPr>
              <w:adjustRightInd w:val="0"/>
              <w:snapToGrid w:val="0"/>
              <w:jc w:val="center"/>
              <w:rPr>
                <w:rFonts w:ascii="宋体" w:hAnsi="宋体" w:cs="宋体"/>
                <w:color w:val="auto"/>
                <w:kern w:val="0"/>
                <w:sz w:val="24"/>
                <w:highlight w:val="none"/>
              </w:rPr>
            </w:pPr>
            <w:r>
              <w:rPr>
                <w:rFonts w:hint="eastAsia" w:ascii="宋体" w:hAnsi="宋体" w:cs="宋体"/>
                <w:color w:val="auto"/>
                <w:kern w:val="0"/>
                <w:sz w:val="24"/>
                <w:highlight w:val="none"/>
              </w:rPr>
              <w:t>总</w:t>
            </w:r>
          </w:p>
          <w:p w14:paraId="1CEDCB2D">
            <w:pPr>
              <w:adjustRightInd w:val="0"/>
              <w:snapToGrid w:val="0"/>
              <w:jc w:val="center"/>
              <w:rPr>
                <w:rFonts w:ascii="宋体" w:hAnsi="宋体" w:cs="宋体"/>
                <w:color w:val="auto"/>
                <w:kern w:val="0"/>
                <w:sz w:val="24"/>
                <w:highlight w:val="none"/>
              </w:rPr>
            </w:pPr>
            <w:r>
              <w:rPr>
                <w:rFonts w:hint="eastAsia" w:ascii="宋体" w:hAnsi="宋体" w:cs="宋体"/>
                <w:color w:val="auto"/>
                <w:kern w:val="0"/>
                <w:sz w:val="24"/>
                <w:highlight w:val="none"/>
              </w:rPr>
              <w:t>量</w:t>
            </w:r>
          </w:p>
          <w:p w14:paraId="699838B0">
            <w:pPr>
              <w:adjustRightInd w:val="0"/>
              <w:snapToGrid w:val="0"/>
              <w:jc w:val="center"/>
              <w:rPr>
                <w:rFonts w:ascii="宋体" w:hAnsi="宋体" w:cs="宋体"/>
                <w:color w:val="auto"/>
                <w:kern w:val="0"/>
                <w:sz w:val="24"/>
                <w:highlight w:val="none"/>
              </w:rPr>
            </w:pPr>
            <w:r>
              <w:rPr>
                <w:rFonts w:hint="eastAsia" w:ascii="宋体" w:hAnsi="宋体" w:cs="宋体"/>
                <w:color w:val="auto"/>
                <w:kern w:val="0"/>
                <w:sz w:val="24"/>
                <w:highlight w:val="none"/>
              </w:rPr>
              <w:t>控</w:t>
            </w:r>
          </w:p>
          <w:p w14:paraId="0FC3B2C0">
            <w:pPr>
              <w:adjustRightInd w:val="0"/>
              <w:snapToGrid w:val="0"/>
              <w:jc w:val="center"/>
              <w:rPr>
                <w:rFonts w:ascii="宋体" w:hAnsi="宋体" w:cs="宋体"/>
                <w:color w:val="auto"/>
                <w:kern w:val="0"/>
                <w:sz w:val="24"/>
                <w:highlight w:val="none"/>
              </w:rPr>
            </w:pPr>
            <w:r>
              <w:rPr>
                <w:rFonts w:hint="eastAsia" w:ascii="宋体" w:hAnsi="宋体" w:cs="宋体"/>
                <w:color w:val="auto"/>
                <w:kern w:val="0"/>
                <w:sz w:val="24"/>
                <w:highlight w:val="none"/>
              </w:rPr>
              <w:t>制</w:t>
            </w:r>
          </w:p>
          <w:p w14:paraId="61AD180F">
            <w:pPr>
              <w:adjustRightInd w:val="0"/>
              <w:snapToGrid w:val="0"/>
              <w:jc w:val="center"/>
              <w:rPr>
                <w:rFonts w:ascii="宋体" w:hAnsi="宋体" w:cs="宋体"/>
                <w:color w:val="auto"/>
                <w:kern w:val="0"/>
                <w:szCs w:val="21"/>
                <w:highlight w:val="none"/>
              </w:rPr>
            </w:pPr>
            <w:r>
              <w:rPr>
                <w:rFonts w:hint="eastAsia" w:ascii="宋体" w:hAnsi="宋体" w:cs="宋体"/>
                <w:color w:val="auto"/>
                <w:kern w:val="0"/>
                <w:sz w:val="24"/>
                <w:highlight w:val="none"/>
              </w:rPr>
              <w:t>指标</w:t>
            </w:r>
          </w:p>
        </w:tc>
        <w:tc>
          <w:tcPr>
            <w:tcW w:w="8312" w:type="dxa"/>
            <w:vAlign w:val="center"/>
          </w:tcPr>
          <w:p w14:paraId="4880ED03">
            <w:pPr>
              <w:pStyle w:val="46"/>
              <w:rPr>
                <w:rFonts w:hAnsi="宋体"/>
                <w:color w:val="auto"/>
                <w:szCs w:val="21"/>
                <w:highlight w:val="none"/>
              </w:rPr>
            </w:pPr>
          </w:p>
          <w:p w14:paraId="151165B5">
            <w:pPr>
              <w:pStyle w:val="46"/>
              <w:rPr>
                <w:rFonts w:hAnsi="宋体"/>
                <w:color w:val="auto"/>
                <w:szCs w:val="21"/>
                <w:highlight w:val="none"/>
              </w:rPr>
            </w:pPr>
          </w:p>
          <w:p w14:paraId="57778D85">
            <w:pPr>
              <w:pStyle w:val="46"/>
              <w:jc w:val="center"/>
              <w:rPr>
                <w:rFonts w:hAnsi="宋体"/>
                <w:color w:val="auto"/>
                <w:szCs w:val="21"/>
                <w:highlight w:val="none"/>
              </w:rPr>
            </w:pPr>
            <w:r>
              <w:rPr>
                <w:rFonts w:hint="eastAsia" w:hAnsi="宋体"/>
                <w:color w:val="auto"/>
                <w:szCs w:val="21"/>
                <w:highlight w:val="none"/>
              </w:rPr>
              <w:t>无</w:t>
            </w:r>
          </w:p>
          <w:p w14:paraId="207D0D12">
            <w:pPr>
              <w:pStyle w:val="46"/>
              <w:rPr>
                <w:rFonts w:hAnsi="宋体"/>
                <w:color w:val="auto"/>
                <w:szCs w:val="21"/>
                <w:highlight w:val="none"/>
              </w:rPr>
            </w:pPr>
          </w:p>
          <w:p w14:paraId="786B38A3">
            <w:pPr>
              <w:pStyle w:val="46"/>
              <w:rPr>
                <w:rFonts w:hAnsi="宋体"/>
                <w:color w:val="auto"/>
                <w:szCs w:val="21"/>
                <w:highlight w:val="none"/>
              </w:rPr>
            </w:pPr>
          </w:p>
        </w:tc>
      </w:tr>
    </w:tbl>
    <w:p w14:paraId="01E351A0">
      <w:pPr>
        <w:pStyle w:val="29"/>
        <w:spacing w:before="0" w:beforeAutospacing="0" w:after="0" w:afterAutospacing="0"/>
        <w:jc w:val="center"/>
        <w:outlineLvl w:val="0"/>
        <w:rPr>
          <w:rFonts w:ascii="黑体" w:hAnsi="黑体" w:eastAsia="黑体"/>
          <w:snapToGrid w:val="0"/>
          <w:color w:val="auto"/>
          <w:sz w:val="30"/>
          <w:szCs w:val="30"/>
          <w:highlight w:val="none"/>
        </w:rPr>
      </w:pPr>
      <w:r>
        <w:rPr>
          <w:rFonts w:ascii="黑体" w:hAnsi="黑体" w:eastAsia="黑体"/>
          <w:snapToGrid w:val="0"/>
          <w:color w:val="auto"/>
          <w:sz w:val="36"/>
          <w:szCs w:val="36"/>
          <w:highlight w:val="none"/>
        </w:rPr>
        <w:br w:type="page"/>
      </w:r>
      <w:r>
        <w:rPr>
          <w:rFonts w:hint="eastAsia" w:ascii="黑体" w:hAnsi="黑体" w:eastAsia="黑体"/>
          <w:snapToGrid w:val="0"/>
          <w:color w:val="auto"/>
          <w:sz w:val="30"/>
          <w:szCs w:val="30"/>
          <w:highlight w:val="none"/>
        </w:rPr>
        <w:t>四、主要环境影响和保护措施</w:t>
      </w:r>
    </w:p>
    <w:tbl>
      <w:tblPr>
        <w:tblStyle w:val="35"/>
        <w:tblW w:w="898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360"/>
        <w:gridCol w:w="8620"/>
      </w:tblGrid>
      <w:tr w14:paraId="556D439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72" w:hRule="atLeast"/>
          <w:jc w:val="center"/>
        </w:trPr>
        <w:tc>
          <w:tcPr>
            <w:tcW w:w="360" w:type="dxa"/>
            <w:tcMar>
              <w:left w:w="28" w:type="dxa"/>
              <w:right w:w="28" w:type="dxa"/>
            </w:tcMar>
            <w:vAlign w:val="center"/>
          </w:tcPr>
          <w:p w14:paraId="08BF1C07">
            <w:pPr>
              <w:adjustRightInd w:val="0"/>
              <w:snapToGrid w:val="0"/>
              <w:jc w:val="center"/>
              <w:rPr>
                <w:rFonts w:ascii="宋体" w:hAnsi="宋体" w:cs="宋体"/>
                <w:bCs/>
                <w:color w:val="auto"/>
                <w:szCs w:val="21"/>
                <w:highlight w:val="none"/>
              </w:rPr>
            </w:pPr>
            <w:r>
              <w:rPr>
                <w:rFonts w:hint="eastAsia" w:ascii="宋体" w:hAnsi="宋体" w:cs="宋体"/>
                <w:bCs/>
                <w:color w:val="auto"/>
                <w:sz w:val="24"/>
                <w:highlight w:val="none"/>
              </w:rPr>
              <w:t>施工期环境保护措施</w:t>
            </w:r>
          </w:p>
        </w:tc>
        <w:tc>
          <w:tcPr>
            <w:tcW w:w="8620" w:type="dxa"/>
            <w:vAlign w:val="center"/>
          </w:tcPr>
          <w:p w14:paraId="26A2F52A">
            <w:pPr>
              <w:pStyle w:val="46"/>
              <w:snapToGrid w:val="0"/>
              <w:spacing w:line="360" w:lineRule="auto"/>
              <w:ind w:firstLine="480"/>
              <w:rPr>
                <w:rFonts w:ascii="Times New Roman" w:cs="Times New Roman"/>
                <w:color w:val="auto"/>
                <w:highlight w:val="none"/>
              </w:rPr>
            </w:pPr>
            <w:r>
              <w:rPr>
                <w:rFonts w:hint="eastAsia" w:ascii="Times New Roman" w:cs="Times New Roman"/>
                <w:color w:val="auto"/>
                <w:highlight w:val="none"/>
              </w:rPr>
              <w:t>一</w:t>
            </w:r>
            <w:r>
              <w:rPr>
                <w:rFonts w:ascii="Times New Roman" w:cs="Times New Roman"/>
                <w:color w:val="auto"/>
                <w:highlight w:val="none"/>
              </w:rPr>
              <w:t>、大气环境</w:t>
            </w:r>
          </w:p>
          <w:p w14:paraId="54A414B4">
            <w:pPr>
              <w:pStyle w:val="46"/>
              <w:snapToGrid w:val="0"/>
              <w:spacing w:line="360" w:lineRule="auto"/>
              <w:ind w:firstLine="480"/>
              <w:rPr>
                <w:rFonts w:ascii="Times New Roman" w:cs="Times New Roman"/>
                <w:color w:val="auto"/>
                <w:highlight w:val="none"/>
              </w:rPr>
            </w:pPr>
            <w:r>
              <w:rPr>
                <w:rFonts w:hint="eastAsia"/>
                <w:color w:val="auto"/>
                <w:highlight w:val="none"/>
                <w:lang w:eastAsia="zh-CN"/>
              </w:rPr>
              <w:t>本项目剩余工程</w:t>
            </w:r>
            <w:r>
              <w:rPr>
                <w:rFonts w:ascii="Times New Roman" w:cs="Times New Roman"/>
                <w:color w:val="auto"/>
                <w:highlight w:val="none"/>
              </w:rPr>
              <w:t>施工期废气主要为扬尘、焊接</w:t>
            </w:r>
            <w:r>
              <w:rPr>
                <w:rFonts w:hint="eastAsia" w:ascii="Times New Roman" w:cs="Times New Roman"/>
                <w:color w:val="auto"/>
                <w:highlight w:val="none"/>
              </w:rPr>
              <w:t>废气</w:t>
            </w:r>
            <w:r>
              <w:rPr>
                <w:rFonts w:ascii="Times New Roman" w:cs="Times New Roman"/>
                <w:color w:val="auto"/>
                <w:highlight w:val="none"/>
              </w:rPr>
              <w:t>、运输车辆尾气等。</w:t>
            </w:r>
          </w:p>
          <w:p w14:paraId="35BB20C9">
            <w:pPr>
              <w:pStyle w:val="46"/>
              <w:snapToGrid w:val="0"/>
              <w:spacing w:line="360" w:lineRule="auto"/>
              <w:ind w:firstLine="480"/>
              <w:rPr>
                <w:rFonts w:ascii="Times New Roman" w:cs="Times New Roman"/>
                <w:color w:val="auto"/>
                <w:highlight w:val="none"/>
              </w:rPr>
            </w:pPr>
            <w:r>
              <w:rPr>
                <w:rFonts w:ascii="Times New Roman" w:cs="Times New Roman"/>
                <w:color w:val="auto"/>
                <w:highlight w:val="none"/>
              </w:rPr>
              <w:t>施工期废气防治措施：</w:t>
            </w:r>
          </w:p>
          <w:p w14:paraId="66E583A7">
            <w:pPr>
              <w:pStyle w:val="46"/>
              <w:snapToGrid w:val="0"/>
              <w:spacing w:line="360" w:lineRule="auto"/>
              <w:ind w:firstLine="480"/>
              <w:rPr>
                <w:rFonts w:ascii="Times New Roman" w:cs="Times New Roman"/>
                <w:color w:val="auto"/>
                <w:highlight w:val="none"/>
              </w:rPr>
            </w:pPr>
            <w:r>
              <w:rPr>
                <w:rFonts w:hint="eastAsia" w:ascii="Times New Roman" w:cs="Times New Roman"/>
                <w:color w:val="auto"/>
                <w:highlight w:val="none"/>
              </w:rPr>
              <w:t>（1）</w:t>
            </w:r>
            <w:r>
              <w:rPr>
                <w:rFonts w:ascii="Times New Roman" w:cs="Times New Roman"/>
                <w:color w:val="auto"/>
                <w:highlight w:val="none"/>
              </w:rPr>
              <w:t>扬尘</w:t>
            </w:r>
          </w:p>
          <w:p w14:paraId="0DF88632">
            <w:pPr>
              <w:adjustRightInd w:val="0"/>
              <w:snapToGrid w:val="0"/>
              <w:spacing w:line="360" w:lineRule="auto"/>
              <w:ind w:firstLine="480" w:firstLineChars="200"/>
              <w:rPr>
                <w:color w:val="auto"/>
                <w:highlight w:val="none"/>
              </w:rPr>
            </w:pPr>
            <w:r>
              <w:rPr>
                <w:color w:val="auto"/>
                <w:sz w:val="24"/>
                <w:highlight w:val="none"/>
              </w:rPr>
              <w:t>为进一步减轻施工扬尘对周边环境空气及</w:t>
            </w:r>
            <w:r>
              <w:rPr>
                <w:rFonts w:hint="eastAsia"/>
                <w:color w:val="auto"/>
                <w:sz w:val="24"/>
                <w:highlight w:val="none"/>
              </w:rPr>
              <w:t>周边</w:t>
            </w:r>
            <w:r>
              <w:rPr>
                <w:color w:val="auto"/>
                <w:sz w:val="24"/>
                <w:highlight w:val="none"/>
              </w:rPr>
              <w:t>敏感点的影响，评价要求项目施工期间应严格执行</w:t>
            </w:r>
            <w:r>
              <w:rPr>
                <w:rFonts w:hint="eastAsia"/>
                <w:color w:val="auto"/>
                <w:kern w:val="0"/>
                <w:sz w:val="24"/>
                <w:highlight w:val="none"/>
              </w:rPr>
              <w:t>《汉中市大气污染防治条例》（2020.6.11）、《汉中市大气污染治理专项行动方案（2023-2027年）》（汉发〔2023〕7号）、《洋县大气污染治理专项行动方案（2023-2027年）》（洋发〔2023〕6号）</w:t>
            </w:r>
            <w:r>
              <w:rPr>
                <w:color w:val="auto"/>
                <w:sz w:val="24"/>
                <w:highlight w:val="none"/>
              </w:rPr>
              <w:t>中</w:t>
            </w:r>
            <w:r>
              <w:rPr>
                <w:rFonts w:hint="eastAsia"/>
                <w:color w:val="auto"/>
                <w:sz w:val="24"/>
                <w:highlight w:val="none"/>
              </w:rPr>
              <w:t>相关</w:t>
            </w:r>
            <w:r>
              <w:rPr>
                <w:color w:val="auto"/>
                <w:sz w:val="24"/>
                <w:highlight w:val="none"/>
              </w:rPr>
              <w:t>要求，减少施工扬尘对周围环境的影响。</w:t>
            </w:r>
          </w:p>
          <w:p w14:paraId="1240EE8E">
            <w:pPr>
              <w:pStyle w:val="46"/>
              <w:snapToGrid w:val="0"/>
              <w:spacing w:line="360" w:lineRule="auto"/>
              <w:ind w:firstLine="480"/>
              <w:rPr>
                <w:rFonts w:ascii="Times New Roman" w:cs="Times New Roman"/>
                <w:color w:val="auto"/>
                <w:highlight w:val="none"/>
              </w:rPr>
            </w:pPr>
            <w:r>
              <w:rPr>
                <w:rFonts w:hint="eastAsia" w:hAnsi="宋体"/>
                <w:color w:val="auto"/>
                <w:highlight w:val="none"/>
              </w:rPr>
              <w:t>①</w:t>
            </w:r>
            <w:r>
              <w:rPr>
                <w:rFonts w:ascii="Times New Roman" w:cs="Times New Roman"/>
                <w:color w:val="auto"/>
                <w:highlight w:val="none"/>
              </w:rPr>
              <w:t>要求施工单位文明施工，加强场地内的建材管理，及时清运场地内废弃土，合理安排进出工地车流量，减少扬尘。</w:t>
            </w:r>
          </w:p>
          <w:p w14:paraId="600C6E83">
            <w:pPr>
              <w:pStyle w:val="46"/>
              <w:snapToGrid w:val="0"/>
              <w:spacing w:line="360" w:lineRule="auto"/>
              <w:ind w:firstLine="480"/>
              <w:rPr>
                <w:rFonts w:ascii="Times New Roman" w:cs="Times New Roman"/>
                <w:color w:val="auto"/>
                <w:highlight w:val="none"/>
              </w:rPr>
            </w:pPr>
            <w:r>
              <w:rPr>
                <w:rFonts w:ascii="Times New Roman" w:cs="Times New Roman"/>
                <w:color w:val="auto"/>
                <w:highlight w:val="none"/>
              </w:rPr>
              <w:t>②施工场地、施工道路的扬尘可采取洒水和清扫措施</w:t>
            </w:r>
            <w:r>
              <w:rPr>
                <w:rFonts w:hint="eastAsia" w:ascii="Times New Roman" w:cs="Times New Roman"/>
                <w:color w:val="auto"/>
                <w:highlight w:val="none"/>
              </w:rPr>
              <w:t>。</w:t>
            </w:r>
          </w:p>
          <w:p w14:paraId="57F888E1">
            <w:pPr>
              <w:pStyle w:val="46"/>
              <w:snapToGrid w:val="0"/>
              <w:spacing w:line="360" w:lineRule="auto"/>
              <w:ind w:firstLine="480"/>
              <w:rPr>
                <w:rFonts w:ascii="Times New Roman" w:cs="Times New Roman"/>
                <w:color w:val="auto"/>
                <w:highlight w:val="none"/>
              </w:rPr>
            </w:pPr>
            <w:r>
              <w:rPr>
                <w:rFonts w:ascii="Times New Roman" w:cs="Times New Roman"/>
                <w:color w:val="auto"/>
                <w:highlight w:val="none"/>
              </w:rPr>
              <w:t>③散状建筑材料和建筑垃圾运输时要较好地加盖篷布，严禁敞开式运输；为防止物料散落路面引起二次扬尘，车辆严禁超载。</w:t>
            </w:r>
            <w:r>
              <w:rPr>
                <w:rFonts w:hint="eastAsia" w:ascii="Times New Roman" w:cs="Times New Roman"/>
                <w:color w:val="auto"/>
                <w:highlight w:val="none"/>
              </w:rPr>
              <w:t>水泥</w:t>
            </w:r>
            <w:r>
              <w:rPr>
                <w:rFonts w:ascii="Times New Roman" w:cs="Times New Roman"/>
                <w:color w:val="auto"/>
                <w:highlight w:val="none"/>
              </w:rPr>
              <w:t>、沙子等不得露天堆放，并对其进行洒水，提高表面含水率，起到抑尘的效果。</w:t>
            </w:r>
          </w:p>
          <w:p w14:paraId="74A81227">
            <w:pPr>
              <w:pStyle w:val="46"/>
              <w:snapToGrid w:val="0"/>
              <w:spacing w:line="360" w:lineRule="auto"/>
              <w:ind w:firstLine="480"/>
              <w:rPr>
                <w:rFonts w:ascii="Times New Roman" w:cs="Times New Roman"/>
                <w:color w:val="auto"/>
                <w:highlight w:val="none"/>
              </w:rPr>
            </w:pPr>
            <w:r>
              <w:rPr>
                <w:rFonts w:ascii="Times New Roman" w:cs="Times New Roman"/>
                <w:color w:val="auto"/>
                <w:highlight w:val="none"/>
              </w:rPr>
              <w:t>④避免在大风天气进行大面积基础开挖等易产生扬尘的作业；施工过程应及时清理堆放在场地上的弃土、弃渣和道路上的抛撒料、渣，适时洒水灭尘；不能及时清运的必须采取覆盖等措施，防止二次扬尘。</w:t>
            </w:r>
          </w:p>
          <w:p w14:paraId="6ECD4A04">
            <w:pPr>
              <w:pStyle w:val="46"/>
              <w:snapToGrid w:val="0"/>
              <w:spacing w:line="360" w:lineRule="auto"/>
              <w:ind w:firstLine="480"/>
              <w:rPr>
                <w:rFonts w:ascii="Times New Roman" w:cs="Times New Roman"/>
                <w:color w:val="auto"/>
                <w:highlight w:val="none"/>
              </w:rPr>
            </w:pPr>
            <w:r>
              <w:rPr>
                <w:rFonts w:ascii="Times New Roman" w:cs="Times New Roman"/>
                <w:color w:val="auto"/>
                <w:highlight w:val="none"/>
              </w:rPr>
              <w:t>⑤对于易产生扬尘及废气的作业设备，要在场内相对固定，</w:t>
            </w:r>
            <w:r>
              <w:rPr>
                <w:rFonts w:hint="eastAsia" w:ascii="Times New Roman" w:cs="Times New Roman"/>
                <w:color w:val="auto"/>
                <w:highlight w:val="none"/>
              </w:rPr>
              <w:t>并进行四周围挡</w:t>
            </w:r>
            <w:r>
              <w:rPr>
                <w:rFonts w:ascii="Times New Roman" w:cs="Times New Roman"/>
                <w:color w:val="auto"/>
                <w:highlight w:val="none"/>
              </w:rPr>
              <w:t>。</w:t>
            </w:r>
          </w:p>
          <w:p w14:paraId="549D725D">
            <w:pPr>
              <w:pStyle w:val="46"/>
              <w:snapToGrid w:val="0"/>
              <w:spacing w:line="360" w:lineRule="auto"/>
              <w:ind w:firstLine="480"/>
              <w:rPr>
                <w:rFonts w:ascii="Times New Roman" w:cs="Times New Roman"/>
                <w:color w:val="auto"/>
                <w:highlight w:val="none"/>
              </w:rPr>
            </w:pPr>
            <w:r>
              <w:rPr>
                <w:rFonts w:hint="eastAsia" w:hAnsi="宋体"/>
                <w:color w:val="auto"/>
                <w:highlight w:val="none"/>
              </w:rPr>
              <w:t>⑥</w:t>
            </w:r>
            <w:r>
              <w:rPr>
                <w:rFonts w:ascii="Times New Roman" w:cs="Times New Roman"/>
                <w:color w:val="auto"/>
                <w:highlight w:val="none"/>
                <w:lang w:bidi="ar"/>
              </w:rPr>
              <w:t>禁止现场搅拌混凝土、砂浆作业，必须使用商品混凝土</w:t>
            </w:r>
            <w:r>
              <w:rPr>
                <w:rFonts w:hint="eastAsia" w:ascii="Times New Roman" w:cs="Times New Roman"/>
                <w:color w:val="auto"/>
                <w:highlight w:val="none"/>
                <w:lang w:bidi="ar"/>
              </w:rPr>
              <w:t>。</w:t>
            </w:r>
          </w:p>
          <w:p w14:paraId="37393DD1">
            <w:pPr>
              <w:pStyle w:val="46"/>
              <w:snapToGrid w:val="0"/>
              <w:spacing w:line="360" w:lineRule="auto"/>
              <w:ind w:firstLine="480"/>
              <w:rPr>
                <w:rFonts w:ascii="Times New Roman" w:cs="Times New Roman"/>
                <w:color w:val="auto"/>
                <w:highlight w:val="none"/>
              </w:rPr>
            </w:pPr>
            <w:r>
              <w:rPr>
                <w:rFonts w:hint="eastAsia" w:ascii="Times New Roman" w:cs="Times New Roman"/>
                <w:color w:val="auto"/>
                <w:highlight w:val="none"/>
              </w:rPr>
              <w:t>（2）</w:t>
            </w:r>
            <w:r>
              <w:rPr>
                <w:rFonts w:ascii="Times New Roman" w:cs="Times New Roman"/>
                <w:color w:val="auto"/>
                <w:highlight w:val="none"/>
              </w:rPr>
              <w:t>焊接</w:t>
            </w:r>
            <w:r>
              <w:rPr>
                <w:rFonts w:hint="eastAsia" w:ascii="Times New Roman" w:cs="Times New Roman"/>
                <w:color w:val="auto"/>
                <w:highlight w:val="none"/>
              </w:rPr>
              <w:t>废气</w:t>
            </w:r>
          </w:p>
          <w:p w14:paraId="2A054136">
            <w:pPr>
              <w:pStyle w:val="46"/>
              <w:snapToGrid w:val="0"/>
              <w:spacing w:line="360" w:lineRule="auto"/>
              <w:ind w:firstLine="480"/>
              <w:rPr>
                <w:rFonts w:ascii="Times New Roman" w:cs="Times New Roman"/>
                <w:color w:val="auto"/>
                <w:highlight w:val="none"/>
              </w:rPr>
            </w:pPr>
            <w:r>
              <w:rPr>
                <w:rFonts w:ascii="Times New Roman" w:cs="Times New Roman"/>
                <w:color w:val="auto"/>
                <w:highlight w:val="none"/>
              </w:rPr>
              <w:t>在</w:t>
            </w:r>
            <w:r>
              <w:rPr>
                <w:rFonts w:hint="eastAsia" w:ascii="Times New Roman" w:cs="Times New Roman"/>
                <w:color w:val="auto"/>
                <w:highlight w:val="none"/>
              </w:rPr>
              <w:t>厂房和包装区四周封闭</w:t>
            </w:r>
            <w:r>
              <w:rPr>
                <w:rFonts w:ascii="Times New Roman" w:cs="Times New Roman"/>
                <w:color w:val="auto"/>
                <w:highlight w:val="none"/>
              </w:rPr>
              <w:t>过程中会产生少量焊接烟尘，由于焊接过程为间歇性、焊接烟尘产生量较小，项目区域周边较空旷，自然流通后对外环境影响较小。</w:t>
            </w:r>
          </w:p>
          <w:p w14:paraId="26A376A2">
            <w:pPr>
              <w:pStyle w:val="46"/>
              <w:snapToGrid w:val="0"/>
              <w:spacing w:line="360" w:lineRule="auto"/>
              <w:ind w:firstLine="480"/>
              <w:rPr>
                <w:rFonts w:ascii="Times New Roman" w:cs="Times New Roman"/>
                <w:color w:val="auto"/>
                <w:highlight w:val="none"/>
              </w:rPr>
            </w:pPr>
            <w:r>
              <w:rPr>
                <w:rFonts w:hint="eastAsia" w:ascii="Times New Roman" w:cs="Times New Roman"/>
                <w:color w:val="auto"/>
                <w:highlight w:val="none"/>
              </w:rPr>
              <w:t>（3）</w:t>
            </w:r>
            <w:r>
              <w:rPr>
                <w:rFonts w:ascii="Times New Roman" w:cs="Times New Roman"/>
                <w:color w:val="auto"/>
                <w:highlight w:val="none"/>
              </w:rPr>
              <w:t>车辆尾气</w:t>
            </w:r>
          </w:p>
          <w:p w14:paraId="680AD94D">
            <w:pPr>
              <w:pStyle w:val="46"/>
              <w:snapToGrid w:val="0"/>
              <w:spacing w:line="360" w:lineRule="auto"/>
              <w:ind w:firstLine="480"/>
              <w:rPr>
                <w:rFonts w:ascii="Times New Roman" w:cs="Times New Roman"/>
                <w:color w:val="auto"/>
                <w:highlight w:val="none"/>
              </w:rPr>
            </w:pPr>
            <w:r>
              <w:rPr>
                <w:rFonts w:hint="eastAsia" w:hAnsi="宋体"/>
                <w:color w:val="auto"/>
                <w:highlight w:val="none"/>
              </w:rPr>
              <w:t>①</w:t>
            </w:r>
            <w:r>
              <w:rPr>
                <w:rFonts w:ascii="Times New Roman" w:cs="Times New Roman"/>
                <w:color w:val="auto"/>
                <w:highlight w:val="none"/>
              </w:rPr>
              <w:t>运输车辆禁止超载，不得使用劣质燃料；</w:t>
            </w:r>
          </w:p>
          <w:p w14:paraId="033F3E83">
            <w:pPr>
              <w:pStyle w:val="46"/>
              <w:snapToGrid w:val="0"/>
              <w:spacing w:line="360" w:lineRule="auto"/>
              <w:ind w:firstLine="480"/>
              <w:rPr>
                <w:rFonts w:ascii="Times New Roman" w:cs="Times New Roman"/>
                <w:color w:val="auto"/>
                <w:highlight w:val="none"/>
              </w:rPr>
            </w:pPr>
            <w:r>
              <w:rPr>
                <w:rFonts w:hint="eastAsia" w:hAnsi="宋体"/>
                <w:color w:val="auto"/>
                <w:highlight w:val="none"/>
              </w:rPr>
              <w:t>②</w:t>
            </w:r>
            <w:r>
              <w:rPr>
                <w:rFonts w:ascii="Times New Roman" w:cs="Times New Roman"/>
                <w:color w:val="auto"/>
                <w:highlight w:val="none"/>
              </w:rPr>
              <w:t>对车辆的尾气排放应进行监督管理，严格执行汽车排污监管办法相关规定。</w:t>
            </w:r>
          </w:p>
          <w:p w14:paraId="2C4DCB68">
            <w:pPr>
              <w:pStyle w:val="46"/>
              <w:snapToGrid w:val="0"/>
              <w:spacing w:line="360" w:lineRule="auto"/>
              <w:ind w:firstLine="480"/>
              <w:rPr>
                <w:rFonts w:ascii="Times New Roman" w:cs="Times New Roman"/>
                <w:color w:val="auto"/>
                <w:highlight w:val="none"/>
              </w:rPr>
            </w:pPr>
            <w:r>
              <w:rPr>
                <w:rFonts w:ascii="Times New Roman" w:cs="Times New Roman"/>
                <w:color w:val="auto"/>
                <w:highlight w:val="none"/>
              </w:rPr>
              <w:t>采取以上防护措施后，可减轻工程建设对施工区域环境空气质量的影响。</w:t>
            </w:r>
          </w:p>
          <w:p w14:paraId="3F8127E1">
            <w:pPr>
              <w:pStyle w:val="46"/>
              <w:snapToGrid w:val="0"/>
              <w:spacing w:line="360" w:lineRule="auto"/>
              <w:ind w:firstLine="480"/>
              <w:rPr>
                <w:rFonts w:ascii="Times New Roman" w:cs="Times New Roman"/>
                <w:color w:val="auto"/>
                <w:highlight w:val="none"/>
              </w:rPr>
            </w:pPr>
            <w:r>
              <w:rPr>
                <w:rFonts w:hint="eastAsia" w:ascii="Times New Roman" w:cs="Times New Roman"/>
                <w:color w:val="auto"/>
                <w:highlight w:val="none"/>
              </w:rPr>
              <w:t>二</w:t>
            </w:r>
            <w:r>
              <w:rPr>
                <w:rFonts w:ascii="Times New Roman" w:cs="Times New Roman"/>
                <w:color w:val="auto"/>
                <w:highlight w:val="none"/>
              </w:rPr>
              <w:t>、水环境</w:t>
            </w:r>
          </w:p>
          <w:p w14:paraId="58E3BE13">
            <w:pPr>
              <w:pStyle w:val="46"/>
              <w:snapToGrid w:val="0"/>
              <w:spacing w:line="360" w:lineRule="auto"/>
              <w:ind w:firstLine="480"/>
              <w:rPr>
                <w:rFonts w:ascii="Times New Roman" w:cs="Times New Roman"/>
                <w:color w:val="auto"/>
                <w:highlight w:val="none"/>
              </w:rPr>
            </w:pPr>
            <w:r>
              <w:rPr>
                <w:rFonts w:hint="eastAsia" w:ascii="Times New Roman" w:cs="Times New Roman"/>
                <w:color w:val="auto"/>
                <w:highlight w:val="none"/>
              </w:rPr>
              <w:t>根据前文分析，</w:t>
            </w:r>
            <w:r>
              <w:rPr>
                <w:rFonts w:ascii="Times New Roman" w:cs="Times New Roman"/>
                <w:color w:val="auto"/>
                <w:highlight w:val="none"/>
              </w:rPr>
              <w:t>项目施工期废水</w:t>
            </w:r>
            <w:r>
              <w:rPr>
                <w:rFonts w:hint="eastAsia" w:ascii="Times New Roman" w:cs="Times New Roman"/>
                <w:color w:val="auto"/>
                <w:highlight w:val="none"/>
              </w:rPr>
              <w:t>仅为</w:t>
            </w:r>
            <w:r>
              <w:rPr>
                <w:rFonts w:ascii="Times New Roman" w:cs="Times New Roman"/>
                <w:color w:val="auto"/>
                <w:highlight w:val="none"/>
              </w:rPr>
              <w:t>施工人员生活污水。</w:t>
            </w:r>
            <w:bookmarkStart w:id="5" w:name="_Toc271026041"/>
            <w:bookmarkStart w:id="6" w:name="_Toc268595274"/>
          </w:p>
          <w:bookmarkEnd w:id="5"/>
          <w:bookmarkEnd w:id="6"/>
          <w:p w14:paraId="33FFC8DA">
            <w:pPr>
              <w:pStyle w:val="46"/>
              <w:snapToGrid w:val="0"/>
              <w:spacing w:line="360" w:lineRule="auto"/>
              <w:ind w:firstLine="480" w:firstLineChars="200"/>
              <w:rPr>
                <w:rFonts w:ascii="Times New Roman" w:cs="Times New Roman"/>
                <w:color w:val="auto"/>
                <w:highlight w:val="none"/>
              </w:rPr>
            </w:pPr>
            <w:r>
              <w:rPr>
                <w:rFonts w:ascii="Times New Roman" w:cs="Times New Roman"/>
                <w:color w:val="auto"/>
                <w:highlight w:val="none"/>
              </w:rPr>
              <w:t>施工期</w:t>
            </w:r>
            <w:r>
              <w:rPr>
                <w:rFonts w:hint="eastAsia" w:ascii="Times New Roman" w:cs="Times New Roman"/>
                <w:color w:val="auto"/>
                <w:highlight w:val="none"/>
              </w:rPr>
              <w:t>间</w:t>
            </w:r>
            <w:r>
              <w:rPr>
                <w:rFonts w:ascii="Times New Roman" w:cs="Times New Roman"/>
                <w:color w:val="auto"/>
                <w:highlight w:val="none"/>
              </w:rPr>
              <w:t>生活污水</w:t>
            </w:r>
            <w:r>
              <w:rPr>
                <w:rFonts w:hint="eastAsia" w:ascii="Times New Roman" w:cs="Times New Roman"/>
                <w:color w:val="auto"/>
                <w:highlight w:val="none"/>
              </w:rPr>
              <w:t>经厂区化粪池处理后用于周边农田施肥，综合利用不外排。</w:t>
            </w:r>
          </w:p>
          <w:p w14:paraId="76C926E3">
            <w:pPr>
              <w:pStyle w:val="46"/>
              <w:snapToGrid w:val="0"/>
              <w:spacing w:line="360" w:lineRule="auto"/>
              <w:ind w:left="420" w:leftChars="200"/>
              <w:rPr>
                <w:rFonts w:ascii="Times New Roman" w:cs="Times New Roman"/>
                <w:color w:val="auto"/>
                <w:highlight w:val="none"/>
              </w:rPr>
            </w:pPr>
            <w:r>
              <w:rPr>
                <w:rFonts w:hint="eastAsia" w:ascii="Times New Roman" w:cs="Times New Roman"/>
                <w:color w:val="auto"/>
                <w:highlight w:val="none"/>
              </w:rPr>
              <w:t>三、</w:t>
            </w:r>
            <w:r>
              <w:rPr>
                <w:rFonts w:ascii="Times New Roman" w:cs="Times New Roman"/>
                <w:color w:val="auto"/>
                <w:highlight w:val="none"/>
              </w:rPr>
              <w:t>声环境</w:t>
            </w:r>
          </w:p>
          <w:p w14:paraId="1DE5CE8C">
            <w:pPr>
              <w:adjustRightInd w:val="0"/>
              <w:snapToGrid w:val="0"/>
              <w:spacing w:line="360" w:lineRule="auto"/>
              <w:ind w:firstLine="480" w:firstLineChars="200"/>
              <w:jc w:val="left"/>
              <w:rPr>
                <w:color w:val="auto"/>
                <w:sz w:val="24"/>
                <w:highlight w:val="none"/>
              </w:rPr>
            </w:pPr>
            <w:r>
              <w:rPr>
                <w:color w:val="auto"/>
                <w:sz w:val="24"/>
                <w:highlight w:val="none"/>
              </w:rPr>
              <w:t>为了降低施工期噪声影响，应采取以下措施：</w:t>
            </w:r>
          </w:p>
          <w:p w14:paraId="1431A2E9">
            <w:pPr>
              <w:adjustRightInd w:val="0"/>
              <w:snapToGrid w:val="0"/>
              <w:spacing w:line="360" w:lineRule="auto"/>
              <w:ind w:firstLine="480" w:firstLineChars="200"/>
              <w:jc w:val="left"/>
              <w:rPr>
                <w:color w:val="auto"/>
                <w:sz w:val="24"/>
                <w:highlight w:val="none"/>
              </w:rPr>
            </w:pPr>
            <w:r>
              <w:rPr>
                <w:color w:val="auto"/>
                <w:sz w:val="24"/>
                <w:highlight w:val="none"/>
              </w:rPr>
              <w:t>1、施工设备优选低噪声设备，合理安排施工时间，尽可能避免大量高噪声设备同时施工。</w:t>
            </w:r>
          </w:p>
          <w:p w14:paraId="4F437426">
            <w:pPr>
              <w:adjustRightInd w:val="0"/>
              <w:snapToGrid w:val="0"/>
              <w:spacing w:line="360" w:lineRule="auto"/>
              <w:ind w:firstLine="480" w:firstLineChars="200"/>
              <w:jc w:val="left"/>
              <w:rPr>
                <w:color w:val="auto"/>
                <w:sz w:val="24"/>
                <w:highlight w:val="none"/>
              </w:rPr>
            </w:pPr>
            <w:r>
              <w:rPr>
                <w:color w:val="auto"/>
                <w:sz w:val="24"/>
                <w:highlight w:val="none"/>
              </w:rPr>
              <w:t>2、选用已挂牌登记的施工车辆，运输汽车进场安排专人指挥，场内禁止运输车辆鸣笛。</w:t>
            </w:r>
          </w:p>
          <w:p w14:paraId="69CBB5C9">
            <w:pPr>
              <w:adjustRightInd w:val="0"/>
              <w:snapToGrid w:val="0"/>
              <w:spacing w:line="360" w:lineRule="auto"/>
              <w:ind w:firstLine="480" w:firstLineChars="200"/>
              <w:jc w:val="left"/>
              <w:rPr>
                <w:color w:val="auto"/>
                <w:sz w:val="24"/>
                <w:highlight w:val="none"/>
              </w:rPr>
            </w:pPr>
            <w:r>
              <w:rPr>
                <w:color w:val="auto"/>
                <w:sz w:val="24"/>
                <w:highlight w:val="none"/>
              </w:rPr>
              <w:t>3、加强施工人员的管理和教育，施工中减少不必要的金属敲击声。</w:t>
            </w:r>
          </w:p>
          <w:p w14:paraId="4709D402">
            <w:pPr>
              <w:adjustRightInd w:val="0"/>
              <w:snapToGrid w:val="0"/>
              <w:spacing w:line="360" w:lineRule="auto"/>
              <w:ind w:firstLine="480" w:firstLineChars="200"/>
              <w:jc w:val="left"/>
              <w:rPr>
                <w:color w:val="auto"/>
                <w:sz w:val="24"/>
                <w:highlight w:val="none"/>
              </w:rPr>
            </w:pPr>
            <w:r>
              <w:rPr>
                <w:color w:val="auto"/>
                <w:sz w:val="24"/>
                <w:highlight w:val="none"/>
              </w:rPr>
              <w:t>4、严格按照汉中市的有关规定，夜间（22:00-6:00）禁止施工。</w:t>
            </w:r>
          </w:p>
          <w:p w14:paraId="5F173175">
            <w:pPr>
              <w:adjustRightInd w:val="0"/>
              <w:snapToGrid w:val="0"/>
              <w:spacing w:line="360" w:lineRule="auto"/>
              <w:ind w:firstLine="480" w:firstLineChars="200"/>
              <w:jc w:val="left"/>
              <w:rPr>
                <w:color w:val="auto"/>
                <w:sz w:val="24"/>
                <w:highlight w:val="none"/>
              </w:rPr>
            </w:pPr>
            <w:r>
              <w:rPr>
                <w:color w:val="auto"/>
                <w:sz w:val="24"/>
                <w:highlight w:val="none"/>
              </w:rPr>
              <w:t>5、优化高噪声设备布局，必要时可采取减振措施。</w:t>
            </w:r>
          </w:p>
          <w:p w14:paraId="17D14274">
            <w:pPr>
              <w:adjustRightInd w:val="0"/>
              <w:snapToGrid w:val="0"/>
              <w:spacing w:line="360" w:lineRule="auto"/>
              <w:ind w:firstLine="480" w:firstLineChars="200"/>
              <w:jc w:val="left"/>
              <w:rPr>
                <w:color w:val="auto"/>
                <w:sz w:val="24"/>
                <w:highlight w:val="none"/>
              </w:rPr>
            </w:pPr>
            <w:r>
              <w:rPr>
                <w:color w:val="auto"/>
                <w:sz w:val="24"/>
                <w:highlight w:val="none"/>
              </w:rPr>
              <w:t>由于本项目工程量较小，施工周期较短。通过采取上述措施后，项目施工期产生的噪声影响能够降到可接受的程度。</w:t>
            </w:r>
          </w:p>
          <w:p w14:paraId="51EF13A9">
            <w:pPr>
              <w:pStyle w:val="46"/>
              <w:snapToGrid w:val="0"/>
              <w:spacing w:line="360" w:lineRule="auto"/>
              <w:ind w:firstLine="480"/>
              <w:rPr>
                <w:rFonts w:ascii="Times New Roman" w:cs="Times New Roman"/>
                <w:color w:val="auto"/>
                <w:highlight w:val="none"/>
              </w:rPr>
            </w:pPr>
            <w:r>
              <w:rPr>
                <w:rFonts w:hint="eastAsia" w:ascii="Times New Roman" w:cs="Times New Roman"/>
                <w:color w:val="auto"/>
                <w:highlight w:val="none"/>
              </w:rPr>
              <w:t>四</w:t>
            </w:r>
            <w:r>
              <w:rPr>
                <w:rFonts w:ascii="Times New Roman" w:cs="Times New Roman"/>
                <w:color w:val="auto"/>
                <w:highlight w:val="none"/>
              </w:rPr>
              <w:t>、固体废物</w:t>
            </w:r>
          </w:p>
          <w:p w14:paraId="5BD22B16">
            <w:pPr>
              <w:pStyle w:val="46"/>
              <w:snapToGrid w:val="0"/>
              <w:spacing w:line="360" w:lineRule="auto"/>
              <w:ind w:firstLine="480"/>
              <w:rPr>
                <w:rFonts w:ascii="Times New Roman" w:cs="Times New Roman"/>
                <w:color w:val="auto"/>
                <w:highlight w:val="none"/>
              </w:rPr>
            </w:pPr>
            <w:r>
              <w:rPr>
                <w:rFonts w:hint="eastAsia" w:ascii="Times New Roman" w:cs="Times New Roman"/>
                <w:color w:val="auto"/>
                <w:highlight w:val="none"/>
              </w:rPr>
              <w:t>本项目施工期固废主要为生活垃圾和建筑垃圾。</w:t>
            </w:r>
          </w:p>
          <w:p w14:paraId="28CBCC07">
            <w:pPr>
              <w:pStyle w:val="46"/>
              <w:snapToGrid w:val="0"/>
              <w:spacing w:line="360" w:lineRule="auto"/>
              <w:ind w:firstLine="480"/>
              <w:rPr>
                <w:rFonts w:ascii="Times New Roman" w:cs="Times New Roman"/>
                <w:color w:val="auto"/>
                <w:highlight w:val="none"/>
              </w:rPr>
            </w:pPr>
            <w:r>
              <w:rPr>
                <w:rFonts w:hint="eastAsia" w:ascii="Times New Roman" w:cs="Times New Roman"/>
                <w:color w:val="auto"/>
                <w:highlight w:val="none"/>
              </w:rPr>
              <w:t>（1）</w:t>
            </w:r>
            <w:r>
              <w:rPr>
                <w:rFonts w:ascii="Times New Roman" w:cs="Times New Roman"/>
                <w:color w:val="auto"/>
                <w:highlight w:val="none"/>
              </w:rPr>
              <w:t>生活垃圾</w:t>
            </w:r>
          </w:p>
          <w:p w14:paraId="2D5EE4A3">
            <w:pPr>
              <w:pStyle w:val="46"/>
              <w:snapToGrid w:val="0"/>
              <w:spacing w:line="360" w:lineRule="auto"/>
              <w:ind w:firstLine="480"/>
              <w:rPr>
                <w:rFonts w:ascii="Times New Roman" w:cs="Times New Roman"/>
                <w:color w:val="auto"/>
                <w:highlight w:val="none"/>
              </w:rPr>
            </w:pPr>
            <w:r>
              <w:rPr>
                <w:rFonts w:ascii="Times New Roman" w:cs="Times New Roman"/>
                <w:color w:val="auto"/>
                <w:highlight w:val="none"/>
              </w:rPr>
              <w:t>本项目施工人员主要为当地民工，不需要在施工场地集中安排食宿，故日常产生的生活垃圾较少，主要为烟头、香烟盒、果皮纸屑等，施工方在场地设置垃圾桶进行分类收集，并运至附近生活垃圾收集点。</w:t>
            </w:r>
          </w:p>
          <w:p w14:paraId="2C760E9E">
            <w:pPr>
              <w:pStyle w:val="46"/>
              <w:snapToGrid w:val="0"/>
              <w:spacing w:line="360" w:lineRule="auto"/>
              <w:ind w:firstLine="480"/>
              <w:rPr>
                <w:rFonts w:ascii="Times New Roman" w:cs="Times New Roman"/>
                <w:color w:val="auto"/>
                <w:highlight w:val="none"/>
              </w:rPr>
            </w:pPr>
            <w:r>
              <w:rPr>
                <w:rFonts w:hint="eastAsia" w:ascii="Times New Roman" w:cs="Times New Roman"/>
                <w:color w:val="auto"/>
                <w:highlight w:val="none"/>
              </w:rPr>
              <w:t>（2）</w:t>
            </w:r>
            <w:r>
              <w:rPr>
                <w:rFonts w:ascii="Times New Roman" w:cs="Times New Roman"/>
                <w:color w:val="auto"/>
                <w:highlight w:val="none"/>
              </w:rPr>
              <w:t>建筑垃圾</w:t>
            </w:r>
          </w:p>
          <w:p w14:paraId="481B8F3A">
            <w:pPr>
              <w:widowControl/>
              <w:spacing w:line="360" w:lineRule="auto"/>
              <w:ind w:firstLine="480" w:firstLineChars="200"/>
              <w:jc w:val="left"/>
              <w:rPr>
                <w:color w:val="auto"/>
                <w:kern w:val="0"/>
                <w:sz w:val="24"/>
                <w:highlight w:val="none"/>
              </w:rPr>
            </w:pPr>
            <w:r>
              <w:rPr>
                <w:rFonts w:hint="eastAsia"/>
                <w:color w:val="auto"/>
                <w:kern w:val="0"/>
                <w:sz w:val="24"/>
                <w:highlight w:val="none"/>
              </w:rPr>
              <w:t>污水处理站修建过程、厂房及包装区封闭过程</w:t>
            </w:r>
            <w:r>
              <w:rPr>
                <w:color w:val="auto"/>
                <w:kern w:val="0"/>
                <w:sz w:val="24"/>
                <w:highlight w:val="none"/>
              </w:rPr>
              <w:t>产生的建筑垃圾均外运至当地政府指定地点堆放。</w:t>
            </w:r>
          </w:p>
          <w:p w14:paraId="64527704">
            <w:pPr>
              <w:pStyle w:val="2"/>
              <w:rPr>
                <w:color w:val="auto"/>
                <w:sz w:val="24"/>
                <w:szCs w:val="24"/>
                <w:highlight w:val="none"/>
              </w:rPr>
            </w:pPr>
          </w:p>
          <w:p w14:paraId="4AACB137">
            <w:pPr>
              <w:rPr>
                <w:color w:val="auto"/>
                <w:highlight w:val="none"/>
              </w:rPr>
            </w:pPr>
          </w:p>
          <w:p w14:paraId="5E175FDF">
            <w:pPr>
              <w:pStyle w:val="2"/>
              <w:rPr>
                <w:color w:val="auto"/>
                <w:highlight w:val="none"/>
              </w:rPr>
            </w:pPr>
          </w:p>
          <w:p w14:paraId="41C5E67F">
            <w:pPr>
              <w:rPr>
                <w:color w:val="auto"/>
                <w:highlight w:val="none"/>
              </w:rPr>
            </w:pPr>
          </w:p>
          <w:p w14:paraId="602872F9">
            <w:pPr>
              <w:pStyle w:val="2"/>
              <w:rPr>
                <w:color w:val="auto"/>
                <w:highlight w:val="none"/>
              </w:rPr>
            </w:pPr>
          </w:p>
          <w:p w14:paraId="0ACF9653">
            <w:pPr>
              <w:rPr>
                <w:color w:val="auto"/>
                <w:highlight w:val="none"/>
              </w:rPr>
            </w:pPr>
          </w:p>
          <w:p w14:paraId="58C695CA">
            <w:pPr>
              <w:rPr>
                <w:color w:val="auto"/>
                <w:highlight w:val="none"/>
              </w:rPr>
            </w:pPr>
          </w:p>
        </w:tc>
      </w:tr>
      <w:tr w14:paraId="712E98E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243" w:hRule="atLeast"/>
          <w:jc w:val="center"/>
        </w:trPr>
        <w:tc>
          <w:tcPr>
            <w:tcW w:w="360" w:type="dxa"/>
            <w:tcMar>
              <w:left w:w="28" w:type="dxa"/>
              <w:right w:w="28" w:type="dxa"/>
            </w:tcMar>
            <w:vAlign w:val="center"/>
          </w:tcPr>
          <w:p w14:paraId="5BC6F68F">
            <w:pPr>
              <w:adjustRightInd w:val="0"/>
              <w:snapToGrid w:val="0"/>
              <w:jc w:val="center"/>
              <w:rPr>
                <w:rFonts w:ascii="宋体" w:hAnsi="宋体" w:cs="宋体"/>
                <w:bCs/>
                <w:color w:val="auto"/>
                <w:szCs w:val="21"/>
                <w:highlight w:val="none"/>
              </w:rPr>
            </w:pPr>
          </w:p>
          <w:p w14:paraId="7AEDABB4">
            <w:pPr>
              <w:adjustRightInd w:val="0"/>
              <w:snapToGrid w:val="0"/>
              <w:jc w:val="center"/>
              <w:rPr>
                <w:rFonts w:ascii="宋体" w:hAnsi="宋体" w:cs="宋体"/>
                <w:bCs/>
                <w:color w:val="auto"/>
                <w:szCs w:val="21"/>
                <w:highlight w:val="none"/>
              </w:rPr>
            </w:pPr>
          </w:p>
          <w:p w14:paraId="0AE11DD7">
            <w:pPr>
              <w:adjustRightInd w:val="0"/>
              <w:snapToGrid w:val="0"/>
              <w:jc w:val="center"/>
              <w:rPr>
                <w:rFonts w:ascii="宋体" w:hAnsi="宋体" w:cs="宋体"/>
                <w:bCs/>
                <w:color w:val="auto"/>
                <w:szCs w:val="21"/>
                <w:highlight w:val="none"/>
              </w:rPr>
            </w:pPr>
          </w:p>
          <w:p w14:paraId="794287E9">
            <w:pPr>
              <w:adjustRightInd w:val="0"/>
              <w:snapToGrid w:val="0"/>
              <w:jc w:val="center"/>
              <w:rPr>
                <w:rFonts w:ascii="宋体" w:hAnsi="宋体" w:cs="宋体"/>
                <w:bCs/>
                <w:color w:val="auto"/>
                <w:szCs w:val="21"/>
                <w:highlight w:val="none"/>
              </w:rPr>
            </w:pPr>
          </w:p>
          <w:p w14:paraId="0864E870">
            <w:pPr>
              <w:adjustRightInd w:val="0"/>
              <w:snapToGrid w:val="0"/>
              <w:jc w:val="center"/>
              <w:rPr>
                <w:rFonts w:ascii="宋体" w:hAnsi="宋体" w:cs="宋体"/>
                <w:bCs/>
                <w:color w:val="auto"/>
                <w:szCs w:val="21"/>
                <w:highlight w:val="none"/>
              </w:rPr>
            </w:pPr>
          </w:p>
          <w:p w14:paraId="2235CEA8">
            <w:pPr>
              <w:adjustRightInd w:val="0"/>
              <w:snapToGrid w:val="0"/>
              <w:jc w:val="center"/>
              <w:rPr>
                <w:rFonts w:ascii="宋体" w:hAnsi="宋体" w:cs="宋体"/>
                <w:bCs/>
                <w:color w:val="auto"/>
                <w:szCs w:val="21"/>
                <w:highlight w:val="none"/>
              </w:rPr>
            </w:pPr>
          </w:p>
          <w:p w14:paraId="0545BED4">
            <w:pPr>
              <w:adjustRightInd w:val="0"/>
              <w:snapToGrid w:val="0"/>
              <w:jc w:val="center"/>
              <w:rPr>
                <w:rFonts w:ascii="宋体" w:hAnsi="宋体" w:cs="宋体"/>
                <w:bCs/>
                <w:color w:val="auto"/>
                <w:szCs w:val="21"/>
                <w:highlight w:val="none"/>
              </w:rPr>
            </w:pPr>
          </w:p>
          <w:p w14:paraId="5FB67C8B">
            <w:pPr>
              <w:adjustRightInd w:val="0"/>
              <w:snapToGrid w:val="0"/>
              <w:jc w:val="center"/>
              <w:rPr>
                <w:rFonts w:ascii="宋体" w:hAnsi="宋体" w:cs="宋体"/>
                <w:bCs/>
                <w:color w:val="auto"/>
                <w:szCs w:val="21"/>
                <w:highlight w:val="none"/>
              </w:rPr>
            </w:pPr>
          </w:p>
          <w:p w14:paraId="76D4BCCE">
            <w:pPr>
              <w:adjustRightInd w:val="0"/>
              <w:snapToGrid w:val="0"/>
              <w:jc w:val="center"/>
              <w:rPr>
                <w:rFonts w:ascii="宋体" w:hAnsi="宋体" w:cs="宋体"/>
                <w:bCs/>
                <w:color w:val="auto"/>
                <w:szCs w:val="21"/>
                <w:highlight w:val="none"/>
              </w:rPr>
            </w:pPr>
          </w:p>
          <w:p w14:paraId="5A5C22A5">
            <w:pPr>
              <w:adjustRightInd w:val="0"/>
              <w:snapToGrid w:val="0"/>
              <w:jc w:val="center"/>
              <w:rPr>
                <w:rFonts w:ascii="宋体" w:hAnsi="宋体" w:cs="宋体"/>
                <w:bCs/>
                <w:color w:val="auto"/>
                <w:szCs w:val="21"/>
                <w:highlight w:val="none"/>
              </w:rPr>
            </w:pPr>
          </w:p>
          <w:p w14:paraId="1BA9FEDE">
            <w:pPr>
              <w:adjustRightInd w:val="0"/>
              <w:snapToGrid w:val="0"/>
              <w:jc w:val="center"/>
              <w:rPr>
                <w:rFonts w:ascii="宋体" w:hAnsi="宋体" w:cs="宋体"/>
                <w:bCs/>
                <w:color w:val="auto"/>
                <w:szCs w:val="21"/>
                <w:highlight w:val="none"/>
              </w:rPr>
            </w:pPr>
          </w:p>
          <w:p w14:paraId="63A345D7">
            <w:pPr>
              <w:adjustRightInd w:val="0"/>
              <w:snapToGrid w:val="0"/>
              <w:rPr>
                <w:rFonts w:ascii="宋体" w:hAnsi="宋体" w:cs="宋体"/>
                <w:bCs/>
                <w:color w:val="auto"/>
                <w:szCs w:val="21"/>
                <w:highlight w:val="none"/>
              </w:rPr>
            </w:pPr>
          </w:p>
          <w:p w14:paraId="09BB35FB">
            <w:pPr>
              <w:adjustRightInd w:val="0"/>
              <w:snapToGrid w:val="0"/>
              <w:jc w:val="center"/>
              <w:rPr>
                <w:rFonts w:ascii="宋体" w:hAnsi="宋体" w:cs="宋体"/>
                <w:bCs/>
                <w:color w:val="auto"/>
                <w:sz w:val="24"/>
                <w:highlight w:val="none"/>
              </w:rPr>
            </w:pPr>
          </w:p>
          <w:p w14:paraId="6E128EBC">
            <w:pPr>
              <w:adjustRightInd w:val="0"/>
              <w:snapToGrid w:val="0"/>
              <w:jc w:val="center"/>
              <w:rPr>
                <w:rFonts w:ascii="宋体" w:hAnsi="宋体" w:cs="宋体"/>
                <w:bCs/>
                <w:color w:val="auto"/>
                <w:sz w:val="24"/>
                <w:highlight w:val="none"/>
              </w:rPr>
            </w:pPr>
          </w:p>
          <w:p w14:paraId="58FAB71C">
            <w:pPr>
              <w:adjustRightInd w:val="0"/>
              <w:snapToGrid w:val="0"/>
              <w:jc w:val="center"/>
              <w:rPr>
                <w:rFonts w:ascii="宋体" w:hAnsi="宋体" w:cs="宋体"/>
                <w:bCs/>
                <w:color w:val="auto"/>
                <w:sz w:val="24"/>
                <w:highlight w:val="none"/>
              </w:rPr>
            </w:pPr>
          </w:p>
          <w:p w14:paraId="254F8DE8">
            <w:pPr>
              <w:adjustRightInd w:val="0"/>
              <w:snapToGrid w:val="0"/>
              <w:jc w:val="center"/>
              <w:rPr>
                <w:rFonts w:ascii="宋体" w:hAnsi="宋体" w:cs="宋体"/>
                <w:bCs/>
                <w:color w:val="auto"/>
                <w:sz w:val="24"/>
                <w:highlight w:val="none"/>
              </w:rPr>
            </w:pPr>
          </w:p>
          <w:p w14:paraId="7803C3DC">
            <w:pPr>
              <w:adjustRightInd w:val="0"/>
              <w:snapToGrid w:val="0"/>
              <w:jc w:val="center"/>
              <w:rPr>
                <w:rFonts w:ascii="宋体" w:hAnsi="宋体" w:cs="宋体"/>
                <w:bCs/>
                <w:color w:val="auto"/>
                <w:sz w:val="24"/>
                <w:highlight w:val="none"/>
              </w:rPr>
            </w:pPr>
          </w:p>
          <w:p w14:paraId="437DD32C">
            <w:pPr>
              <w:adjustRightInd w:val="0"/>
              <w:snapToGrid w:val="0"/>
              <w:jc w:val="center"/>
              <w:rPr>
                <w:rFonts w:ascii="宋体" w:hAnsi="宋体" w:cs="宋体"/>
                <w:bCs/>
                <w:color w:val="auto"/>
                <w:sz w:val="24"/>
                <w:highlight w:val="none"/>
              </w:rPr>
            </w:pPr>
            <w:r>
              <w:rPr>
                <w:rFonts w:hint="eastAsia" w:ascii="宋体" w:hAnsi="宋体" w:cs="宋体"/>
                <w:bCs/>
                <w:color w:val="auto"/>
                <w:sz w:val="24"/>
                <w:highlight w:val="none"/>
              </w:rPr>
              <w:t>运营</w:t>
            </w:r>
          </w:p>
          <w:p w14:paraId="4D1B0963">
            <w:pPr>
              <w:adjustRightInd w:val="0"/>
              <w:snapToGrid w:val="0"/>
              <w:jc w:val="center"/>
              <w:rPr>
                <w:rFonts w:ascii="宋体" w:hAnsi="宋体" w:cs="宋体"/>
                <w:bCs/>
                <w:color w:val="auto"/>
                <w:sz w:val="24"/>
                <w:highlight w:val="none"/>
              </w:rPr>
            </w:pPr>
            <w:r>
              <w:rPr>
                <w:rFonts w:hint="eastAsia" w:ascii="宋体" w:hAnsi="宋体" w:cs="宋体"/>
                <w:bCs/>
                <w:color w:val="auto"/>
                <w:sz w:val="24"/>
                <w:highlight w:val="none"/>
              </w:rPr>
              <w:t>期环</w:t>
            </w:r>
          </w:p>
          <w:p w14:paraId="214402F8">
            <w:pPr>
              <w:adjustRightInd w:val="0"/>
              <w:snapToGrid w:val="0"/>
              <w:jc w:val="center"/>
              <w:rPr>
                <w:rFonts w:ascii="宋体" w:hAnsi="宋体" w:cs="宋体"/>
                <w:bCs/>
                <w:color w:val="auto"/>
                <w:sz w:val="24"/>
                <w:highlight w:val="none"/>
              </w:rPr>
            </w:pPr>
            <w:r>
              <w:rPr>
                <w:rFonts w:hint="eastAsia" w:ascii="宋体" w:hAnsi="宋体" w:cs="宋体"/>
                <w:bCs/>
                <w:color w:val="auto"/>
                <w:sz w:val="24"/>
                <w:highlight w:val="none"/>
              </w:rPr>
              <w:t>境影</w:t>
            </w:r>
          </w:p>
          <w:p w14:paraId="49329C11">
            <w:pPr>
              <w:adjustRightInd w:val="0"/>
              <w:snapToGrid w:val="0"/>
              <w:jc w:val="center"/>
              <w:rPr>
                <w:rFonts w:ascii="宋体" w:hAnsi="宋体" w:cs="宋体"/>
                <w:bCs/>
                <w:color w:val="auto"/>
                <w:sz w:val="24"/>
                <w:highlight w:val="none"/>
              </w:rPr>
            </w:pPr>
            <w:r>
              <w:rPr>
                <w:rFonts w:hint="eastAsia" w:ascii="宋体" w:hAnsi="宋体" w:cs="宋体"/>
                <w:bCs/>
                <w:color w:val="auto"/>
                <w:sz w:val="24"/>
                <w:highlight w:val="none"/>
              </w:rPr>
              <w:t>响和</w:t>
            </w:r>
          </w:p>
          <w:p w14:paraId="359A05F4">
            <w:pPr>
              <w:adjustRightInd w:val="0"/>
              <w:snapToGrid w:val="0"/>
              <w:jc w:val="center"/>
              <w:rPr>
                <w:rFonts w:ascii="宋体" w:hAnsi="宋体" w:cs="宋体"/>
                <w:bCs/>
                <w:color w:val="auto"/>
                <w:sz w:val="24"/>
                <w:highlight w:val="none"/>
              </w:rPr>
            </w:pPr>
            <w:r>
              <w:rPr>
                <w:rFonts w:hint="eastAsia" w:ascii="宋体" w:hAnsi="宋体" w:cs="宋体"/>
                <w:bCs/>
                <w:color w:val="auto"/>
                <w:sz w:val="24"/>
                <w:highlight w:val="none"/>
              </w:rPr>
              <w:t>保护</w:t>
            </w:r>
          </w:p>
          <w:p w14:paraId="70E329F2">
            <w:pPr>
              <w:adjustRightInd w:val="0"/>
              <w:snapToGrid w:val="0"/>
              <w:jc w:val="center"/>
              <w:rPr>
                <w:rFonts w:ascii="宋体" w:hAnsi="宋体" w:cs="宋体"/>
                <w:bCs/>
                <w:color w:val="auto"/>
                <w:sz w:val="24"/>
                <w:highlight w:val="none"/>
              </w:rPr>
            </w:pPr>
            <w:r>
              <w:rPr>
                <w:rFonts w:hint="eastAsia" w:ascii="宋体" w:hAnsi="宋体" w:cs="宋体"/>
                <w:bCs/>
                <w:color w:val="auto"/>
                <w:sz w:val="24"/>
                <w:highlight w:val="none"/>
              </w:rPr>
              <w:t>措施</w:t>
            </w:r>
          </w:p>
          <w:p w14:paraId="55CD0D9E">
            <w:pPr>
              <w:adjustRightInd w:val="0"/>
              <w:snapToGrid w:val="0"/>
              <w:jc w:val="center"/>
              <w:rPr>
                <w:rFonts w:ascii="宋体" w:hAnsi="宋体" w:cs="宋体"/>
                <w:bCs/>
                <w:color w:val="auto"/>
                <w:szCs w:val="21"/>
                <w:highlight w:val="none"/>
              </w:rPr>
            </w:pPr>
          </w:p>
          <w:p w14:paraId="36904509">
            <w:pPr>
              <w:adjustRightInd w:val="0"/>
              <w:snapToGrid w:val="0"/>
              <w:jc w:val="center"/>
              <w:rPr>
                <w:rFonts w:ascii="宋体" w:hAnsi="宋体" w:cs="宋体"/>
                <w:bCs/>
                <w:color w:val="auto"/>
                <w:szCs w:val="21"/>
                <w:highlight w:val="none"/>
              </w:rPr>
            </w:pPr>
          </w:p>
          <w:p w14:paraId="57B52D8E">
            <w:pPr>
              <w:adjustRightInd w:val="0"/>
              <w:snapToGrid w:val="0"/>
              <w:jc w:val="center"/>
              <w:rPr>
                <w:rFonts w:ascii="宋体" w:hAnsi="宋体" w:cs="宋体"/>
                <w:bCs/>
                <w:color w:val="auto"/>
                <w:szCs w:val="21"/>
                <w:highlight w:val="none"/>
              </w:rPr>
            </w:pPr>
          </w:p>
          <w:p w14:paraId="5CA17EC5">
            <w:pPr>
              <w:adjustRightInd w:val="0"/>
              <w:snapToGrid w:val="0"/>
              <w:jc w:val="center"/>
              <w:rPr>
                <w:rFonts w:ascii="宋体" w:hAnsi="宋体" w:cs="宋体"/>
                <w:bCs/>
                <w:color w:val="auto"/>
                <w:szCs w:val="21"/>
                <w:highlight w:val="none"/>
              </w:rPr>
            </w:pPr>
          </w:p>
          <w:p w14:paraId="3A8931C5">
            <w:pPr>
              <w:adjustRightInd w:val="0"/>
              <w:snapToGrid w:val="0"/>
              <w:jc w:val="center"/>
              <w:rPr>
                <w:rFonts w:ascii="宋体" w:hAnsi="宋体" w:cs="宋体"/>
                <w:bCs/>
                <w:color w:val="auto"/>
                <w:szCs w:val="21"/>
                <w:highlight w:val="none"/>
              </w:rPr>
            </w:pPr>
          </w:p>
          <w:p w14:paraId="3C47231D">
            <w:pPr>
              <w:adjustRightInd w:val="0"/>
              <w:snapToGrid w:val="0"/>
              <w:jc w:val="center"/>
              <w:rPr>
                <w:rFonts w:ascii="宋体" w:hAnsi="宋体" w:cs="宋体"/>
                <w:bCs/>
                <w:color w:val="auto"/>
                <w:szCs w:val="21"/>
                <w:highlight w:val="none"/>
              </w:rPr>
            </w:pPr>
          </w:p>
          <w:p w14:paraId="101AF37E">
            <w:pPr>
              <w:adjustRightInd w:val="0"/>
              <w:snapToGrid w:val="0"/>
              <w:jc w:val="center"/>
              <w:rPr>
                <w:rFonts w:ascii="宋体" w:hAnsi="宋体" w:cs="宋体"/>
                <w:bCs/>
                <w:color w:val="auto"/>
                <w:szCs w:val="21"/>
                <w:highlight w:val="none"/>
              </w:rPr>
            </w:pPr>
          </w:p>
          <w:p w14:paraId="74FBE816">
            <w:pPr>
              <w:adjustRightInd w:val="0"/>
              <w:snapToGrid w:val="0"/>
              <w:jc w:val="center"/>
              <w:rPr>
                <w:rFonts w:ascii="宋体" w:hAnsi="宋体" w:cs="宋体"/>
                <w:bCs/>
                <w:color w:val="auto"/>
                <w:szCs w:val="21"/>
                <w:highlight w:val="none"/>
              </w:rPr>
            </w:pPr>
          </w:p>
          <w:p w14:paraId="7F03807C">
            <w:pPr>
              <w:adjustRightInd w:val="0"/>
              <w:snapToGrid w:val="0"/>
              <w:jc w:val="center"/>
              <w:rPr>
                <w:rFonts w:ascii="宋体" w:hAnsi="宋体" w:cs="宋体"/>
                <w:bCs/>
                <w:color w:val="auto"/>
                <w:szCs w:val="21"/>
                <w:highlight w:val="none"/>
              </w:rPr>
            </w:pPr>
          </w:p>
          <w:p w14:paraId="446515D9">
            <w:pPr>
              <w:adjustRightInd w:val="0"/>
              <w:snapToGrid w:val="0"/>
              <w:jc w:val="center"/>
              <w:rPr>
                <w:rFonts w:ascii="宋体" w:hAnsi="宋体" w:cs="宋体"/>
                <w:bCs/>
                <w:color w:val="auto"/>
                <w:szCs w:val="21"/>
                <w:highlight w:val="none"/>
              </w:rPr>
            </w:pPr>
          </w:p>
          <w:p w14:paraId="750408F6">
            <w:pPr>
              <w:adjustRightInd w:val="0"/>
              <w:snapToGrid w:val="0"/>
              <w:jc w:val="center"/>
              <w:rPr>
                <w:rFonts w:ascii="宋体" w:hAnsi="宋体" w:cs="宋体"/>
                <w:bCs/>
                <w:color w:val="auto"/>
                <w:szCs w:val="21"/>
                <w:highlight w:val="none"/>
              </w:rPr>
            </w:pPr>
          </w:p>
          <w:p w14:paraId="36D8AB1F">
            <w:pPr>
              <w:adjustRightInd w:val="0"/>
              <w:snapToGrid w:val="0"/>
              <w:jc w:val="center"/>
              <w:rPr>
                <w:rFonts w:ascii="宋体" w:hAnsi="宋体" w:cs="宋体"/>
                <w:bCs/>
                <w:color w:val="auto"/>
                <w:szCs w:val="21"/>
                <w:highlight w:val="none"/>
              </w:rPr>
            </w:pPr>
          </w:p>
          <w:p w14:paraId="31299184">
            <w:pPr>
              <w:adjustRightInd w:val="0"/>
              <w:snapToGrid w:val="0"/>
              <w:jc w:val="center"/>
              <w:rPr>
                <w:rFonts w:ascii="宋体" w:hAnsi="宋体" w:cs="宋体"/>
                <w:bCs/>
                <w:color w:val="auto"/>
                <w:szCs w:val="21"/>
                <w:highlight w:val="none"/>
              </w:rPr>
            </w:pPr>
          </w:p>
          <w:p w14:paraId="22C032D9">
            <w:pPr>
              <w:adjustRightInd w:val="0"/>
              <w:snapToGrid w:val="0"/>
              <w:jc w:val="center"/>
              <w:rPr>
                <w:rFonts w:ascii="宋体" w:hAnsi="宋体" w:cs="宋体"/>
                <w:bCs/>
                <w:color w:val="auto"/>
                <w:szCs w:val="21"/>
                <w:highlight w:val="none"/>
              </w:rPr>
            </w:pPr>
          </w:p>
          <w:p w14:paraId="426B63A8">
            <w:pPr>
              <w:adjustRightInd w:val="0"/>
              <w:snapToGrid w:val="0"/>
              <w:jc w:val="center"/>
              <w:rPr>
                <w:rFonts w:ascii="宋体" w:hAnsi="宋体" w:cs="宋体"/>
                <w:bCs/>
                <w:color w:val="auto"/>
                <w:szCs w:val="21"/>
                <w:highlight w:val="none"/>
              </w:rPr>
            </w:pPr>
          </w:p>
          <w:p w14:paraId="2CDB000B">
            <w:pPr>
              <w:adjustRightInd w:val="0"/>
              <w:snapToGrid w:val="0"/>
              <w:jc w:val="center"/>
              <w:rPr>
                <w:rFonts w:ascii="宋体" w:hAnsi="宋体" w:cs="宋体"/>
                <w:bCs/>
                <w:color w:val="auto"/>
                <w:szCs w:val="21"/>
                <w:highlight w:val="none"/>
              </w:rPr>
            </w:pPr>
          </w:p>
          <w:p w14:paraId="689D81EE">
            <w:pPr>
              <w:adjustRightInd w:val="0"/>
              <w:snapToGrid w:val="0"/>
              <w:jc w:val="center"/>
              <w:rPr>
                <w:rFonts w:ascii="宋体" w:hAnsi="宋体" w:cs="宋体"/>
                <w:bCs/>
                <w:color w:val="auto"/>
                <w:szCs w:val="21"/>
                <w:highlight w:val="none"/>
              </w:rPr>
            </w:pPr>
          </w:p>
          <w:p w14:paraId="7D8E82CA">
            <w:pPr>
              <w:adjustRightInd w:val="0"/>
              <w:snapToGrid w:val="0"/>
              <w:jc w:val="center"/>
              <w:rPr>
                <w:rFonts w:ascii="宋体" w:hAnsi="宋体" w:cs="宋体"/>
                <w:bCs/>
                <w:color w:val="auto"/>
                <w:szCs w:val="21"/>
                <w:highlight w:val="none"/>
              </w:rPr>
            </w:pPr>
          </w:p>
          <w:p w14:paraId="5F3C7ED6">
            <w:pPr>
              <w:adjustRightInd w:val="0"/>
              <w:snapToGrid w:val="0"/>
              <w:jc w:val="center"/>
              <w:rPr>
                <w:rFonts w:ascii="宋体" w:hAnsi="宋体" w:cs="宋体"/>
                <w:bCs/>
                <w:color w:val="auto"/>
                <w:szCs w:val="21"/>
                <w:highlight w:val="none"/>
              </w:rPr>
            </w:pPr>
          </w:p>
          <w:p w14:paraId="2EDAB089">
            <w:pPr>
              <w:adjustRightInd w:val="0"/>
              <w:snapToGrid w:val="0"/>
              <w:jc w:val="center"/>
              <w:rPr>
                <w:rFonts w:ascii="宋体" w:hAnsi="宋体" w:cs="宋体"/>
                <w:bCs/>
                <w:color w:val="auto"/>
                <w:szCs w:val="21"/>
                <w:highlight w:val="none"/>
              </w:rPr>
            </w:pPr>
          </w:p>
          <w:p w14:paraId="16B3349D">
            <w:pPr>
              <w:adjustRightInd w:val="0"/>
              <w:snapToGrid w:val="0"/>
              <w:jc w:val="center"/>
              <w:rPr>
                <w:rFonts w:ascii="宋体" w:hAnsi="宋体" w:cs="宋体"/>
                <w:bCs/>
                <w:color w:val="auto"/>
                <w:szCs w:val="21"/>
                <w:highlight w:val="none"/>
              </w:rPr>
            </w:pPr>
          </w:p>
          <w:p w14:paraId="73F63164">
            <w:pPr>
              <w:adjustRightInd w:val="0"/>
              <w:snapToGrid w:val="0"/>
              <w:jc w:val="center"/>
              <w:rPr>
                <w:rFonts w:ascii="宋体" w:hAnsi="宋体" w:cs="宋体"/>
                <w:bCs/>
                <w:color w:val="auto"/>
                <w:szCs w:val="21"/>
                <w:highlight w:val="none"/>
              </w:rPr>
            </w:pPr>
          </w:p>
          <w:p w14:paraId="46D1B8AC">
            <w:pPr>
              <w:adjustRightInd w:val="0"/>
              <w:snapToGrid w:val="0"/>
              <w:jc w:val="center"/>
              <w:rPr>
                <w:rFonts w:ascii="宋体" w:hAnsi="宋体" w:cs="宋体"/>
                <w:bCs/>
                <w:color w:val="auto"/>
                <w:szCs w:val="21"/>
                <w:highlight w:val="none"/>
              </w:rPr>
            </w:pPr>
          </w:p>
          <w:p w14:paraId="76A67553">
            <w:pPr>
              <w:adjustRightInd w:val="0"/>
              <w:snapToGrid w:val="0"/>
              <w:jc w:val="center"/>
              <w:rPr>
                <w:rFonts w:ascii="宋体" w:hAnsi="宋体" w:cs="宋体"/>
                <w:bCs/>
                <w:color w:val="auto"/>
                <w:szCs w:val="21"/>
                <w:highlight w:val="none"/>
              </w:rPr>
            </w:pPr>
          </w:p>
          <w:p w14:paraId="6AEFDEFF">
            <w:pPr>
              <w:adjustRightInd w:val="0"/>
              <w:snapToGrid w:val="0"/>
              <w:jc w:val="center"/>
              <w:rPr>
                <w:rFonts w:ascii="宋体" w:hAnsi="宋体" w:cs="宋体"/>
                <w:bCs/>
                <w:color w:val="auto"/>
                <w:szCs w:val="21"/>
                <w:highlight w:val="none"/>
              </w:rPr>
            </w:pPr>
          </w:p>
          <w:p w14:paraId="0F4AC192">
            <w:pPr>
              <w:adjustRightInd w:val="0"/>
              <w:snapToGrid w:val="0"/>
              <w:jc w:val="center"/>
              <w:rPr>
                <w:rFonts w:ascii="宋体" w:hAnsi="宋体" w:cs="宋体"/>
                <w:bCs/>
                <w:color w:val="auto"/>
                <w:szCs w:val="21"/>
                <w:highlight w:val="none"/>
              </w:rPr>
            </w:pPr>
          </w:p>
          <w:p w14:paraId="41F0A4ED">
            <w:pPr>
              <w:adjustRightInd w:val="0"/>
              <w:snapToGrid w:val="0"/>
              <w:jc w:val="center"/>
              <w:rPr>
                <w:rFonts w:ascii="宋体" w:hAnsi="宋体" w:cs="宋体"/>
                <w:bCs/>
                <w:color w:val="auto"/>
                <w:szCs w:val="21"/>
                <w:highlight w:val="none"/>
              </w:rPr>
            </w:pPr>
          </w:p>
          <w:p w14:paraId="47F3FC5A">
            <w:pPr>
              <w:adjustRightInd w:val="0"/>
              <w:snapToGrid w:val="0"/>
              <w:rPr>
                <w:rFonts w:ascii="宋体" w:hAnsi="宋体" w:cs="宋体"/>
                <w:bCs/>
                <w:color w:val="auto"/>
                <w:sz w:val="24"/>
                <w:highlight w:val="none"/>
              </w:rPr>
            </w:pPr>
          </w:p>
          <w:p w14:paraId="7624E3E1">
            <w:pPr>
              <w:adjustRightInd w:val="0"/>
              <w:snapToGrid w:val="0"/>
              <w:jc w:val="center"/>
              <w:rPr>
                <w:rFonts w:ascii="宋体" w:hAnsi="宋体" w:cs="宋体"/>
                <w:bCs/>
                <w:color w:val="auto"/>
                <w:sz w:val="24"/>
                <w:highlight w:val="none"/>
              </w:rPr>
            </w:pPr>
            <w:r>
              <w:rPr>
                <w:rFonts w:hint="eastAsia" w:ascii="宋体" w:hAnsi="宋体" w:cs="宋体"/>
                <w:bCs/>
                <w:color w:val="auto"/>
                <w:sz w:val="24"/>
                <w:highlight w:val="none"/>
              </w:rPr>
              <w:t>运营</w:t>
            </w:r>
          </w:p>
          <w:p w14:paraId="0047311E">
            <w:pPr>
              <w:adjustRightInd w:val="0"/>
              <w:snapToGrid w:val="0"/>
              <w:jc w:val="center"/>
              <w:rPr>
                <w:rFonts w:ascii="宋体" w:hAnsi="宋体" w:cs="宋体"/>
                <w:bCs/>
                <w:color w:val="auto"/>
                <w:sz w:val="24"/>
                <w:highlight w:val="none"/>
              </w:rPr>
            </w:pPr>
            <w:r>
              <w:rPr>
                <w:rFonts w:hint="eastAsia" w:ascii="宋体" w:hAnsi="宋体" w:cs="宋体"/>
                <w:bCs/>
                <w:color w:val="auto"/>
                <w:sz w:val="24"/>
                <w:highlight w:val="none"/>
              </w:rPr>
              <w:t>期环</w:t>
            </w:r>
          </w:p>
          <w:p w14:paraId="46340179">
            <w:pPr>
              <w:adjustRightInd w:val="0"/>
              <w:snapToGrid w:val="0"/>
              <w:jc w:val="center"/>
              <w:rPr>
                <w:rFonts w:ascii="宋体" w:hAnsi="宋体" w:cs="宋体"/>
                <w:bCs/>
                <w:color w:val="auto"/>
                <w:sz w:val="24"/>
                <w:highlight w:val="none"/>
              </w:rPr>
            </w:pPr>
            <w:r>
              <w:rPr>
                <w:rFonts w:hint="eastAsia" w:ascii="宋体" w:hAnsi="宋体" w:cs="宋体"/>
                <w:bCs/>
                <w:color w:val="auto"/>
                <w:sz w:val="24"/>
                <w:highlight w:val="none"/>
              </w:rPr>
              <w:t>境影</w:t>
            </w:r>
          </w:p>
          <w:p w14:paraId="542953ED">
            <w:pPr>
              <w:adjustRightInd w:val="0"/>
              <w:snapToGrid w:val="0"/>
              <w:jc w:val="center"/>
              <w:rPr>
                <w:rFonts w:ascii="宋体" w:hAnsi="宋体" w:cs="宋体"/>
                <w:bCs/>
                <w:color w:val="auto"/>
                <w:sz w:val="24"/>
                <w:highlight w:val="none"/>
              </w:rPr>
            </w:pPr>
            <w:r>
              <w:rPr>
                <w:rFonts w:hint="eastAsia" w:ascii="宋体" w:hAnsi="宋体" w:cs="宋体"/>
                <w:bCs/>
                <w:color w:val="auto"/>
                <w:sz w:val="24"/>
                <w:highlight w:val="none"/>
              </w:rPr>
              <w:t>响和</w:t>
            </w:r>
          </w:p>
          <w:p w14:paraId="50859293">
            <w:pPr>
              <w:adjustRightInd w:val="0"/>
              <w:snapToGrid w:val="0"/>
              <w:jc w:val="center"/>
              <w:rPr>
                <w:rFonts w:ascii="宋体" w:hAnsi="宋体" w:cs="宋体"/>
                <w:bCs/>
                <w:color w:val="auto"/>
                <w:sz w:val="24"/>
                <w:highlight w:val="none"/>
              </w:rPr>
            </w:pPr>
            <w:r>
              <w:rPr>
                <w:rFonts w:hint="eastAsia" w:ascii="宋体" w:hAnsi="宋体" w:cs="宋体"/>
                <w:bCs/>
                <w:color w:val="auto"/>
                <w:sz w:val="24"/>
                <w:highlight w:val="none"/>
              </w:rPr>
              <w:t>保护</w:t>
            </w:r>
          </w:p>
          <w:p w14:paraId="2F54E553">
            <w:pPr>
              <w:adjustRightInd w:val="0"/>
              <w:snapToGrid w:val="0"/>
              <w:jc w:val="center"/>
              <w:rPr>
                <w:rFonts w:ascii="宋体" w:hAnsi="宋体" w:cs="宋体"/>
                <w:bCs/>
                <w:color w:val="auto"/>
                <w:sz w:val="24"/>
                <w:highlight w:val="none"/>
              </w:rPr>
            </w:pPr>
            <w:r>
              <w:rPr>
                <w:rFonts w:hint="eastAsia" w:ascii="宋体" w:hAnsi="宋体" w:cs="宋体"/>
                <w:bCs/>
                <w:color w:val="auto"/>
                <w:sz w:val="24"/>
                <w:highlight w:val="none"/>
              </w:rPr>
              <w:t>措施</w:t>
            </w:r>
          </w:p>
          <w:p w14:paraId="66EE6569">
            <w:pPr>
              <w:adjustRightInd w:val="0"/>
              <w:snapToGrid w:val="0"/>
              <w:jc w:val="center"/>
              <w:rPr>
                <w:rFonts w:ascii="宋体" w:hAnsi="宋体" w:cs="宋体"/>
                <w:bCs/>
                <w:color w:val="auto"/>
                <w:szCs w:val="21"/>
                <w:highlight w:val="none"/>
              </w:rPr>
            </w:pPr>
          </w:p>
          <w:p w14:paraId="62B55930">
            <w:pPr>
              <w:adjustRightInd w:val="0"/>
              <w:snapToGrid w:val="0"/>
              <w:jc w:val="center"/>
              <w:rPr>
                <w:rFonts w:ascii="宋体" w:hAnsi="宋体" w:cs="宋体"/>
                <w:bCs/>
                <w:color w:val="auto"/>
                <w:szCs w:val="21"/>
                <w:highlight w:val="none"/>
              </w:rPr>
            </w:pPr>
          </w:p>
          <w:p w14:paraId="622B83CA">
            <w:pPr>
              <w:adjustRightInd w:val="0"/>
              <w:snapToGrid w:val="0"/>
              <w:jc w:val="center"/>
              <w:rPr>
                <w:rFonts w:ascii="宋体" w:hAnsi="宋体" w:cs="宋体"/>
                <w:bCs/>
                <w:color w:val="auto"/>
                <w:szCs w:val="21"/>
                <w:highlight w:val="none"/>
              </w:rPr>
            </w:pPr>
          </w:p>
          <w:p w14:paraId="3A6BD82A">
            <w:pPr>
              <w:adjustRightInd w:val="0"/>
              <w:snapToGrid w:val="0"/>
              <w:jc w:val="center"/>
              <w:rPr>
                <w:rFonts w:ascii="宋体" w:hAnsi="宋体" w:cs="宋体"/>
                <w:bCs/>
                <w:color w:val="auto"/>
                <w:szCs w:val="21"/>
                <w:highlight w:val="none"/>
              </w:rPr>
            </w:pPr>
          </w:p>
          <w:p w14:paraId="56509FCB">
            <w:pPr>
              <w:adjustRightInd w:val="0"/>
              <w:snapToGrid w:val="0"/>
              <w:jc w:val="center"/>
              <w:rPr>
                <w:rFonts w:ascii="宋体" w:hAnsi="宋体" w:cs="宋体"/>
                <w:bCs/>
                <w:color w:val="auto"/>
                <w:szCs w:val="21"/>
                <w:highlight w:val="none"/>
              </w:rPr>
            </w:pPr>
          </w:p>
          <w:p w14:paraId="6E0F1518">
            <w:pPr>
              <w:adjustRightInd w:val="0"/>
              <w:snapToGrid w:val="0"/>
              <w:jc w:val="center"/>
              <w:rPr>
                <w:rFonts w:ascii="宋体" w:hAnsi="宋体" w:cs="宋体"/>
                <w:bCs/>
                <w:color w:val="auto"/>
                <w:szCs w:val="21"/>
                <w:highlight w:val="none"/>
              </w:rPr>
            </w:pPr>
          </w:p>
          <w:p w14:paraId="53A93E91">
            <w:pPr>
              <w:adjustRightInd w:val="0"/>
              <w:snapToGrid w:val="0"/>
              <w:jc w:val="center"/>
              <w:rPr>
                <w:rFonts w:ascii="宋体" w:hAnsi="宋体" w:cs="宋体"/>
                <w:bCs/>
                <w:color w:val="auto"/>
                <w:szCs w:val="21"/>
                <w:highlight w:val="none"/>
              </w:rPr>
            </w:pPr>
          </w:p>
          <w:p w14:paraId="1ED21C77">
            <w:pPr>
              <w:adjustRightInd w:val="0"/>
              <w:snapToGrid w:val="0"/>
              <w:jc w:val="center"/>
              <w:rPr>
                <w:rFonts w:ascii="宋体" w:hAnsi="宋体" w:cs="宋体"/>
                <w:bCs/>
                <w:color w:val="auto"/>
                <w:szCs w:val="21"/>
                <w:highlight w:val="none"/>
              </w:rPr>
            </w:pPr>
          </w:p>
          <w:p w14:paraId="7D9AC842">
            <w:pPr>
              <w:adjustRightInd w:val="0"/>
              <w:snapToGrid w:val="0"/>
              <w:jc w:val="center"/>
              <w:rPr>
                <w:rFonts w:ascii="宋体" w:hAnsi="宋体" w:cs="宋体"/>
                <w:bCs/>
                <w:color w:val="auto"/>
                <w:szCs w:val="21"/>
                <w:highlight w:val="none"/>
              </w:rPr>
            </w:pPr>
          </w:p>
          <w:p w14:paraId="360193AC">
            <w:pPr>
              <w:adjustRightInd w:val="0"/>
              <w:snapToGrid w:val="0"/>
              <w:jc w:val="center"/>
              <w:rPr>
                <w:rFonts w:ascii="宋体" w:hAnsi="宋体" w:cs="宋体"/>
                <w:bCs/>
                <w:color w:val="auto"/>
                <w:szCs w:val="21"/>
                <w:highlight w:val="none"/>
              </w:rPr>
            </w:pPr>
          </w:p>
          <w:p w14:paraId="758B0586">
            <w:pPr>
              <w:adjustRightInd w:val="0"/>
              <w:snapToGrid w:val="0"/>
              <w:jc w:val="center"/>
              <w:rPr>
                <w:rFonts w:ascii="宋体" w:hAnsi="宋体" w:cs="宋体"/>
                <w:bCs/>
                <w:color w:val="auto"/>
                <w:szCs w:val="21"/>
                <w:highlight w:val="none"/>
              </w:rPr>
            </w:pPr>
          </w:p>
          <w:p w14:paraId="715FCFED">
            <w:pPr>
              <w:adjustRightInd w:val="0"/>
              <w:snapToGrid w:val="0"/>
              <w:jc w:val="center"/>
              <w:rPr>
                <w:rFonts w:ascii="宋体" w:hAnsi="宋体" w:cs="宋体"/>
                <w:bCs/>
                <w:color w:val="auto"/>
                <w:szCs w:val="21"/>
                <w:highlight w:val="none"/>
              </w:rPr>
            </w:pPr>
          </w:p>
          <w:p w14:paraId="03B8A6D2">
            <w:pPr>
              <w:adjustRightInd w:val="0"/>
              <w:snapToGrid w:val="0"/>
              <w:jc w:val="center"/>
              <w:rPr>
                <w:rFonts w:ascii="宋体" w:hAnsi="宋体" w:cs="宋体"/>
                <w:bCs/>
                <w:color w:val="auto"/>
                <w:szCs w:val="21"/>
                <w:highlight w:val="none"/>
              </w:rPr>
            </w:pPr>
          </w:p>
          <w:p w14:paraId="5DE4732B">
            <w:pPr>
              <w:adjustRightInd w:val="0"/>
              <w:snapToGrid w:val="0"/>
              <w:jc w:val="center"/>
              <w:rPr>
                <w:rFonts w:ascii="宋体" w:hAnsi="宋体" w:cs="宋体"/>
                <w:bCs/>
                <w:color w:val="auto"/>
                <w:szCs w:val="21"/>
                <w:highlight w:val="none"/>
              </w:rPr>
            </w:pPr>
          </w:p>
          <w:p w14:paraId="20233142">
            <w:pPr>
              <w:adjustRightInd w:val="0"/>
              <w:snapToGrid w:val="0"/>
              <w:jc w:val="center"/>
              <w:rPr>
                <w:rFonts w:ascii="宋体" w:hAnsi="宋体" w:cs="宋体"/>
                <w:bCs/>
                <w:color w:val="auto"/>
                <w:szCs w:val="21"/>
                <w:highlight w:val="none"/>
              </w:rPr>
            </w:pPr>
          </w:p>
          <w:p w14:paraId="01257564">
            <w:pPr>
              <w:adjustRightInd w:val="0"/>
              <w:snapToGrid w:val="0"/>
              <w:jc w:val="center"/>
              <w:rPr>
                <w:rFonts w:ascii="宋体" w:hAnsi="宋体" w:cs="宋体"/>
                <w:bCs/>
                <w:color w:val="auto"/>
                <w:szCs w:val="21"/>
                <w:highlight w:val="none"/>
              </w:rPr>
            </w:pPr>
          </w:p>
          <w:p w14:paraId="15152A96">
            <w:pPr>
              <w:adjustRightInd w:val="0"/>
              <w:snapToGrid w:val="0"/>
              <w:jc w:val="center"/>
              <w:rPr>
                <w:rFonts w:ascii="宋体" w:hAnsi="宋体" w:cs="宋体"/>
                <w:bCs/>
                <w:color w:val="auto"/>
                <w:szCs w:val="21"/>
                <w:highlight w:val="none"/>
              </w:rPr>
            </w:pPr>
          </w:p>
          <w:p w14:paraId="680F8B3E">
            <w:pPr>
              <w:adjustRightInd w:val="0"/>
              <w:snapToGrid w:val="0"/>
              <w:jc w:val="center"/>
              <w:rPr>
                <w:rFonts w:ascii="宋体" w:hAnsi="宋体" w:cs="宋体"/>
                <w:bCs/>
                <w:color w:val="auto"/>
                <w:szCs w:val="21"/>
                <w:highlight w:val="none"/>
              </w:rPr>
            </w:pPr>
          </w:p>
          <w:p w14:paraId="375DAB31">
            <w:pPr>
              <w:adjustRightInd w:val="0"/>
              <w:snapToGrid w:val="0"/>
              <w:jc w:val="center"/>
              <w:rPr>
                <w:rFonts w:ascii="宋体" w:hAnsi="宋体" w:cs="宋体"/>
                <w:bCs/>
                <w:color w:val="auto"/>
                <w:szCs w:val="21"/>
                <w:highlight w:val="none"/>
              </w:rPr>
            </w:pPr>
          </w:p>
          <w:p w14:paraId="1F7D5AE8">
            <w:pPr>
              <w:adjustRightInd w:val="0"/>
              <w:snapToGrid w:val="0"/>
              <w:jc w:val="center"/>
              <w:rPr>
                <w:rFonts w:ascii="宋体" w:hAnsi="宋体" w:cs="宋体"/>
                <w:bCs/>
                <w:color w:val="auto"/>
                <w:szCs w:val="21"/>
                <w:highlight w:val="none"/>
              </w:rPr>
            </w:pPr>
          </w:p>
          <w:p w14:paraId="27154389">
            <w:pPr>
              <w:adjustRightInd w:val="0"/>
              <w:snapToGrid w:val="0"/>
              <w:jc w:val="center"/>
              <w:rPr>
                <w:rFonts w:ascii="宋体" w:hAnsi="宋体" w:cs="宋体"/>
                <w:bCs/>
                <w:color w:val="auto"/>
                <w:szCs w:val="21"/>
                <w:highlight w:val="none"/>
              </w:rPr>
            </w:pPr>
          </w:p>
          <w:p w14:paraId="75CC9CA8">
            <w:pPr>
              <w:adjustRightInd w:val="0"/>
              <w:snapToGrid w:val="0"/>
              <w:jc w:val="center"/>
              <w:rPr>
                <w:rFonts w:ascii="宋体" w:hAnsi="宋体" w:cs="宋体"/>
                <w:bCs/>
                <w:color w:val="auto"/>
                <w:szCs w:val="21"/>
                <w:highlight w:val="none"/>
              </w:rPr>
            </w:pPr>
          </w:p>
          <w:p w14:paraId="45A2DA95">
            <w:pPr>
              <w:adjustRightInd w:val="0"/>
              <w:snapToGrid w:val="0"/>
              <w:jc w:val="center"/>
              <w:rPr>
                <w:rFonts w:ascii="宋体" w:hAnsi="宋体" w:cs="宋体"/>
                <w:bCs/>
                <w:color w:val="auto"/>
                <w:szCs w:val="21"/>
                <w:highlight w:val="none"/>
              </w:rPr>
            </w:pPr>
          </w:p>
          <w:p w14:paraId="13A86238">
            <w:pPr>
              <w:adjustRightInd w:val="0"/>
              <w:snapToGrid w:val="0"/>
              <w:jc w:val="center"/>
              <w:rPr>
                <w:rFonts w:ascii="宋体" w:hAnsi="宋体" w:cs="宋体"/>
                <w:bCs/>
                <w:color w:val="auto"/>
                <w:szCs w:val="21"/>
                <w:highlight w:val="none"/>
              </w:rPr>
            </w:pPr>
          </w:p>
          <w:p w14:paraId="3DCCBAE3">
            <w:pPr>
              <w:adjustRightInd w:val="0"/>
              <w:snapToGrid w:val="0"/>
              <w:jc w:val="center"/>
              <w:rPr>
                <w:rFonts w:ascii="宋体" w:hAnsi="宋体" w:cs="宋体"/>
                <w:bCs/>
                <w:color w:val="auto"/>
                <w:szCs w:val="21"/>
                <w:highlight w:val="none"/>
              </w:rPr>
            </w:pPr>
          </w:p>
          <w:p w14:paraId="722A674F">
            <w:pPr>
              <w:adjustRightInd w:val="0"/>
              <w:snapToGrid w:val="0"/>
              <w:jc w:val="center"/>
              <w:rPr>
                <w:rFonts w:ascii="宋体" w:hAnsi="宋体" w:cs="宋体"/>
                <w:bCs/>
                <w:color w:val="auto"/>
                <w:szCs w:val="21"/>
                <w:highlight w:val="none"/>
              </w:rPr>
            </w:pPr>
          </w:p>
          <w:p w14:paraId="5FCA4186">
            <w:pPr>
              <w:adjustRightInd w:val="0"/>
              <w:snapToGrid w:val="0"/>
              <w:jc w:val="center"/>
              <w:rPr>
                <w:rFonts w:ascii="宋体" w:hAnsi="宋体" w:cs="宋体"/>
                <w:bCs/>
                <w:color w:val="auto"/>
                <w:szCs w:val="21"/>
                <w:highlight w:val="none"/>
              </w:rPr>
            </w:pPr>
          </w:p>
          <w:p w14:paraId="6D40AD62">
            <w:pPr>
              <w:adjustRightInd w:val="0"/>
              <w:snapToGrid w:val="0"/>
              <w:jc w:val="center"/>
              <w:rPr>
                <w:rFonts w:ascii="宋体" w:hAnsi="宋体" w:cs="宋体"/>
                <w:bCs/>
                <w:color w:val="auto"/>
                <w:szCs w:val="21"/>
                <w:highlight w:val="none"/>
              </w:rPr>
            </w:pPr>
          </w:p>
          <w:p w14:paraId="65488488">
            <w:pPr>
              <w:adjustRightInd w:val="0"/>
              <w:snapToGrid w:val="0"/>
              <w:jc w:val="center"/>
              <w:rPr>
                <w:rFonts w:ascii="宋体" w:hAnsi="宋体" w:cs="宋体"/>
                <w:bCs/>
                <w:color w:val="auto"/>
                <w:szCs w:val="21"/>
                <w:highlight w:val="none"/>
              </w:rPr>
            </w:pPr>
          </w:p>
          <w:p w14:paraId="2A114008">
            <w:pPr>
              <w:adjustRightInd w:val="0"/>
              <w:snapToGrid w:val="0"/>
              <w:jc w:val="center"/>
              <w:rPr>
                <w:rFonts w:ascii="宋体" w:hAnsi="宋体" w:cs="宋体"/>
                <w:bCs/>
                <w:color w:val="auto"/>
                <w:szCs w:val="21"/>
                <w:highlight w:val="none"/>
              </w:rPr>
            </w:pPr>
          </w:p>
          <w:p w14:paraId="72D23896">
            <w:pPr>
              <w:adjustRightInd w:val="0"/>
              <w:snapToGrid w:val="0"/>
              <w:jc w:val="center"/>
              <w:rPr>
                <w:rFonts w:ascii="宋体" w:hAnsi="宋体" w:cs="宋体"/>
                <w:bCs/>
                <w:color w:val="auto"/>
                <w:szCs w:val="21"/>
                <w:highlight w:val="none"/>
              </w:rPr>
            </w:pPr>
          </w:p>
          <w:p w14:paraId="05D1CFDA">
            <w:pPr>
              <w:adjustRightInd w:val="0"/>
              <w:snapToGrid w:val="0"/>
              <w:jc w:val="center"/>
              <w:rPr>
                <w:rFonts w:ascii="宋体" w:hAnsi="宋体" w:cs="宋体"/>
                <w:bCs/>
                <w:color w:val="auto"/>
                <w:szCs w:val="21"/>
                <w:highlight w:val="none"/>
              </w:rPr>
            </w:pPr>
          </w:p>
          <w:p w14:paraId="5D1F8D53">
            <w:pPr>
              <w:adjustRightInd w:val="0"/>
              <w:snapToGrid w:val="0"/>
              <w:jc w:val="center"/>
              <w:rPr>
                <w:rFonts w:ascii="宋体" w:hAnsi="宋体" w:cs="宋体"/>
                <w:bCs/>
                <w:color w:val="auto"/>
                <w:szCs w:val="21"/>
                <w:highlight w:val="none"/>
              </w:rPr>
            </w:pPr>
          </w:p>
          <w:p w14:paraId="1E7D8CA9">
            <w:pPr>
              <w:adjustRightInd w:val="0"/>
              <w:snapToGrid w:val="0"/>
              <w:jc w:val="center"/>
              <w:rPr>
                <w:rFonts w:ascii="宋体" w:hAnsi="宋体" w:cs="宋体"/>
                <w:bCs/>
                <w:color w:val="auto"/>
                <w:szCs w:val="21"/>
                <w:highlight w:val="none"/>
              </w:rPr>
            </w:pPr>
          </w:p>
          <w:p w14:paraId="5189EB43">
            <w:pPr>
              <w:adjustRightInd w:val="0"/>
              <w:snapToGrid w:val="0"/>
              <w:jc w:val="center"/>
              <w:rPr>
                <w:rFonts w:ascii="宋体" w:hAnsi="宋体" w:cs="宋体"/>
                <w:bCs/>
                <w:color w:val="auto"/>
                <w:szCs w:val="21"/>
                <w:highlight w:val="none"/>
              </w:rPr>
            </w:pPr>
          </w:p>
          <w:p w14:paraId="33134833">
            <w:pPr>
              <w:adjustRightInd w:val="0"/>
              <w:snapToGrid w:val="0"/>
              <w:rPr>
                <w:rFonts w:ascii="宋体" w:hAnsi="宋体" w:cs="宋体"/>
                <w:bCs/>
                <w:color w:val="auto"/>
                <w:szCs w:val="21"/>
                <w:highlight w:val="none"/>
              </w:rPr>
            </w:pPr>
          </w:p>
          <w:p w14:paraId="05C5A4B9">
            <w:pPr>
              <w:adjustRightInd w:val="0"/>
              <w:snapToGrid w:val="0"/>
              <w:jc w:val="center"/>
              <w:rPr>
                <w:rFonts w:ascii="宋体" w:hAnsi="宋体" w:cs="宋体"/>
                <w:bCs/>
                <w:color w:val="auto"/>
                <w:sz w:val="24"/>
                <w:highlight w:val="none"/>
              </w:rPr>
            </w:pPr>
          </w:p>
          <w:p w14:paraId="0A4CF8AB">
            <w:pPr>
              <w:adjustRightInd w:val="0"/>
              <w:snapToGrid w:val="0"/>
              <w:jc w:val="center"/>
              <w:rPr>
                <w:rFonts w:ascii="宋体" w:hAnsi="宋体" w:cs="宋体"/>
                <w:bCs/>
                <w:color w:val="auto"/>
                <w:sz w:val="24"/>
                <w:highlight w:val="none"/>
              </w:rPr>
            </w:pPr>
          </w:p>
          <w:p w14:paraId="45EC7915">
            <w:pPr>
              <w:adjustRightInd w:val="0"/>
              <w:snapToGrid w:val="0"/>
              <w:jc w:val="center"/>
              <w:rPr>
                <w:rFonts w:ascii="宋体" w:hAnsi="宋体" w:cs="宋体"/>
                <w:bCs/>
                <w:color w:val="auto"/>
                <w:sz w:val="24"/>
                <w:highlight w:val="none"/>
              </w:rPr>
            </w:pPr>
          </w:p>
          <w:p w14:paraId="1BEE06FA">
            <w:pPr>
              <w:adjustRightInd w:val="0"/>
              <w:snapToGrid w:val="0"/>
              <w:jc w:val="center"/>
              <w:rPr>
                <w:rFonts w:ascii="宋体" w:hAnsi="宋体" w:cs="宋体"/>
                <w:bCs/>
                <w:color w:val="auto"/>
                <w:sz w:val="24"/>
                <w:highlight w:val="none"/>
              </w:rPr>
            </w:pPr>
          </w:p>
          <w:p w14:paraId="158E7153">
            <w:pPr>
              <w:adjustRightInd w:val="0"/>
              <w:snapToGrid w:val="0"/>
              <w:jc w:val="center"/>
              <w:rPr>
                <w:rFonts w:ascii="宋体" w:hAnsi="宋体" w:cs="宋体"/>
                <w:bCs/>
                <w:color w:val="auto"/>
                <w:sz w:val="24"/>
                <w:highlight w:val="none"/>
              </w:rPr>
            </w:pPr>
            <w:r>
              <w:rPr>
                <w:rFonts w:hint="eastAsia" w:ascii="宋体" w:hAnsi="宋体" w:cs="宋体"/>
                <w:bCs/>
                <w:color w:val="auto"/>
                <w:sz w:val="24"/>
                <w:highlight w:val="none"/>
              </w:rPr>
              <w:t>运营</w:t>
            </w:r>
          </w:p>
          <w:p w14:paraId="149E4217">
            <w:pPr>
              <w:adjustRightInd w:val="0"/>
              <w:snapToGrid w:val="0"/>
              <w:jc w:val="center"/>
              <w:rPr>
                <w:rFonts w:ascii="宋体" w:hAnsi="宋体" w:cs="宋体"/>
                <w:bCs/>
                <w:color w:val="auto"/>
                <w:sz w:val="24"/>
                <w:highlight w:val="none"/>
              </w:rPr>
            </w:pPr>
            <w:r>
              <w:rPr>
                <w:rFonts w:hint="eastAsia" w:ascii="宋体" w:hAnsi="宋体" w:cs="宋体"/>
                <w:bCs/>
                <w:color w:val="auto"/>
                <w:sz w:val="24"/>
                <w:highlight w:val="none"/>
              </w:rPr>
              <w:t>期环</w:t>
            </w:r>
          </w:p>
          <w:p w14:paraId="165A2408">
            <w:pPr>
              <w:adjustRightInd w:val="0"/>
              <w:snapToGrid w:val="0"/>
              <w:jc w:val="center"/>
              <w:rPr>
                <w:rFonts w:ascii="宋体" w:hAnsi="宋体" w:cs="宋体"/>
                <w:bCs/>
                <w:color w:val="auto"/>
                <w:sz w:val="24"/>
                <w:highlight w:val="none"/>
              </w:rPr>
            </w:pPr>
            <w:r>
              <w:rPr>
                <w:rFonts w:hint="eastAsia" w:ascii="宋体" w:hAnsi="宋体" w:cs="宋体"/>
                <w:bCs/>
                <w:color w:val="auto"/>
                <w:sz w:val="24"/>
                <w:highlight w:val="none"/>
              </w:rPr>
              <w:t>境影</w:t>
            </w:r>
          </w:p>
          <w:p w14:paraId="1B24F8D0">
            <w:pPr>
              <w:adjustRightInd w:val="0"/>
              <w:snapToGrid w:val="0"/>
              <w:jc w:val="center"/>
              <w:rPr>
                <w:rFonts w:ascii="宋体" w:hAnsi="宋体" w:cs="宋体"/>
                <w:bCs/>
                <w:color w:val="auto"/>
                <w:sz w:val="24"/>
                <w:highlight w:val="none"/>
              </w:rPr>
            </w:pPr>
            <w:r>
              <w:rPr>
                <w:rFonts w:hint="eastAsia" w:ascii="宋体" w:hAnsi="宋体" w:cs="宋体"/>
                <w:bCs/>
                <w:color w:val="auto"/>
                <w:sz w:val="24"/>
                <w:highlight w:val="none"/>
              </w:rPr>
              <w:t>响和</w:t>
            </w:r>
          </w:p>
          <w:p w14:paraId="7469F5FD">
            <w:pPr>
              <w:adjustRightInd w:val="0"/>
              <w:snapToGrid w:val="0"/>
              <w:jc w:val="center"/>
              <w:rPr>
                <w:rFonts w:ascii="宋体" w:hAnsi="宋体" w:cs="宋体"/>
                <w:bCs/>
                <w:color w:val="auto"/>
                <w:sz w:val="24"/>
                <w:highlight w:val="none"/>
              </w:rPr>
            </w:pPr>
            <w:r>
              <w:rPr>
                <w:rFonts w:hint="eastAsia" w:ascii="宋体" w:hAnsi="宋体" w:cs="宋体"/>
                <w:bCs/>
                <w:color w:val="auto"/>
                <w:sz w:val="24"/>
                <w:highlight w:val="none"/>
              </w:rPr>
              <w:t>保护</w:t>
            </w:r>
          </w:p>
          <w:p w14:paraId="200ECE1E">
            <w:pPr>
              <w:adjustRightInd w:val="0"/>
              <w:snapToGrid w:val="0"/>
              <w:jc w:val="center"/>
              <w:rPr>
                <w:rFonts w:ascii="宋体" w:hAnsi="宋体" w:cs="宋体"/>
                <w:bCs/>
                <w:color w:val="auto"/>
                <w:sz w:val="24"/>
                <w:highlight w:val="none"/>
              </w:rPr>
            </w:pPr>
            <w:r>
              <w:rPr>
                <w:rFonts w:hint="eastAsia" w:ascii="宋体" w:hAnsi="宋体" w:cs="宋体"/>
                <w:bCs/>
                <w:color w:val="auto"/>
                <w:sz w:val="24"/>
                <w:highlight w:val="none"/>
              </w:rPr>
              <w:t>措施</w:t>
            </w:r>
          </w:p>
          <w:p w14:paraId="73061B41">
            <w:pPr>
              <w:adjustRightInd w:val="0"/>
              <w:snapToGrid w:val="0"/>
              <w:jc w:val="center"/>
              <w:rPr>
                <w:rFonts w:ascii="宋体" w:hAnsi="宋体" w:cs="宋体"/>
                <w:bCs/>
                <w:color w:val="auto"/>
                <w:szCs w:val="21"/>
                <w:highlight w:val="none"/>
              </w:rPr>
            </w:pPr>
          </w:p>
          <w:p w14:paraId="4C507BF5">
            <w:pPr>
              <w:adjustRightInd w:val="0"/>
              <w:snapToGrid w:val="0"/>
              <w:jc w:val="center"/>
              <w:rPr>
                <w:rFonts w:ascii="宋体" w:hAnsi="宋体" w:cs="宋体"/>
                <w:bCs/>
                <w:color w:val="auto"/>
                <w:szCs w:val="21"/>
                <w:highlight w:val="none"/>
              </w:rPr>
            </w:pPr>
          </w:p>
          <w:p w14:paraId="46B03CD9">
            <w:pPr>
              <w:adjustRightInd w:val="0"/>
              <w:snapToGrid w:val="0"/>
              <w:jc w:val="center"/>
              <w:rPr>
                <w:rFonts w:ascii="宋体" w:hAnsi="宋体" w:cs="宋体"/>
                <w:bCs/>
                <w:color w:val="auto"/>
                <w:szCs w:val="21"/>
                <w:highlight w:val="none"/>
              </w:rPr>
            </w:pPr>
          </w:p>
          <w:p w14:paraId="721B1850">
            <w:pPr>
              <w:adjustRightInd w:val="0"/>
              <w:snapToGrid w:val="0"/>
              <w:jc w:val="center"/>
              <w:rPr>
                <w:rFonts w:ascii="宋体" w:hAnsi="宋体" w:cs="宋体"/>
                <w:bCs/>
                <w:color w:val="auto"/>
                <w:szCs w:val="21"/>
                <w:highlight w:val="none"/>
              </w:rPr>
            </w:pPr>
          </w:p>
          <w:p w14:paraId="148099D8">
            <w:pPr>
              <w:adjustRightInd w:val="0"/>
              <w:snapToGrid w:val="0"/>
              <w:jc w:val="center"/>
              <w:rPr>
                <w:rFonts w:ascii="宋体" w:hAnsi="宋体" w:cs="宋体"/>
                <w:bCs/>
                <w:color w:val="auto"/>
                <w:szCs w:val="21"/>
                <w:highlight w:val="none"/>
              </w:rPr>
            </w:pPr>
          </w:p>
          <w:p w14:paraId="249AB2C9">
            <w:pPr>
              <w:adjustRightInd w:val="0"/>
              <w:snapToGrid w:val="0"/>
              <w:jc w:val="center"/>
              <w:rPr>
                <w:rFonts w:ascii="宋体" w:hAnsi="宋体" w:cs="宋体"/>
                <w:bCs/>
                <w:color w:val="auto"/>
                <w:szCs w:val="21"/>
                <w:highlight w:val="none"/>
              </w:rPr>
            </w:pPr>
          </w:p>
          <w:p w14:paraId="5DC98F27">
            <w:pPr>
              <w:adjustRightInd w:val="0"/>
              <w:snapToGrid w:val="0"/>
              <w:jc w:val="center"/>
              <w:rPr>
                <w:rFonts w:ascii="宋体" w:hAnsi="宋体" w:cs="宋体"/>
                <w:bCs/>
                <w:color w:val="auto"/>
                <w:szCs w:val="21"/>
                <w:highlight w:val="none"/>
              </w:rPr>
            </w:pPr>
          </w:p>
          <w:p w14:paraId="1885A59C">
            <w:pPr>
              <w:adjustRightInd w:val="0"/>
              <w:snapToGrid w:val="0"/>
              <w:jc w:val="center"/>
              <w:rPr>
                <w:rFonts w:ascii="宋体" w:hAnsi="宋体" w:cs="宋体"/>
                <w:bCs/>
                <w:color w:val="auto"/>
                <w:szCs w:val="21"/>
                <w:highlight w:val="none"/>
              </w:rPr>
            </w:pPr>
          </w:p>
          <w:p w14:paraId="5A2F0E5D">
            <w:pPr>
              <w:adjustRightInd w:val="0"/>
              <w:snapToGrid w:val="0"/>
              <w:jc w:val="center"/>
              <w:rPr>
                <w:rFonts w:ascii="宋体" w:hAnsi="宋体" w:cs="宋体"/>
                <w:bCs/>
                <w:color w:val="auto"/>
                <w:szCs w:val="21"/>
                <w:highlight w:val="none"/>
              </w:rPr>
            </w:pPr>
          </w:p>
          <w:p w14:paraId="5A46E491">
            <w:pPr>
              <w:adjustRightInd w:val="0"/>
              <w:snapToGrid w:val="0"/>
              <w:jc w:val="center"/>
              <w:rPr>
                <w:rFonts w:ascii="宋体" w:hAnsi="宋体" w:cs="宋体"/>
                <w:bCs/>
                <w:color w:val="auto"/>
                <w:szCs w:val="21"/>
                <w:highlight w:val="none"/>
              </w:rPr>
            </w:pPr>
          </w:p>
          <w:p w14:paraId="6CBB8642">
            <w:pPr>
              <w:adjustRightInd w:val="0"/>
              <w:snapToGrid w:val="0"/>
              <w:jc w:val="center"/>
              <w:rPr>
                <w:rFonts w:ascii="宋体" w:hAnsi="宋体" w:cs="宋体"/>
                <w:bCs/>
                <w:color w:val="auto"/>
                <w:szCs w:val="21"/>
                <w:highlight w:val="none"/>
              </w:rPr>
            </w:pPr>
          </w:p>
          <w:p w14:paraId="711A8E48">
            <w:pPr>
              <w:adjustRightInd w:val="0"/>
              <w:snapToGrid w:val="0"/>
              <w:jc w:val="center"/>
              <w:rPr>
                <w:rFonts w:ascii="宋体" w:hAnsi="宋体" w:cs="宋体"/>
                <w:bCs/>
                <w:color w:val="auto"/>
                <w:szCs w:val="21"/>
                <w:highlight w:val="none"/>
              </w:rPr>
            </w:pPr>
          </w:p>
          <w:p w14:paraId="22D1472F">
            <w:pPr>
              <w:adjustRightInd w:val="0"/>
              <w:snapToGrid w:val="0"/>
              <w:jc w:val="center"/>
              <w:rPr>
                <w:rFonts w:ascii="宋体" w:hAnsi="宋体" w:cs="宋体"/>
                <w:bCs/>
                <w:color w:val="auto"/>
                <w:szCs w:val="21"/>
                <w:highlight w:val="none"/>
              </w:rPr>
            </w:pPr>
          </w:p>
          <w:p w14:paraId="51A4A69F">
            <w:pPr>
              <w:adjustRightInd w:val="0"/>
              <w:snapToGrid w:val="0"/>
              <w:jc w:val="center"/>
              <w:rPr>
                <w:rFonts w:ascii="宋体" w:hAnsi="宋体" w:cs="宋体"/>
                <w:bCs/>
                <w:color w:val="auto"/>
                <w:szCs w:val="21"/>
                <w:highlight w:val="none"/>
              </w:rPr>
            </w:pPr>
          </w:p>
          <w:p w14:paraId="349905B8">
            <w:pPr>
              <w:adjustRightInd w:val="0"/>
              <w:snapToGrid w:val="0"/>
              <w:jc w:val="center"/>
              <w:rPr>
                <w:rFonts w:ascii="宋体" w:hAnsi="宋体" w:cs="宋体"/>
                <w:bCs/>
                <w:color w:val="auto"/>
                <w:szCs w:val="21"/>
                <w:highlight w:val="none"/>
              </w:rPr>
            </w:pPr>
          </w:p>
          <w:p w14:paraId="6D7D2328">
            <w:pPr>
              <w:adjustRightInd w:val="0"/>
              <w:snapToGrid w:val="0"/>
              <w:jc w:val="center"/>
              <w:rPr>
                <w:rFonts w:ascii="宋体" w:hAnsi="宋体" w:cs="宋体"/>
                <w:bCs/>
                <w:color w:val="auto"/>
                <w:szCs w:val="21"/>
                <w:highlight w:val="none"/>
              </w:rPr>
            </w:pPr>
          </w:p>
          <w:p w14:paraId="74BAA206">
            <w:pPr>
              <w:adjustRightInd w:val="0"/>
              <w:snapToGrid w:val="0"/>
              <w:jc w:val="center"/>
              <w:rPr>
                <w:rFonts w:ascii="宋体" w:hAnsi="宋体" w:cs="宋体"/>
                <w:bCs/>
                <w:color w:val="auto"/>
                <w:szCs w:val="21"/>
                <w:highlight w:val="none"/>
              </w:rPr>
            </w:pPr>
          </w:p>
          <w:p w14:paraId="36E6C0FB">
            <w:pPr>
              <w:adjustRightInd w:val="0"/>
              <w:snapToGrid w:val="0"/>
              <w:jc w:val="center"/>
              <w:rPr>
                <w:rFonts w:ascii="宋体" w:hAnsi="宋体" w:cs="宋体"/>
                <w:bCs/>
                <w:color w:val="auto"/>
                <w:szCs w:val="21"/>
                <w:highlight w:val="none"/>
              </w:rPr>
            </w:pPr>
          </w:p>
          <w:p w14:paraId="4D864050">
            <w:pPr>
              <w:adjustRightInd w:val="0"/>
              <w:snapToGrid w:val="0"/>
              <w:jc w:val="center"/>
              <w:rPr>
                <w:rFonts w:ascii="宋体" w:hAnsi="宋体" w:cs="宋体"/>
                <w:bCs/>
                <w:color w:val="auto"/>
                <w:szCs w:val="21"/>
                <w:highlight w:val="none"/>
              </w:rPr>
            </w:pPr>
          </w:p>
          <w:p w14:paraId="325E22D1">
            <w:pPr>
              <w:adjustRightInd w:val="0"/>
              <w:snapToGrid w:val="0"/>
              <w:jc w:val="center"/>
              <w:rPr>
                <w:rFonts w:ascii="宋体" w:hAnsi="宋体" w:cs="宋体"/>
                <w:bCs/>
                <w:color w:val="auto"/>
                <w:szCs w:val="21"/>
                <w:highlight w:val="none"/>
              </w:rPr>
            </w:pPr>
          </w:p>
          <w:p w14:paraId="606A7906">
            <w:pPr>
              <w:adjustRightInd w:val="0"/>
              <w:snapToGrid w:val="0"/>
              <w:jc w:val="center"/>
              <w:rPr>
                <w:rFonts w:ascii="宋体" w:hAnsi="宋体" w:cs="宋体"/>
                <w:bCs/>
                <w:color w:val="auto"/>
                <w:szCs w:val="21"/>
                <w:highlight w:val="none"/>
              </w:rPr>
            </w:pPr>
          </w:p>
          <w:p w14:paraId="6FB1D7DC">
            <w:pPr>
              <w:adjustRightInd w:val="0"/>
              <w:snapToGrid w:val="0"/>
              <w:jc w:val="center"/>
              <w:rPr>
                <w:rFonts w:ascii="宋体" w:hAnsi="宋体" w:cs="宋体"/>
                <w:bCs/>
                <w:color w:val="auto"/>
                <w:szCs w:val="21"/>
                <w:highlight w:val="none"/>
              </w:rPr>
            </w:pPr>
          </w:p>
          <w:p w14:paraId="14B2F65B">
            <w:pPr>
              <w:adjustRightInd w:val="0"/>
              <w:snapToGrid w:val="0"/>
              <w:jc w:val="center"/>
              <w:rPr>
                <w:rFonts w:ascii="宋体" w:hAnsi="宋体" w:cs="宋体"/>
                <w:bCs/>
                <w:color w:val="auto"/>
                <w:szCs w:val="21"/>
                <w:highlight w:val="none"/>
              </w:rPr>
            </w:pPr>
          </w:p>
          <w:p w14:paraId="30A1B609">
            <w:pPr>
              <w:adjustRightInd w:val="0"/>
              <w:snapToGrid w:val="0"/>
              <w:jc w:val="center"/>
              <w:rPr>
                <w:rFonts w:ascii="宋体" w:hAnsi="宋体" w:cs="宋体"/>
                <w:bCs/>
                <w:color w:val="auto"/>
                <w:szCs w:val="21"/>
                <w:highlight w:val="none"/>
              </w:rPr>
            </w:pPr>
          </w:p>
          <w:p w14:paraId="46D13ADB">
            <w:pPr>
              <w:adjustRightInd w:val="0"/>
              <w:snapToGrid w:val="0"/>
              <w:jc w:val="center"/>
              <w:rPr>
                <w:rFonts w:ascii="宋体" w:hAnsi="宋体" w:cs="宋体"/>
                <w:bCs/>
                <w:color w:val="auto"/>
                <w:szCs w:val="21"/>
                <w:highlight w:val="none"/>
              </w:rPr>
            </w:pPr>
          </w:p>
          <w:p w14:paraId="63CBB740">
            <w:pPr>
              <w:adjustRightInd w:val="0"/>
              <w:snapToGrid w:val="0"/>
              <w:jc w:val="center"/>
              <w:rPr>
                <w:rFonts w:ascii="宋体" w:hAnsi="宋体" w:cs="宋体"/>
                <w:bCs/>
                <w:color w:val="auto"/>
                <w:szCs w:val="21"/>
                <w:highlight w:val="none"/>
              </w:rPr>
            </w:pPr>
          </w:p>
          <w:p w14:paraId="19420E55">
            <w:pPr>
              <w:adjustRightInd w:val="0"/>
              <w:snapToGrid w:val="0"/>
              <w:rPr>
                <w:rFonts w:ascii="宋体" w:hAnsi="宋体" w:cs="宋体"/>
                <w:bCs/>
                <w:color w:val="auto"/>
                <w:szCs w:val="21"/>
                <w:highlight w:val="none"/>
              </w:rPr>
            </w:pPr>
          </w:p>
          <w:p w14:paraId="162CA4EE">
            <w:pPr>
              <w:pStyle w:val="46"/>
              <w:rPr>
                <w:rFonts w:hAnsi="宋体"/>
                <w:bCs/>
                <w:color w:val="auto"/>
                <w:szCs w:val="21"/>
                <w:highlight w:val="none"/>
              </w:rPr>
            </w:pPr>
          </w:p>
          <w:p w14:paraId="49BFEDF7">
            <w:pPr>
              <w:pStyle w:val="46"/>
              <w:rPr>
                <w:rFonts w:hAnsi="宋体"/>
                <w:bCs/>
                <w:color w:val="auto"/>
                <w:szCs w:val="21"/>
                <w:highlight w:val="none"/>
              </w:rPr>
            </w:pPr>
          </w:p>
          <w:p w14:paraId="6318FCB6">
            <w:pPr>
              <w:pStyle w:val="46"/>
              <w:rPr>
                <w:rFonts w:hAnsi="宋体"/>
                <w:bCs/>
                <w:color w:val="auto"/>
                <w:szCs w:val="21"/>
                <w:highlight w:val="none"/>
              </w:rPr>
            </w:pPr>
          </w:p>
          <w:p w14:paraId="50A3C61B">
            <w:pPr>
              <w:pStyle w:val="46"/>
              <w:rPr>
                <w:rFonts w:hAnsi="宋体"/>
                <w:bCs/>
                <w:color w:val="auto"/>
                <w:szCs w:val="21"/>
                <w:highlight w:val="none"/>
              </w:rPr>
            </w:pPr>
          </w:p>
          <w:p w14:paraId="35F3DA8B">
            <w:pPr>
              <w:adjustRightInd w:val="0"/>
              <w:snapToGrid w:val="0"/>
              <w:jc w:val="center"/>
              <w:rPr>
                <w:rFonts w:ascii="宋体" w:hAnsi="宋体" w:cs="宋体"/>
                <w:bCs/>
                <w:color w:val="auto"/>
                <w:szCs w:val="21"/>
                <w:highlight w:val="none"/>
              </w:rPr>
            </w:pPr>
          </w:p>
          <w:p w14:paraId="6713CD14">
            <w:pPr>
              <w:adjustRightInd w:val="0"/>
              <w:snapToGrid w:val="0"/>
              <w:jc w:val="center"/>
              <w:rPr>
                <w:rFonts w:ascii="宋体" w:hAnsi="宋体" w:cs="宋体"/>
                <w:bCs/>
                <w:color w:val="auto"/>
                <w:sz w:val="24"/>
                <w:highlight w:val="none"/>
              </w:rPr>
            </w:pPr>
          </w:p>
          <w:p w14:paraId="7DAF5626">
            <w:pPr>
              <w:adjustRightInd w:val="0"/>
              <w:snapToGrid w:val="0"/>
              <w:jc w:val="center"/>
              <w:rPr>
                <w:rFonts w:ascii="宋体" w:hAnsi="宋体" w:cs="宋体"/>
                <w:bCs/>
                <w:color w:val="auto"/>
                <w:sz w:val="24"/>
                <w:highlight w:val="none"/>
              </w:rPr>
            </w:pPr>
          </w:p>
          <w:p w14:paraId="4A88E07F">
            <w:pPr>
              <w:adjustRightInd w:val="0"/>
              <w:snapToGrid w:val="0"/>
              <w:jc w:val="center"/>
              <w:rPr>
                <w:rFonts w:ascii="宋体" w:hAnsi="宋体" w:cs="宋体"/>
                <w:bCs/>
                <w:color w:val="auto"/>
                <w:sz w:val="24"/>
                <w:highlight w:val="none"/>
              </w:rPr>
            </w:pPr>
            <w:r>
              <w:rPr>
                <w:rFonts w:hint="eastAsia" w:ascii="宋体" w:hAnsi="宋体" w:cs="宋体"/>
                <w:bCs/>
                <w:color w:val="auto"/>
                <w:sz w:val="24"/>
                <w:highlight w:val="none"/>
              </w:rPr>
              <w:t>运营</w:t>
            </w:r>
          </w:p>
          <w:p w14:paraId="0019492C">
            <w:pPr>
              <w:adjustRightInd w:val="0"/>
              <w:snapToGrid w:val="0"/>
              <w:jc w:val="center"/>
              <w:rPr>
                <w:rFonts w:ascii="宋体" w:hAnsi="宋体" w:cs="宋体"/>
                <w:bCs/>
                <w:color w:val="auto"/>
                <w:sz w:val="24"/>
                <w:highlight w:val="none"/>
              </w:rPr>
            </w:pPr>
            <w:r>
              <w:rPr>
                <w:rFonts w:hint="eastAsia" w:ascii="宋体" w:hAnsi="宋体" w:cs="宋体"/>
                <w:bCs/>
                <w:color w:val="auto"/>
                <w:sz w:val="24"/>
                <w:highlight w:val="none"/>
              </w:rPr>
              <w:t>期环</w:t>
            </w:r>
          </w:p>
          <w:p w14:paraId="6518D913">
            <w:pPr>
              <w:adjustRightInd w:val="0"/>
              <w:snapToGrid w:val="0"/>
              <w:jc w:val="center"/>
              <w:rPr>
                <w:rFonts w:ascii="宋体" w:hAnsi="宋体" w:cs="宋体"/>
                <w:bCs/>
                <w:color w:val="auto"/>
                <w:sz w:val="24"/>
                <w:highlight w:val="none"/>
              </w:rPr>
            </w:pPr>
            <w:r>
              <w:rPr>
                <w:rFonts w:hint="eastAsia" w:ascii="宋体" w:hAnsi="宋体" w:cs="宋体"/>
                <w:bCs/>
                <w:color w:val="auto"/>
                <w:sz w:val="24"/>
                <w:highlight w:val="none"/>
              </w:rPr>
              <w:t>境影</w:t>
            </w:r>
          </w:p>
          <w:p w14:paraId="054CA1AC">
            <w:pPr>
              <w:adjustRightInd w:val="0"/>
              <w:snapToGrid w:val="0"/>
              <w:jc w:val="center"/>
              <w:rPr>
                <w:rFonts w:ascii="宋体" w:hAnsi="宋体" w:cs="宋体"/>
                <w:bCs/>
                <w:color w:val="auto"/>
                <w:sz w:val="24"/>
                <w:highlight w:val="none"/>
              </w:rPr>
            </w:pPr>
            <w:r>
              <w:rPr>
                <w:rFonts w:hint="eastAsia" w:ascii="宋体" w:hAnsi="宋体" w:cs="宋体"/>
                <w:bCs/>
                <w:color w:val="auto"/>
                <w:sz w:val="24"/>
                <w:highlight w:val="none"/>
              </w:rPr>
              <w:t>响和</w:t>
            </w:r>
          </w:p>
          <w:p w14:paraId="67E2F695">
            <w:pPr>
              <w:adjustRightInd w:val="0"/>
              <w:snapToGrid w:val="0"/>
              <w:jc w:val="center"/>
              <w:rPr>
                <w:rFonts w:ascii="宋体" w:hAnsi="宋体" w:cs="宋体"/>
                <w:bCs/>
                <w:color w:val="auto"/>
                <w:sz w:val="24"/>
                <w:highlight w:val="none"/>
              </w:rPr>
            </w:pPr>
            <w:r>
              <w:rPr>
                <w:rFonts w:hint="eastAsia" w:ascii="宋体" w:hAnsi="宋体" w:cs="宋体"/>
                <w:bCs/>
                <w:color w:val="auto"/>
                <w:sz w:val="24"/>
                <w:highlight w:val="none"/>
              </w:rPr>
              <w:t>保护</w:t>
            </w:r>
          </w:p>
          <w:p w14:paraId="091AADB0">
            <w:pPr>
              <w:adjustRightInd w:val="0"/>
              <w:snapToGrid w:val="0"/>
              <w:jc w:val="center"/>
              <w:rPr>
                <w:rFonts w:ascii="宋体" w:hAnsi="宋体" w:cs="宋体"/>
                <w:bCs/>
                <w:color w:val="auto"/>
                <w:sz w:val="24"/>
                <w:highlight w:val="none"/>
              </w:rPr>
            </w:pPr>
            <w:r>
              <w:rPr>
                <w:rFonts w:hint="eastAsia" w:ascii="宋体" w:hAnsi="宋体" w:cs="宋体"/>
                <w:bCs/>
                <w:color w:val="auto"/>
                <w:sz w:val="24"/>
                <w:highlight w:val="none"/>
              </w:rPr>
              <w:t>措施</w:t>
            </w:r>
          </w:p>
          <w:p w14:paraId="5F860091">
            <w:pPr>
              <w:adjustRightInd w:val="0"/>
              <w:snapToGrid w:val="0"/>
              <w:jc w:val="center"/>
              <w:rPr>
                <w:rFonts w:ascii="宋体" w:hAnsi="宋体" w:cs="宋体"/>
                <w:bCs/>
                <w:color w:val="auto"/>
                <w:szCs w:val="21"/>
                <w:highlight w:val="none"/>
              </w:rPr>
            </w:pPr>
          </w:p>
          <w:p w14:paraId="32D0AD64">
            <w:pPr>
              <w:adjustRightInd w:val="0"/>
              <w:snapToGrid w:val="0"/>
              <w:jc w:val="center"/>
              <w:rPr>
                <w:rFonts w:ascii="宋体" w:hAnsi="宋体" w:cs="宋体"/>
                <w:bCs/>
                <w:color w:val="auto"/>
                <w:szCs w:val="21"/>
                <w:highlight w:val="none"/>
              </w:rPr>
            </w:pPr>
          </w:p>
          <w:p w14:paraId="0A98B2B1">
            <w:pPr>
              <w:adjustRightInd w:val="0"/>
              <w:snapToGrid w:val="0"/>
              <w:jc w:val="center"/>
              <w:rPr>
                <w:rFonts w:ascii="宋体" w:hAnsi="宋体" w:cs="宋体"/>
                <w:bCs/>
                <w:color w:val="auto"/>
                <w:szCs w:val="21"/>
                <w:highlight w:val="none"/>
              </w:rPr>
            </w:pPr>
          </w:p>
          <w:p w14:paraId="1F0BF038">
            <w:pPr>
              <w:adjustRightInd w:val="0"/>
              <w:snapToGrid w:val="0"/>
              <w:jc w:val="center"/>
              <w:rPr>
                <w:rFonts w:ascii="宋体" w:hAnsi="宋体" w:cs="宋体"/>
                <w:bCs/>
                <w:color w:val="auto"/>
                <w:szCs w:val="21"/>
                <w:highlight w:val="none"/>
              </w:rPr>
            </w:pPr>
          </w:p>
          <w:p w14:paraId="280B4580">
            <w:pPr>
              <w:adjustRightInd w:val="0"/>
              <w:snapToGrid w:val="0"/>
              <w:jc w:val="center"/>
              <w:rPr>
                <w:rFonts w:ascii="宋体" w:hAnsi="宋体" w:cs="宋体"/>
                <w:bCs/>
                <w:color w:val="auto"/>
                <w:szCs w:val="21"/>
                <w:highlight w:val="none"/>
              </w:rPr>
            </w:pPr>
          </w:p>
          <w:p w14:paraId="5375F8F8">
            <w:pPr>
              <w:adjustRightInd w:val="0"/>
              <w:snapToGrid w:val="0"/>
              <w:jc w:val="center"/>
              <w:rPr>
                <w:rFonts w:ascii="宋体" w:hAnsi="宋体" w:cs="宋体"/>
                <w:bCs/>
                <w:color w:val="auto"/>
                <w:szCs w:val="21"/>
                <w:highlight w:val="none"/>
              </w:rPr>
            </w:pPr>
          </w:p>
          <w:p w14:paraId="6FDD2825">
            <w:pPr>
              <w:adjustRightInd w:val="0"/>
              <w:snapToGrid w:val="0"/>
              <w:jc w:val="center"/>
              <w:rPr>
                <w:rFonts w:ascii="宋体" w:hAnsi="宋体" w:cs="宋体"/>
                <w:bCs/>
                <w:color w:val="auto"/>
                <w:szCs w:val="21"/>
                <w:highlight w:val="none"/>
              </w:rPr>
            </w:pPr>
          </w:p>
          <w:p w14:paraId="1259FC6B">
            <w:pPr>
              <w:adjustRightInd w:val="0"/>
              <w:snapToGrid w:val="0"/>
              <w:jc w:val="center"/>
              <w:rPr>
                <w:rFonts w:ascii="宋体" w:hAnsi="宋体" w:cs="宋体"/>
                <w:bCs/>
                <w:color w:val="auto"/>
                <w:szCs w:val="21"/>
                <w:highlight w:val="none"/>
              </w:rPr>
            </w:pPr>
          </w:p>
          <w:p w14:paraId="21355AC8">
            <w:pPr>
              <w:adjustRightInd w:val="0"/>
              <w:snapToGrid w:val="0"/>
              <w:jc w:val="center"/>
              <w:rPr>
                <w:rFonts w:ascii="宋体" w:hAnsi="宋体" w:cs="宋体"/>
                <w:bCs/>
                <w:color w:val="auto"/>
                <w:szCs w:val="21"/>
                <w:highlight w:val="none"/>
              </w:rPr>
            </w:pPr>
          </w:p>
          <w:p w14:paraId="16E87031">
            <w:pPr>
              <w:adjustRightInd w:val="0"/>
              <w:snapToGrid w:val="0"/>
              <w:jc w:val="center"/>
              <w:rPr>
                <w:rFonts w:ascii="宋体" w:hAnsi="宋体" w:cs="宋体"/>
                <w:bCs/>
                <w:color w:val="auto"/>
                <w:szCs w:val="21"/>
                <w:highlight w:val="none"/>
              </w:rPr>
            </w:pPr>
          </w:p>
          <w:p w14:paraId="6E24D0DA">
            <w:pPr>
              <w:adjustRightInd w:val="0"/>
              <w:snapToGrid w:val="0"/>
              <w:jc w:val="center"/>
              <w:rPr>
                <w:rFonts w:ascii="宋体" w:hAnsi="宋体" w:cs="宋体"/>
                <w:bCs/>
                <w:color w:val="auto"/>
                <w:szCs w:val="21"/>
                <w:highlight w:val="none"/>
              </w:rPr>
            </w:pPr>
          </w:p>
          <w:p w14:paraId="156D3F39">
            <w:pPr>
              <w:adjustRightInd w:val="0"/>
              <w:snapToGrid w:val="0"/>
              <w:jc w:val="center"/>
              <w:rPr>
                <w:rFonts w:ascii="宋体" w:hAnsi="宋体" w:cs="宋体"/>
                <w:bCs/>
                <w:color w:val="auto"/>
                <w:szCs w:val="21"/>
                <w:highlight w:val="none"/>
              </w:rPr>
            </w:pPr>
          </w:p>
          <w:p w14:paraId="1B1F2349">
            <w:pPr>
              <w:adjustRightInd w:val="0"/>
              <w:snapToGrid w:val="0"/>
              <w:jc w:val="center"/>
              <w:rPr>
                <w:rFonts w:ascii="宋体" w:hAnsi="宋体" w:cs="宋体"/>
                <w:bCs/>
                <w:color w:val="auto"/>
                <w:szCs w:val="21"/>
                <w:highlight w:val="none"/>
              </w:rPr>
            </w:pPr>
          </w:p>
          <w:p w14:paraId="14995621">
            <w:pPr>
              <w:adjustRightInd w:val="0"/>
              <w:snapToGrid w:val="0"/>
              <w:jc w:val="center"/>
              <w:rPr>
                <w:rFonts w:ascii="宋体" w:hAnsi="宋体" w:cs="宋体"/>
                <w:bCs/>
                <w:color w:val="auto"/>
                <w:szCs w:val="21"/>
                <w:highlight w:val="none"/>
              </w:rPr>
            </w:pPr>
          </w:p>
          <w:p w14:paraId="5989E2B7">
            <w:pPr>
              <w:adjustRightInd w:val="0"/>
              <w:snapToGrid w:val="0"/>
              <w:jc w:val="center"/>
              <w:rPr>
                <w:rFonts w:ascii="宋体" w:hAnsi="宋体" w:cs="宋体"/>
                <w:bCs/>
                <w:color w:val="auto"/>
                <w:szCs w:val="21"/>
                <w:highlight w:val="none"/>
              </w:rPr>
            </w:pPr>
          </w:p>
          <w:p w14:paraId="19CB5F33">
            <w:pPr>
              <w:adjustRightInd w:val="0"/>
              <w:snapToGrid w:val="0"/>
              <w:jc w:val="center"/>
              <w:rPr>
                <w:rFonts w:ascii="宋体" w:hAnsi="宋体" w:cs="宋体"/>
                <w:bCs/>
                <w:color w:val="auto"/>
                <w:szCs w:val="21"/>
                <w:highlight w:val="none"/>
              </w:rPr>
            </w:pPr>
          </w:p>
          <w:p w14:paraId="2A0FDD67">
            <w:pPr>
              <w:adjustRightInd w:val="0"/>
              <w:snapToGrid w:val="0"/>
              <w:jc w:val="center"/>
              <w:rPr>
                <w:rFonts w:ascii="宋体" w:hAnsi="宋体" w:cs="宋体"/>
                <w:bCs/>
                <w:color w:val="auto"/>
                <w:szCs w:val="21"/>
                <w:highlight w:val="none"/>
              </w:rPr>
            </w:pPr>
          </w:p>
          <w:p w14:paraId="3DAD82E6">
            <w:pPr>
              <w:adjustRightInd w:val="0"/>
              <w:snapToGrid w:val="0"/>
              <w:jc w:val="center"/>
              <w:rPr>
                <w:rFonts w:ascii="宋体" w:hAnsi="宋体" w:cs="宋体"/>
                <w:bCs/>
                <w:color w:val="auto"/>
                <w:szCs w:val="21"/>
                <w:highlight w:val="none"/>
              </w:rPr>
            </w:pPr>
          </w:p>
          <w:p w14:paraId="44837A29">
            <w:pPr>
              <w:adjustRightInd w:val="0"/>
              <w:snapToGrid w:val="0"/>
              <w:jc w:val="center"/>
              <w:rPr>
                <w:rFonts w:ascii="宋体" w:hAnsi="宋体" w:cs="宋体"/>
                <w:bCs/>
                <w:color w:val="auto"/>
                <w:szCs w:val="21"/>
                <w:highlight w:val="none"/>
              </w:rPr>
            </w:pPr>
          </w:p>
          <w:p w14:paraId="02F2511D">
            <w:pPr>
              <w:adjustRightInd w:val="0"/>
              <w:snapToGrid w:val="0"/>
              <w:jc w:val="center"/>
              <w:rPr>
                <w:rFonts w:ascii="宋体" w:hAnsi="宋体" w:cs="宋体"/>
                <w:bCs/>
                <w:color w:val="auto"/>
                <w:szCs w:val="21"/>
                <w:highlight w:val="none"/>
              </w:rPr>
            </w:pPr>
          </w:p>
          <w:p w14:paraId="251E6D53">
            <w:pPr>
              <w:adjustRightInd w:val="0"/>
              <w:snapToGrid w:val="0"/>
              <w:jc w:val="center"/>
              <w:rPr>
                <w:rFonts w:ascii="宋体" w:hAnsi="宋体" w:cs="宋体"/>
                <w:bCs/>
                <w:color w:val="auto"/>
                <w:szCs w:val="21"/>
                <w:highlight w:val="none"/>
              </w:rPr>
            </w:pPr>
          </w:p>
          <w:p w14:paraId="1B54CDF1">
            <w:pPr>
              <w:adjustRightInd w:val="0"/>
              <w:snapToGrid w:val="0"/>
              <w:jc w:val="center"/>
              <w:rPr>
                <w:rFonts w:ascii="宋体" w:hAnsi="宋体" w:cs="宋体"/>
                <w:bCs/>
                <w:color w:val="auto"/>
                <w:szCs w:val="21"/>
                <w:highlight w:val="none"/>
              </w:rPr>
            </w:pPr>
          </w:p>
          <w:p w14:paraId="1F6D574B">
            <w:pPr>
              <w:adjustRightInd w:val="0"/>
              <w:snapToGrid w:val="0"/>
              <w:jc w:val="center"/>
              <w:rPr>
                <w:rFonts w:ascii="宋体" w:hAnsi="宋体" w:cs="宋体"/>
                <w:bCs/>
                <w:color w:val="auto"/>
                <w:szCs w:val="21"/>
                <w:highlight w:val="none"/>
              </w:rPr>
            </w:pPr>
          </w:p>
          <w:p w14:paraId="40BA8953">
            <w:pPr>
              <w:adjustRightInd w:val="0"/>
              <w:snapToGrid w:val="0"/>
              <w:jc w:val="center"/>
              <w:rPr>
                <w:rFonts w:ascii="宋体" w:hAnsi="宋体" w:cs="宋体"/>
                <w:bCs/>
                <w:color w:val="auto"/>
                <w:szCs w:val="21"/>
                <w:highlight w:val="none"/>
              </w:rPr>
            </w:pPr>
          </w:p>
          <w:p w14:paraId="4F330E04">
            <w:pPr>
              <w:adjustRightInd w:val="0"/>
              <w:snapToGrid w:val="0"/>
              <w:jc w:val="center"/>
              <w:rPr>
                <w:rFonts w:ascii="宋体" w:hAnsi="宋体" w:cs="宋体"/>
                <w:bCs/>
                <w:color w:val="auto"/>
                <w:szCs w:val="21"/>
                <w:highlight w:val="none"/>
              </w:rPr>
            </w:pPr>
          </w:p>
          <w:p w14:paraId="74AD99A0">
            <w:pPr>
              <w:adjustRightInd w:val="0"/>
              <w:snapToGrid w:val="0"/>
              <w:jc w:val="center"/>
              <w:rPr>
                <w:rFonts w:ascii="宋体" w:hAnsi="宋体" w:cs="宋体"/>
                <w:bCs/>
                <w:color w:val="auto"/>
                <w:szCs w:val="21"/>
                <w:highlight w:val="none"/>
              </w:rPr>
            </w:pPr>
          </w:p>
          <w:p w14:paraId="42EB77BA">
            <w:pPr>
              <w:adjustRightInd w:val="0"/>
              <w:snapToGrid w:val="0"/>
              <w:jc w:val="center"/>
              <w:rPr>
                <w:rFonts w:ascii="宋体" w:hAnsi="宋体" w:cs="宋体"/>
                <w:bCs/>
                <w:color w:val="auto"/>
                <w:szCs w:val="21"/>
                <w:highlight w:val="none"/>
              </w:rPr>
            </w:pPr>
          </w:p>
          <w:p w14:paraId="5E5CE3EC">
            <w:pPr>
              <w:adjustRightInd w:val="0"/>
              <w:snapToGrid w:val="0"/>
              <w:jc w:val="center"/>
              <w:rPr>
                <w:rFonts w:ascii="宋体" w:hAnsi="宋体" w:cs="宋体"/>
                <w:bCs/>
                <w:color w:val="auto"/>
                <w:szCs w:val="21"/>
                <w:highlight w:val="none"/>
              </w:rPr>
            </w:pPr>
          </w:p>
          <w:p w14:paraId="2CA0CE45">
            <w:pPr>
              <w:adjustRightInd w:val="0"/>
              <w:snapToGrid w:val="0"/>
              <w:jc w:val="center"/>
              <w:rPr>
                <w:rFonts w:ascii="宋体" w:hAnsi="宋体" w:cs="宋体"/>
                <w:bCs/>
                <w:color w:val="auto"/>
                <w:szCs w:val="21"/>
                <w:highlight w:val="none"/>
              </w:rPr>
            </w:pPr>
          </w:p>
          <w:p w14:paraId="3015F85F">
            <w:pPr>
              <w:adjustRightInd w:val="0"/>
              <w:snapToGrid w:val="0"/>
              <w:jc w:val="center"/>
              <w:rPr>
                <w:rFonts w:ascii="宋体" w:hAnsi="宋体" w:cs="宋体"/>
                <w:bCs/>
                <w:color w:val="auto"/>
                <w:szCs w:val="21"/>
                <w:highlight w:val="none"/>
              </w:rPr>
            </w:pPr>
          </w:p>
          <w:p w14:paraId="55E61D0B">
            <w:pPr>
              <w:adjustRightInd w:val="0"/>
              <w:snapToGrid w:val="0"/>
              <w:jc w:val="center"/>
              <w:rPr>
                <w:rFonts w:ascii="宋体" w:hAnsi="宋体" w:cs="宋体"/>
                <w:bCs/>
                <w:color w:val="auto"/>
                <w:szCs w:val="21"/>
                <w:highlight w:val="none"/>
              </w:rPr>
            </w:pPr>
          </w:p>
          <w:p w14:paraId="77F5023D">
            <w:pPr>
              <w:adjustRightInd w:val="0"/>
              <w:snapToGrid w:val="0"/>
              <w:jc w:val="center"/>
              <w:rPr>
                <w:rFonts w:ascii="宋体" w:hAnsi="宋体" w:cs="宋体"/>
                <w:bCs/>
                <w:color w:val="auto"/>
                <w:szCs w:val="21"/>
                <w:highlight w:val="none"/>
              </w:rPr>
            </w:pPr>
          </w:p>
          <w:p w14:paraId="0D63D6CC">
            <w:pPr>
              <w:adjustRightInd w:val="0"/>
              <w:snapToGrid w:val="0"/>
              <w:jc w:val="center"/>
              <w:rPr>
                <w:rFonts w:ascii="宋体" w:hAnsi="宋体" w:cs="宋体"/>
                <w:bCs/>
                <w:color w:val="auto"/>
                <w:szCs w:val="21"/>
                <w:highlight w:val="none"/>
              </w:rPr>
            </w:pPr>
          </w:p>
          <w:p w14:paraId="4A3414AB">
            <w:pPr>
              <w:adjustRightInd w:val="0"/>
              <w:snapToGrid w:val="0"/>
              <w:jc w:val="center"/>
              <w:rPr>
                <w:rFonts w:ascii="宋体" w:hAnsi="宋体" w:cs="宋体"/>
                <w:bCs/>
                <w:color w:val="auto"/>
                <w:szCs w:val="21"/>
                <w:highlight w:val="none"/>
              </w:rPr>
            </w:pPr>
          </w:p>
          <w:p w14:paraId="4B09C5AD">
            <w:pPr>
              <w:adjustRightInd w:val="0"/>
              <w:snapToGrid w:val="0"/>
              <w:rPr>
                <w:rFonts w:ascii="宋体" w:hAnsi="宋体" w:cs="宋体"/>
                <w:bCs/>
                <w:color w:val="auto"/>
                <w:szCs w:val="21"/>
                <w:highlight w:val="none"/>
              </w:rPr>
            </w:pPr>
          </w:p>
          <w:p w14:paraId="50F16AB8">
            <w:pPr>
              <w:adjustRightInd w:val="0"/>
              <w:snapToGrid w:val="0"/>
              <w:jc w:val="center"/>
              <w:rPr>
                <w:rFonts w:ascii="宋体" w:hAnsi="宋体" w:cs="宋体"/>
                <w:bCs/>
                <w:color w:val="auto"/>
                <w:szCs w:val="21"/>
                <w:highlight w:val="none"/>
              </w:rPr>
            </w:pPr>
          </w:p>
          <w:p w14:paraId="5897EBC2">
            <w:pPr>
              <w:adjustRightInd w:val="0"/>
              <w:snapToGrid w:val="0"/>
              <w:jc w:val="center"/>
              <w:rPr>
                <w:rFonts w:ascii="宋体" w:hAnsi="宋体" w:cs="宋体"/>
                <w:bCs/>
                <w:color w:val="auto"/>
                <w:sz w:val="24"/>
                <w:highlight w:val="none"/>
              </w:rPr>
            </w:pPr>
            <w:r>
              <w:rPr>
                <w:rFonts w:hint="eastAsia" w:ascii="宋体" w:hAnsi="宋体" w:cs="宋体"/>
                <w:bCs/>
                <w:color w:val="auto"/>
                <w:sz w:val="24"/>
                <w:highlight w:val="none"/>
              </w:rPr>
              <w:t>运营</w:t>
            </w:r>
          </w:p>
          <w:p w14:paraId="573C664A">
            <w:pPr>
              <w:adjustRightInd w:val="0"/>
              <w:snapToGrid w:val="0"/>
              <w:jc w:val="center"/>
              <w:rPr>
                <w:rFonts w:ascii="宋体" w:hAnsi="宋体" w:cs="宋体"/>
                <w:bCs/>
                <w:color w:val="auto"/>
                <w:sz w:val="24"/>
                <w:highlight w:val="none"/>
              </w:rPr>
            </w:pPr>
            <w:r>
              <w:rPr>
                <w:rFonts w:hint="eastAsia" w:ascii="宋体" w:hAnsi="宋体" w:cs="宋体"/>
                <w:bCs/>
                <w:color w:val="auto"/>
                <w:sz w:val="24"/>
                <w:highlight w:val="none"/>
              </w:rPr>
              <w:t>期环</w:t>
            </w:r>
          </w:p>
          <w:p w14:paraId="432D058A">
            <w:pPr>
              <w:adjustRightInd w:val="0"/>
              <w:snapToGrid w:val="0"/>
              <w:jc w:val="center"/>
              <w:rPr>
                <w:rFonts w:ascii="宋体" w:hAnsi="宋体" w:cs="宋体"/>
                <w:bCs/>
                <w:color w:val="auto"/>
                <w:sz w:val="24"/>
                <w:highlight w:val="none"/>
              </w:rPr>
            </w:pPr>
            <w:r>
              <w:rPr>
                <w:rFonts w:hint="eastAsia" w:ascii="宋体" w:hAnsi="宋体" w:cs="宋体"/>
                <w:bCs/>
                <w:color w:val="auto"/>
                <w:sz w:val="24"/>
                <w:highlight w:val="none"/>
              </w:rPr>
              <w:t>境影</w:t>
            </w:r>
          </w:p>
          <w:p w14:paraId="313A651D">
            <w:pPr>
              <w:adjustRightInd w:val="0"/>
              <w:snapToGrid w:val="0"/>
              <w:jc w:val="center"/>
              <w:rPr>
                <w:rFonts w:ascii="宋体" w:hAnsi="宋体" w:cs="宋体"/>
                <w:bCs/>
                <w:color w:val="auto"/>
                <w:sz w:val="24"/>
                <w:highlight w:val="none"/>
              </w:rPr>
            </w:pPr>
            <w:r>
              <w:rPr>
                <w:rFonts w:hint="eastAsia" w:ascii="宋体" w:hAnsi="宋体" w:cs="宋体"/>
                <w:bCs/>
                <w:color w:val="auto"/>
                <w:sz w:val="24"/>
                <w:highlight w:val="none"/>
              </w:rPr>
              <w:t>响和</w:t>
            </w:r>
          </w:p>
          <w:p w14:paraId="2845C52E">
            <w:pPr>
              <w:adjustRightInd w:val="0"/>
              <w:snapToGrid w:val="0"/>
              <w:jc w:val="center"/>
              <w:rPr>
                <w:rFonts w:ascii="宋体" w:hAnsi="宋体" w:cs="宋体"/>
                <w:bCs/>
                <w:color w:val="auto"/>
                <w:sz w:val="24"/>
                <w:highlight w:val="none"/>
              </w:rPr>
            </w:pPr>
            <w:r>
              <w:rPr>
                <w:rFonts w:hint="eastAsia" w:ascii="宋体" w:hAnsi="宋体" w:cs="宋体"/>
                <w:bCs/>
                <w:color w:val="auto"/>
                <w:sz w:val="24"/>
                <w:highlight w:val="none"/>
              </w:rPr>
              <w:t>保护</w:t>
            </w:r>
          </w:p>
          <w:p w14:paraId="17AA3FAB">
            <w:pPr>
              <w:adjustRightInd w:val="0"/>
              <w:snapToGrid w:val="0"/>
              <w:jc w:val="center"/>
              <w:rPr>
                <w:rFonts w:ascii="宋体" w:hAnsi="宋体" w:cs="宋体"/>
                <w:bCs/>
                <w:color w:val="auto"/>
                <w:sz w:val="24"/>
                <w:highlight w:val="none"/>
              </w:rPr>
            </w:pPr>
            <w:r>
              <w:rPr>
                <w:rFonts w:hint="eastAsia" w:ascii="宋体" w:hAnsi="宋体" w:cs="宋体"/>
                <w:bCs/>
                <w:color w:val="auto"/>
                <w:sz w:val="24"/>
                <w:highlight w:val="none"/>
              </w:rPr>
              <w:t>措施</w:t>
            </w:r>
          </w:p>
          <w:p w14:paraId="7959414F">
            <w:pPr>
              <w:adjustRightInd w:val="0"/>
              <w:snapToGrid w:val="0"/>
              <w:jc w:val="center"/>
              <w:rPr>
                <w:rFonts w:ascii="宋体" w:hAnsi="宋体" w:cs="宋体"/>
                <w:bCs/>
                <w:color w:val="auto"/>
                <w:szCs w:val="21"/>
                <w:highlight w:val="none"/>
              </w:rPr>
            </w:pPr>
          </w:p>
          <w:p w14:paraId="702B6AC2">
            <w:pPr>
              <w:adjustRightInd w:val="0"/>
              <w:snapToGrid w:val="0"/>
              <w:jc w:val="center"/>
              <w:rPr>
                <w:rFonts w:ascii="宋体" w:hAnsi="宋体" w:cs="宋体"/>
                <w:bCs/>
                <w:color w:val="auto"/>
                <w:szCs w:val="21"/>
                <w:highlight w:val="none"/>
              </w:rPr>
            </w:pPr>
          </w:p>
          <w:p w14:paraId="4CAB8671">
            <w:pPr>
              <w:adjustRightInd w:val="0"/>
              <w:snapToGrid w:val="0"/>
              <w:jc w:val="center"/>
              <w:rPr>
                <w:rFonts w:ascii="宋体" w:hAnsi="宋体" w:cs="宋体"/>
                <w:bCs/>
                <w:color w:val="auto"/>
                <w:szCs w:val="21"/>
                <w:highlight w:val="none"/>
              </w:rPr>
            </w:pPr>
          </w:p>
          <w:p w14:paraId="6B518187">
            <w:pPr>
              <w:adjustRightInd w:val="0"/>
              <w:snapToGrid w:val="0"/>
              <w:jc w:val="center"/>
              <w:rPr>
                <w:rFonts w:ascii="宋体" w:hAnsi="宋体" w:cs="宋体"/>
                <w:bCs/>
                <w:color w:val="auto"/>
                <w:szCs w:val="21"/>
                <w:highlight w:val="none"/>
              </w:rPr>
            </w:pPr>
          </w:p>
          <w:p w14:paraId="30E30823">
            <w:pPr>
              <w:adjustRightInd w:val="0"/>
              <w:snapToGrid w:val="0"/>
              <w:jc w:val="center"/>
              <w:rPr>
                <w:rFonts w:ascii="宋体" w:hAnsi="宋体" w:cs="宋体"/>
                <w:bCs/>
                <w:color w:val="auto"/>
                <w:szCs w:val="21"/>
                <w:highlight w:val="none"/>
              </w:rPr>
            </w:pPr>
          </w:p>
          <w:p w14:paraId="10BBF65E">
            <w:pPr>
              <w:adjustRightInd w:val="0"/>
              <w:snapToGrid w:val="0"/>
              <w:jc w:val="center"/>
              <w:rPr>
                <w:rFonts w:ascii="宋体" w:hAnsi="宋体" w:cs="宋体"/>
                <w:bCs/>
                <w:color w:val="auto"/>
                <w:szCs w:val="21"/>
                <w:highlight w:val="none"/>
              </w:rPr>
            </w:pPr>
          </w:p>
          <w:p w14:paraId="15E72AD9">
            <w:pPr>
              <w:adjustRightInd w:val="0"/>
              <w:snapToGrid w:val="0"/>
              <w:jc w:val="center"/>
              <w:rPr>
                <w:rFonts w:ascii="宋体" w:hAnsi="宋体" w:cs="宋体"/>
                <w:bCs/>
                <w:color w:val="auto"/>
                <w:szCs w:val="21"/>
                <w:highlight w:val="none"/>
              </w:rPr>
            </w:pPr>
          </w:p>
          <w:p w14:paraId="6063913C">
            <w:pPr>
              <w:adjustRightInd w:val="0"/>
              <w:snapToGrid w:val="0"/>
              <w:jc w:val="center"/>
              <w:rPr>
                <w:rFonts w:ascii="宋体" w:hAnsi="宋体" w:cs="宋体"/>
                <w:bCs/>
                <w:color w:val="auto"/>
                <w:szCs w:val="21"/>
                <w:highlight w:val="none"/>
              </w:rPr>
            </w:pPr>
          </w:p>
          <w:p w14:paraId="66C792CC">
            <w:pPr>
              <w:adjustRightInd w:val="0"/>
              <w:snapToGrid w:val="0"/>
              <w:jc w:val="center"/>
              <w:rPr>
                <w:rFonts w:ascii="宋体" w:hAnsi="宋体" w:cs="宋体"/>
                <w:bCs/>
                <w:color w:val="auto"/>
                <w:szCs w:val="21"/>
                <w:highlight w:val="none"/>
              </w:rPr>
            </w:pPr>
          </w:p>
          <w:p w14:paraId="11577A73">
            <w:pPr>
              <w:adjustRightInd w:val="0"/>
              <w:snapToGrid w:val="0"/>
              <w:jc w:val="center"/>
              <w:rPr>
                <w:rFonts w:ascii="宋体" w:hAnsi="宋体" w:cs="宋体"/>
                <w:bCs/>
                <w:color w:val="auto"/>
                <w:szCs w:val="21"/>
                <w:highlight w:val="none"/>
              </w:rPr>
            </w:pPr>
          </w:p>
          <w:p w14:paraId="64013530">
            <w:pPr>
              <w:adjustRightInd w:val="0"/>
              <w:snapToGrid w:val="0"/>
              <w:jc w:val="center"/>
              <w:rPr>
                <w:rFonts w:ascii="宋体" w:hAnsi="宋体" w:cs="宋体"/>
                <w:bCs/>
                <w:color w:val="auto"/>
                <w:szCs w:val="21"/>
                <w:highlight w:val="none"/>
              </w:rPr>
            </w:pPr>
          </w:p>
          <w:p w14:paraId="1D62611C">
            <w:pPr>
              <w:adjustRightInd w:val="0"/>
              <w:snapToGrid w:val="0"/>
              <w:jc w:val="center"/>
              <w:rPr>
                <w:rFonts w:ascii="宋体" w:hAnsi="宋体" w:cs="宋体"/>
                <w:bCs/>
                <w:color w:val="auto"/>
                <w:szCs w:val="21"/>
                <w:highlight w:val="none"/>
              </w:rPr>
            </w:pPr>
          </w:p>
          <w:p w14:paraId="62342D83">
            <w:pPr>
              <w:adjustRightInd w:val="0"/>
              <w:snapToGrid w:val="0"/>
              <w:jc w:val="center"/>
              <w:rPr>
                <w:rFonts w:ascii="宋体" w:hAnsi="宋体" w:cs="宋体"/>
                <w:bCs/>
                <w:color w:val="auto"/>
                <w:szCs w:val="21"/>
                <w:highlight w:val="none"/>
              </w:rPr>
            </w:pPr>
          </w:p>
          <w:p w14:paraId="06C2D93A">
            <w:pPr>
              <w:adjustRightInd w:val="0"/>
              <w:snapToGrid w:val="0"/>
              <w:jc w:val="center"/>
              <w:rPr>
                <w:rFonts w:ascii="宋体" w:hAnsi="宋体" w:cs="宋体"/>
                <w:bCs/>
                <w:color w:val="auto"/>
                <w:szCs w:val="21"/>
                <w:highlight w:val="none"/>
              </w:rPr>
            </w:pPr>
          </w:p>
          <w:p w14:paraId="7C14495A">
            <w:pPr>
              <w:adjustRightInd w:val="0"/>
              <w:snapToGrid w:val="0"/>
              <w:jc w:val="center"/>
              <w:rPr>
                <w:rFonts w:ascii="宋体" w:hAnsi="宋体" w:cs="宋体"/>
                <w:bCs/>
                <w:color w:val="auto"/>
                <w:szCs w:val="21"/>
                <w:highlight w:val="none"/>
              </w:rPr>
            </w:pPr>
          </w:p>
          <w:p w14:paraId="314F063F">
            <w:pPr>
              <w:adjustRightInd w:val="0"/>
              <w:snapToGrid w:val="0"/>
              <w:jc w:val="center"/>
              <w:rPr>
                <w:rFonts w:ascii="宋体" w:hAnsi="宋体" w:cs="宋体"/>
                <w:bCs/>
                <w:color w:val="auto"/>
                <w:szCs w:val="21"/>
                <w:highlight w:val="none"/>
              </w:rPr>
            </w:pPr>
          </w:p>
          <w:p w14:paraId="3FAF5ECD">
            <w:pPr>
              <w:adjustRightInd w:val="0"/>
              <w:snapToGrid w:val="0"/>
              <w:jc w:val="center"/>
              <w:rPr>
                <w:rFonts w:ascii="宋体" w:hAnsi="宋体" w:cs="宋体"/>
                <w:bCs/>
                <w:color w:val="auto"/>
                <w:szCs w:val="21"/>
                <w:highlight w:val="none"/>
              </w:rPr>
            </w:pPr>
          </w:p>
          <w:p w14:paraId="45D4B5FD">
            <w:pPr>
              <w:adjustRightInd w:val="0"/>
              <w:snapToGrid w:val="0"/>
              <w:jc w:val="center"/>
              <w:rPr>
                <w:rFonts w:ascii="宋体" w:hAnsi="宋体" w:cs="宋体"/>
                <w:bCs/>
                <w:color w:val="auto"/>
                <w:szCs w:val="21"/>
                <w:highlight w:val="none"/>
              </w:rPr>
            </w:pPr>
          </w:p>
          <w:p w14:paraId="0C568ABF">
            <w:pPr>
              <w:adjustRightInd w:val="0"/>
              <w:snapToGrid w:val="0"/>
              <w:jc w:val="center"/>
              <w:rPr>
                <w:rFonts w:ascii="宋体" w:hAnsi="宋体" w:cs="宋体"/>
                <w:bCs/>
                <w:color w:val="auto"/>
                <w:szCs w:val="21"/>
                <w:highlight w:val="none"/>
              </w:rPr>
            </w:pPr>
          </w:p>
          <w:p w14:paraId="6F158113">
            <w:pPr>
              <w:adjustRightInd w:val="0"/>
              <w:snapToGrid w:val="0"/>
              <w:jc w:val="center"/>
              <w:rPr>
                <w:rFonts w:ascii="宋体" w:hAnsi="宋体" w:cs="宋体"/>
                <w:bCs/>
                <w:color w:val="auto"/>
                <w:szCs w:val="21"/>
                <w:highlight w:val="none"/>
              </w:rPr>
            </w:pPr>
          </w:p>
          <w:p w14:paraId="27059EE1">
            <w:pPr>
              <w:adjustRightInd w:val="0"/>
              <w:snapToGrid w:val="0"/>
              <w:jc w:val="center"/>
              <w:rPr>
                <w:rFonts w:ascii="宋体" w:hAnsi="宋体" w:cs="宋体"/>
                <w:bCs/>
                <w:color w:val="auto"/>
                <w:szCs w:val="21"/>
                <w:highlight w:val="none"/>
              </w:rPr>
            </w:pPr>
          </w:p>
          <w:p w14:paraId="1DACE3A6">
            <w:pPr>
              <w:adjustRightInd w:val="0"/>
              <w:snapToGrid w:val="0"/>
              <w:jc w:val="center"/>
              <w:rPr>
                <w:rFonts w:ascii="宋体" w:hAnsi="宋体" w:cs="宋体"/>
                <w:bCs/>
                <w:color w:val="auto"/>
                <w:szCs w:val="21"/>
                <w:highlight w:val="none"/>
              </w:rPr>
            </w:pPr>
          </w:p>
          <w:p w14:paraId="0CA61CD7">
            <w:pPr>
              <w:adjustRightInd w:val="0"/>
              <w:snapToGrid w:val="0"/>
              <w:jc w:val="center"/>
              <w:rPr>
                <w:rFonts w:ascii="宋体" w:hAnsi="宋体" w:cs="宋体"/>
                <w:bCs/>
                <w:color w:val="auto"/>
                <w:szCs w:val="21"/>
                <w:highlight w:val="none"/>
              </w:rPr>
            </w:pPr>
          </w:p>
          <w:p w14:paraId="5BAD2D29">
            <w:pPr>
              <w:adjustRightInd w:val="0"/>
              <w:snapToGrid w:val="0"/>
              <w:jc w:val="center"/>
              <w:rPr>
                <w:rFonts w:ascii="宋体" w:hAnsi="宋体" w:cs="宋体"/>
                <w:bCs/>
                <w:color w:val="auto"/>
                <w:szCs w:val="21"/>
                <w:highlight w:val="none"/>
              </w:rPr>
            </w:pPr>
          </w:p>
          <w:p w14:paraId="1DAA5B8F">
            <w:pPr>
              <w:adjustRightInd w:val="0"/>
              <w:snapToGrid w:val="0"/>
              <w:jc w:val="center"/>
              <w:rPr>
                <w:rFonts w:ascii="宋体" w:hAnsi="宋体" w:cs="宋体"/>
                <w:bCs/>
                <w:color w:val="auto"/>
                <w:szCs w:val="21"/>
                <w:highlight w:val="none"/>
              </w:rPr>
            </w:pPr>
          </w:p>
          <w:p w14:paraId="2B873260">
            <w:pPr>
              <w:adjustRightInd w:val="0"/>
              <w:snapToGrid w:val="0"/>
              <w:jc w:val="center"/>
              <w:rPr>
                <w:rFonts w:ascii="宋体" w:hAnsi="宋体" w:cs="宋体"/>
                <w:bCs/>
                <w:color w:val="auto"/>
                <w:szCs w:val="21"/>
                <w:highlight w:val="none"/>
              </w:rPr>
            </w:pPr>
          </w:p>
          <w:p w14:paraId="7CA453E7">
            <w:pPr>
              <w:adjustRightInd w:val="0"/>
              <w:snapToGrid w:val="0"/>
              <w:jc w:val="center"/>
              <w:rPr>
                <w:rFonts w:ascii="宋体" w:hAnsi="宋体" w:cs="宋体"/>
                <w:bCs/>
                <w:color w:val="auto"/>
                <w:szCs w:val="21"/>
                <w:highlight w:val="none"/>
              </w:rPr>
            </w:pPr>
          </w:p>
          <w:p w14:paraId="4733CC9D">
            <w:pPr>
              <w:adjustRightInd w:val="0"/>
              <w:snapToGrid w:val="0"/>
              <w:jc w:val="center"/>
              <w:rPr>
                <w:rFonts w:ascii="宋体" w:hAnsi="宋体" w:cs="宋体"/>
                <w:bCs/>
                <w:color w:val="auto"/>
                <w:szCs w:val="21"/>
                <w:highlight w:val="none"/>
              </w:rPr>
            </w:pPr>
          </w:p>
          <w:p w14:paraId="293D7B14">
            <w:pPr>
              <w:adjustRightInd w:val="0"/>
              <w:snapToGrid w:val="0"/>
              <w:jc w:val="center"/>
              <w:rPr>
                <w:rFonts w:ascii="宋体" w:hAnsi="宋体" w:cs="宋体"/>
                <w:bCs/>
                <w:color w:val="auto"/>
                <w:szCs w:val="21"/>
                <w:highlight w:val="none"/>
              </w:rPr>
            </w:pPr>
          </w:p>
          <w:p w14:paraId="36A77227">
            <w:pPr>
              <w:adjustRightInd w:val="0"/>
              <w:snapToGrid w:val="0"/>
              <w:jc w:val="center"/>
              <w:rPr>
                <w:rFonts w:ascii="宋体" w:hAnsi="宋体" w:cs="宋体"/>
                <w:bCs/>
                <w:color w:val="auto"/>
                <w:szCs w:val="21"/>
                <w:highlight w:val="none"/>
              </w:rPr>
            </w:pPr>
          </w:p>
          <w:p w14:paraId="50D30B5F">
            <w:pPr>
              <w:adjustRightInd w:val="0"/>
              <w:snapToGrid w:val="0"/>
              <w:jc w:val="center"/>
              <w:rPr>
                <w:rFonts w:ascii="宋体" w:hAnsi="宋体" w:cs="宋体"/>
                <w:bCs/>
                <w:color w:val="auto"/>
                <w:szCs w:val="21"/>
                <w:highlight w:val="none"/>
              </w:rPr>
            </w:pPr>
          </w:p>
          <w:p w14:paraId="4B68271C">
            <w:pPr>
              <w:adjustRightInd w:val="0"/>
              <w:snapToGrid w:val="0"/>
              <w:jc w:val="center"/>
              <w:rPr>
                <w:rFonts w:ascii="宋体" w:hAnsi="宋体" w:cs="宋体"/>
                <w:bCs/>
                <w:color w:val="auto"/>
                <w:szCs w:val="21"/>
                <w:highlight w:val="none"/>
              </w:rPr>
            </w:pPr>
          </w:p>
          <w:p w14:paraId="75B130B7">
            <w:pPr>
              <w:adjustRightInd w:val="0"/>
              <w:snapToGrid w:val="0"/>
              <w:rPr>
                <w:rFonts w:ascii="宋体" w:hAnsi="宋体" w:cs="宋体"/>
                <w:bCs/>
                <w:color w:val="auto"/>
                <w:szCs w:val="21"/>
                <w:highlight w:val="none"/>
              </w:rPr>
            </w:pPr>
          </w:p>
          <w:p w14:paraId="29A6CAA0">
            <w:pPr>
              <w:adjustRightInd w:val="0"/>
              <w:snapToGrid w:val="0"/>
              <w:jc w:val="center"/>
              <w:rPr>
                <w:rFonts w:ascii="宋体" w:hAnsi="宋体" w:cs="宋体"/>
                <w:bCs/>
                <w:color w:val="auto"/>
                <w:szCs w:val="21"/>
                <w:highlight w:val="none"/>
              </w:rPr>
            </w:pPr>
          </w:p>
          <w:p w14:paraId="7EB8368F">
            <w:pPr>
              <w:adjustRightInd w:val="0"/>
              <w:snapToGrid w:val="0"/>
              <w:jc w:val="center"/>
              <w:rPr>
                <w:rFonts w:ascii="宋体" w:hAnsi="宋体" w:cs="宋体"/>
                <w:bCs/>
                <w:color w:val="auto"/>
                <w:sz w:val="24"/>
                <w:highlight w:val="none"/>
              </w:rPr>
            </w:pPr>
          </w:p>
          <w:p w14:paraId="7C12155D">
            <w:pPr>
              <w:adjustRightInd w:val="0"/>
              <w:snapToGrid w:val="0"/>
              <w:jc w:val="center"/>
              <w:rPr>
                <w:rFonts w:ascii="宋体" w:hAnsi="宋体" w:cs="宋体"/>
                <w:bCs/>
                <w:color w:val="auto"/>
                <w:sz w:val="24"/>
                <w:highlight w:val="none"/>
              </w:rPr>
            </w:pPr>
            <w:r>
              <w:rPr>
                <w:rFonts w:hint="eastAsia" w:ascii="宋体" w:hAnsi="宋体" w:cs="宋体"/>
                <w:bCs/>
                <w:color w:val="auto"/>
                <w:sz w:val="24"/>
                <w:highlight w:val="none"/>
              </w:rPr>
              <w:t>运营</w:t>
            </w:r>
          </w:p>
          <w:p w14:paraId="5CCA9615">
            <w:pPr>
              <w:adjustRightInd w:val="0"/>
              <w:snapToGrid w:val="0"/>
              <w:jc w:val="center"/>
              <w:rPr>
                <w:rFonts w:ascii="宋体" w:hAnsi="宋体" w:cs="宋体"/>
                <w:bCs/>
                <w:color w:val="auto"/>
                <w:sz w:val="24"/>
                <w:highlight w:val="none"/>
              </w:rPr>
            </w:pPr>
            <w:r>
              <w:rPr>
                <w:rFonts w:hint="eastAsia" w:ascii="宋体" w:hAnsi="宋体" w:cs="宋体"/>
                <w:bCs/>
                <w:color w:val="auto"/>
                <w:sz w:val="24"/>
                <w:highlight w:val="none"/>
              </w:rPr>
              <w:t>期环</w:t>
            </w:r>
          </w:p>
          <w:p w14:paraId="62EC82DC">
            <w:pPr>
              <w:adjustRightInd w:val="0"/>
              <w:snapToGrid w:val="0"/>
              <w:jc w:val="center"/>
              <w:rPr>
                <w:rFonts w:ascii="宋体" w:hAnsi="宋体" w:cs="宋体"/>
                <w:bCs/>
                <w:color w:val="auto"/>
                <w:sz w:val="24"/>
                <w:highlight w:val="none"/>
              </w:rPr>
            </w:pPr>
            <w:r>
              <w:rPr>
                <w:rFonts w:hint="eastAsia" w:ascii="宋体" w:hAnsi="宋体" w:cs="宋体"/>
                <w:bCs/>
                <w:color w:val="auto"/>
                <w:sz w:val="24"/>
                <w:highlight w:val="none"/>
              </w:rPr>
              <w:t>境影</w:t>
            </w:r>
          </w:p>
          <w:p w14:paraId="26652CF5">
            <w:pPr>
              <w:adjustRightInd w:val="0"/>
              <w:snapToGrid w:val="0"/>
              <w:jc w:val="center"/>
              <w:rPr>
                <w:rFonts w:ascii="宋体" w:hAnsi="宋体" w:cs="宋体"/>
                <w:bCs/>
                <w:color w:val="auto"/>
                <w:sz w:val="24"/>
                <w:highlight w:val="none"/>
              </w:rPr>
            </w:pPr>
            <w:r>
              <w:rPr>
                <w:rFonts w:hint="eastAsia" w:ascii="宋体" w:hAnsi="宋体" w:cs="宋体"/>
                <w:bCs/>
                <w:color w:val="auto"/>
                <w:sz w:val="24"/>
                <w:highlight w:val="none"/>
              </w:rPr>
              <w:t>响和</w:t>
            </w:r>
          </w:p>
          <w:p w14:paraId="127A7039">
            <w:pPr>
              <w:adjustRightInd w:val="0"/>
              <w:snapToGrid w:val="0"/>
              <w:jc w:val="center"/>
              <w:rPr>
                <w:rFonts w:ascii="宋体" w:hAnsi="宋体" w:cs="宋体"/>
                <w:bCs/>
                <w:color w:val="auto"/>
                <w:sz w:val="24"/>
                <w:highlight w:val="none"/>
              </w:rPr>
            </w:pPr>
            <w:r>
              <w:rPr>
                <w:rFonts w:hint="eastAsia" w:ascii="宋体" w:hAnsi="宋体" w:cs="宋体"/>
                <w:bCs/>
                <w:color w:val="auto"/>
                <w:sz w:val="24"/>
                <w:highlight w:val="none"/>
              </w:rPr>
              <w:t>保护</w:t>
            </w:r>
          </w:p>
          <w:p w14:paraId="7E2FFD8A">
            <w:pPr>
              <w:adjustRightInd w:val="0"/>
              <w:snapToGrid w:val="0"/>
              <w:jc w:val="center"/>
              <w:rPr>
                <w:rFonts w:ascii="宋体" w:hAnsi="宋体" w:cs="宋体"/>
                <w:bCs/>
                <w:color w:val="auto"/>
                <w:sz w:val="24"/>
                <w:highlight w:val="none"/>
              </w:rPr>
            </w:pPr>
            <w:r>
              <w:rPr>
                <w:rFonts w:hint="eastAsia" w:ascii="宋体" w:hAnsi="宋体" w:cs="宋体"/>
                <w:bCs/>
                <w:color w:val="auto"/>
                <w:sz w:val="24"/>
                <w:highlight w:val="none"/>
              </w:rPr>
              <w:t>措施</w:t>
            </w:r>
          </w:p>
          <w:p w14:paraId="121E983D">
            <w:pPr>
              <w:adjustRightInd w:val="0"/>
              <w:snapToGrid w:val="0"/>
              <w:jc w:val="center"/>
              <w:rPr>
                <w:rFonts w:ascii="宋体" w:hAnsi="宋体" w:cs="宋体"/>
                <w:bCs/>
                <w:color w:val="auto"/>
                <w:szCs w:val="21"/>
                <w:highlight w:val="none"/>
              </w:rPr>
            </w:pPr>
          </w:p>
          <w:p w14:paraId="3AC30E70">
            <w:pPr>
              <w:adjustRightInd w:val="0"/>
              <w:snapToGrid w:val="0"/>
              <w:jc w:val="center"/>
              <w:rPr>
                <w:rFonts w:ascii="宋体" w:hAnsi="宋体" w:cs="宋体"/>
                <w:bCs/>
                <w:color w:val="auto"/>
                <w:szCs w:val="21"/>
                <w:highlight w:val="none"/>
              </w:rPr>
            </w:pPr>
          </w:p>
          <w:p w14:paraId="680DB3F4">
            <w:pPr>
              <w:adjustRightInd w:val="0"/>
              <w:snapToGrid w:val="0"/>
              <w:jc w:val="center"/>
              <w:rPr>
                <w:rFonts w:ascii="宋体" w:hAnsi="宋体" w:cs="宋体"/>
                <w:bCs/>
                <w:color w:val="auto"/>
                <w:szCs w:val="21"/>
                <w:highlight w:val="none"/>
              </w:rPr>
            </w:pPr>
          </w:p>
          <w:p w14:paraId="70BD8C9A">
            <w:pPr>
              <w:adjustRightInd w:val="0"/>
              <w:snapToGrid w:val="0"/>
              <w:jc w:val="center"/>
              <w:rPr>
                <w:rFonts w:ascii="宋体" w:hAnsi="宋体" w:cs="宋体"/>
                <w:bCs/>
                <w:color w:val="auto"/>
                <w:szCs w:val="21"/>
                <w:highlight w:val="none"/>
              </w:rPr>
            </w:pPr>
          </w:p>
          <w:p w14:paraId="32C7DE8A">
            <w:pPr>
              <w:adjustRightInd w:val="0"/>
              <w:snapToGrid w:val="0"/>
              <w:jc w:val="center"/>
              <w:rPr>
                <w:rFonts w:ascii="宋体" w:hAnsi="宋体" w:cs="宋体"/>
                <w:bCs/>
                <w:color w:val="auto"/>
                <w:szCs w:val="21"/>
                <w:highlight w:val="none"/>
              </w:rPr>
            </w:pPr>
          </w:p>
          <w:p w14:paraId="38B131DE">
            <w:pPr>
              <w:adjustRightInd w:val="0"/>
              <w:snapToGrid w:val="0"/>
              <w:jc w:val="center"/>
              <w:rPr>
                <w:rFonts w:ascii="宋体" w:hAnsi="宋体" w:cs="宋体"/>
                <w:bCs/>
                <w:color w:val="auto"/>
                <w:szCs w:val="21"/>
                <w:highlight w:val="none"/>
              </w:rPr>
            </w:pPr>
          </w:p>
          <w:p w14:paraId="00D2F468">
            <w:pPr>
              <w:adjustRightInd w:val="0"/>
              <w:snapToGrid w:val="0"/>
              <w:jc w:val="center"/>
              <w:rPr>
                <w:rFonts w:ascii="宋体" w:hAnsi="宋体" w:cs="宋体"/>
                <w:bCs/>
                <w:color w:val="auto"/>
                <w:szCs w:val="21"/>
                <w:highlight w:val="none"/>
              </w:rPr>
            </w:pPr>
          </w:p>
          <w:p w14:paraId="37F6FCB1">
            <w:pPr>
              <w:adjustRightInd w:val="0"/>
              <w:snapToGrid w:val="0"/>
              <w:jc w:val="center"/>
              <w:rPr>
                <w:rFonts w:ascii="宋体" w:hAnsi="宋体" w:cs="宋体"/>
                <w:bCs/>
                <w:color w:val="auto"/>
                <w:szCs w:val="21"/>
                <w:highlight w:val="none"/>
              </w:rPr>
            </w:pPr>
          </w:p>
          <w:p w14:paraId="1948F403">
            <w:pPr>
              <w:adjustRightInd w:val="0"/>
              <w:snapToGrid w:val="0"/>
              <w:jc w:val="center"/>
              <w:rPr>
                <w:rFonts w:ascii="宋体" w:hAnsi="宋体" w:cs="宋体"/>
                <w:bCs/>
                <w:color w:val="auto"/>
                <w:szCs w:val="21"/>
                <w:highlight w:val="none"/>
              </w:rPr>
            </w:pPr>
          </w:p>
          <w:p w14:paraId="1EC5D0A3">
            <w:pPr>
              <w:adjustRightInd w:val="0"/>
              <w:snapToGrid w:val="0"/>
              <w:jc w:val="center"/>
              <w:rPr>
                <w:rFonts w:ascii="宋体" w:hAnsi="宋体" w:cs="宋体"/>
                <w:bCs/>
                <w:color w:val="auto"/>
                <w:szCs w:val="21"/>
                <w:highlight w:val="none"/>
              </w:rPr>
            </w:pPr>
          </w:p>
          <w:p w14:paraId="25E1C3E0">
            <w:pPr>
              <w:adjustRightInd w:val="0"/>
              <w:snapToGrid w:val="0"/>
              <w:jc w:val="center"/>
              <w:rPr>
                <w:rFonts w:ascii="宋体" w:hAnsi="宋体" w:cs="宋体"/>
                <w:bCs/>
                <w:color w:val="auto"/>
                <w:szCs w:val="21"/>
                <w:highlight w:val="none"/>
              </w:rPr>
            </w:pPr>
          </w:p>
          <w:p w14:paraId="612426DD">
            <w:pPr>
              <w:adjustRightInd w:val="0"/>
              <w:snapToGrid w:val="0"/>
              <w:jc w:val="center"/>
              <w:rPr>
                <w:rFonts w:ascii="宋体" w:hAnsi="宋体" w:cs="宋体"/>
                <w:bCs/>
                <w:color w:val="auto"/>
                <w:szCs w:val="21"/>
                <w:highlight w:val="none"/>
              </w:rPr>
            </w:pPr>
          </w:p>
          <w:p w14:paraId="42F3D8DB">
            <w:pPr>
              <w:adjustRightInd w:val="0"/>
              <w:snapToGrid w:val="0"/>
              <w:jc w:val="center"/>
              <w:rPr>
                <w:rFonts w:ascii="宋体" w:hAnsi="宋体" w:cs="宋体"/>
                <w:bCs/>
                <w:color w:val="auto"/>
                <w:szCs w:val="21"/>
                <w:highlight w:val="none"/>
              </w:rPr>
            </w:pPr>
          </w:p>
          <w:p w14:paraId="1FD32AF8">
            <w:pPr>
              <w:adjustRightInd w:val="0"/>
              <w:snapToGrid w:val="0"/>
              <w:jc w:val="center"/>
              <w:rPr>
                <w:rFonts w:ascii="宋体" w:hAnsi="宋体" w:cs="宋体"/>
                <w:bCs/>
                <w:color w:val="auto"/>
                <w:szCs w:val="21"/>
                <w:highlight w:val="none"/>
              </w:rPr>
            </w:pPr>
          </w:p>
          <w:p w14:paraId="032424AB">
            <w:pPr>
              <w:adjustRightInd w:val="0"/>
              <w:snapToGrid w:val="0"/>
              <w:jc w:val="center"/>
              <w:rPr>
                <w:rFonts w:ascii="宋体" w:hAnsi="宋体" w:cs="宋体"/>
                <w:bCs/>
                <w:color w:val="auto"/>
                <w:szCs w:val="21"/>
                <w:highlight w:val="none"/>
              </w:rPr>
            </w:pPr>
          </w:p>
          <w:p w14:paraId="1C9F6CEB">
            <w:pPr>
              <w:adjustRightInd w:val="0"/>
              <w:snapToGrid w:val="0"/>
              <w:jc w:val="center"/>
              <w:rPr>
                <w:rFonts w:ascii="宋体" w:hAnsi="宋体" w:cs="宋体"/>
                <w:bCs/>
                <w:color w:val="auto"/>
                <w:szCs w:val="21"/>
                <w:highlight w:val="none"/>
              </w:rPr>
            </w:pPr>
          </w:p>
          <w:p w14:paraId="2B224113">
            <w:pPr>
              <w:adjustRightInd w:val="0"/>
              <w:snapToGrid w:val="0"/>
              <w:jc w:val="center"/>
              <w:rPr>
                <w:rFonts w:ascii="宋体" w:hAnsi="宋体" w:cs="宋体"/>
                <w:bCs/>
                <w:color w:val="auto"/>
                <w:szCs w:val="21"/>
                <w:highlight w:val="none"/>
              </w:rPr>
            </w:pPr>
          </w:p>
          <w:p w14:paraId="5C274E3E">
            <w:pPr>
              <w:adjustRightInd w:val="0"/>
              <w:snapToGrid w:val="0"/>
              <w:jc w:val="center"/>
              <w:rPr>
                <w:rFonts w:ascii="宋体" w:hAnsi="宋体" w:cs="宋体"/>
                <w:bCs/>
                <w:color w:val="auto"/>
                <w:szCs w:val="21"/>
                <w:highlight w:val="none"/>
              </w:rPr>
            </w:pPr>
          </w:p>
          <w:p w14:paraId="6AF18048">
            <w:pPr>
              <w:adjustRightInd w:val="0"/>
              <w:snapToGrid w:val="0"/>
              <w:jc w:val="center"/>
              <w:rPr>
                <w:rFonts w:ascii="宋体" w:hAnsi="宋体" w:cs="宋体"/>
                <w:bCs/>
                <w:color w:val="auto"/>
                <w:szCs w:val="21"/>
                <w:highlight w:val="none"/>
              </w:rPr>
            </w:pPr>
          </w:p>
          <w:p w14:paraId="4DD3293D">
            <w:pPr>
              <w:adjustRightInd w:val="0"/>
              <w:snapToGrid w:val="0"/>
              <w:rPr>
                <w:rFonts w:ascii="宋体" w:hAnsi="宋体" w:cs="宋体"/>
                <w:bCs/>
                <w:color w:val="auto"/>
                <w:szCs w:val="21"/>
                <w:highlight w:val="none"/>
              </w:rPr>
            </w:pPr>
          </w:p>
          <w:p w14:paraId="38E1F655">
            <w:pPr>
              <w:adjustRightInd w:val="0"/>
              <w:snapToGrid w:val="0"/>
              <w:jc w:val="center"/>
              <w:rPr>
                <w:rFonts w:ascii="宋体" w:hAnsi="宋体" w:cs="宋体"/>
                <w:bCs/>
                <w:color w:val="auto"/>
                <w:sz w:val="24"/>
                <w:highlight w:val="none"/>
              </w:rPr>
            </w:pPr>
          </w:p>
          <w:p w14:paraId="4FB3E74E">
            <w:pPr>
              <w:adjustRightInd w:val="0"/>
              <w:snapToGrid w:val="0"/>
              <w:jc w:val="center"/>
              <w:rPr>
                <w:rFonts w:ascii="宋体" w:hAnsi="宋体" w:cs="宋体"/>
                <w:bCs/>
                <w:color w:val="auto"/>
                <w:sz w:val="24"/>
                <w:highlight w:val="none"/>
              </w:rPr>
            </w:pPr>
          </w:p>
          <w:p w14:paraId="43BD7FAA">
            <w:pPr>
              <w:adjustRightInd w:val="0"/>
              <w:snapToGrid w:val="0"/>
              <w:jc w:val="center"/>
              <w:rPr>
                <w:rFonts w:ascii="宋体" w:hAnsi="宋体" w:cs="宋体"/>
                <w:bCs/>
                <w:color w:val="auto"/>
                <w:sz w:val="24"/>
                <w:highlight w:val="none"/>
              </w:rPr>
            </w:pPr>
          </w:p>
          <w:p w14:paraId="57D77EEA">
            <w:pPr>
              <w:adjustRightInd w:val="0"/>
              <w:snapToGrid w:val="0"/>
              <w:jc w:val="center"/>
              <w:rPr>
                <w:rFonts w:ascii="宋体" w:hAnsi="宋体" w:cs="宋体"/>
                <w:bCs/>
                <w:color w:val="auto"/>
                <w:sz w:val="24"/>
                <w:highlight w:val="none"/>
              </w:rPr>
            </w:pPr>
          </w:p>
          <w:p w14:paraId="012CAEE7">
            <w:pPr>
              <w:adjustRightInd w:val="0"/>
              <w:snapToGrid w:val="0"/>
              <w:jc w:val="center"/>
              <w:rPr>
                <w:rFonts w:ascii="宋体" w:hAnsi="宋体" w:cs="宋体"/>
                <w:bCs/>
                <w:color w:val="auto"/>
                <w:sz w:val="24"/>
                <w:highlight w:val="none"/>
              </w:rPr>
            </w:pPr>
          </w:p>
          <w:p w14:paraId="2A3E89DE">
            <w:pPr>
              <w:adjustRightInd w:val="0"/>
              <w:snapToGrid w:val="0"/>
              <w:jc w:val="center"/>
              <w:rPr>
                <w:rFonts w:ascii="宋体" w:hAnsi="宋体" w:cs="宋体"/>
                <w:bCs/>
                <w:color w:val="auto"/>
                <w:sz w:val="24"/>
                <w:highlight w:val="none"/>
              </w:rPr>
            </w:pPr>
          </w:p>
          <w:p w14:paraId="3C3BDB19">
            <w:pPr>
              <w:adjustRightInd w:val="0"/>
              <w:snapToGrid w:val="0"/>
              <w:jc w:val="center"/>
              <w:rPr>
                <w:rFonts w:ascii="宋体" w:hAnsi="宋体" w:cs="宋体"/>
                <w:bCs/>
                <w:color w:val="auto"/>
                <w:sz w:val="24"/>
                <w:highlight w:val="none"/>
              </w:rPr>
            </w:pPr>
          </w:p>
          <w:p w14:paraId="5F511E11">
            <w:pPr>
              <w:adjustRightInd w:val="0"/>
              <w:snapToGrid w:val="0"/>
              <w:jc w:val="center"/>
              <w:rPr>
                <w:rFonts w:ascii="宋体" w:hAnsi="宋体" w:cs="宋体"/>
                <w:bCs/>
                <w:color w:val="auto"/>
                <w:sz w:val="24"/>
                <w:highlight w:val="none"/>
              </w:rPr>
            </w:pPr>
          </w:p>
          <w:p w14:paraId="45FB5B60">
            <w:pPr>
              <w:adjustRightInd w:val="0"/>
              <w:snapToGrid w:val="0"/>
              <w:jc w:val="center"/>
              <w:rPr>
                <w:rFonts w:ascii="宋体" w:hAnsi="宋体" w:cs="宋体"/>
                <w:bCs/>
                <w:color w:val="auto"/>
                <w:sz w:val="24"/>
                <w:highlight w:val="none"/>
              </w:rPr>
            </w:pPr>
          </w:p>
          <w:p w14:paraId="56ED4C9D">
            <w:pPr>
              <w:adjustRightInd w:val="0"/>
              <w:snapToGrid w:val="0"/>
              <w:jc w:val="center"/>
              <w:rPr>
                <w:rFonts w:ascii="宋体" w:hAnsi="宋体" w:cs="宋体"/>
                <w:bCs/>
                <w:color w:val="auto"/>
                <w:sz w:val="24"/>
                <w:highlight w:val="none"/>
              </w:rPr>
            </w:pPr>
          </w:p>
          <w:p w14:paraId="68A0FB99">
            <w:pPr>
              <w:adjustRightInd w:val="0"/>
              <w:snapToGrid w:val="0"/>
              <w:jc w:val="center"/>
              <w:rPr>
                <w:rFonts w:ascii="宋体" w:hAnsi="宋体" w:cs="宋体"/>
                <w:bCs/>
                <w:color w:val="auto"/>
                <w:sz w:val="24"/>
                <w:highlight w:val="none"/>
              </w:rPr>
            </w:pPr>
          </w:p>
          <w:p w14:paraId="02E11140">
            <w:pPr>
              <w:adjustRightInd w:val="0"/>
              <w:snapToGrid w:val="0"/>
              <w:jc w:val="center"/>
              <w:rPr>
                <w:rFonts w:ascii="宋体" w:hAnsi="宋体" w:cs="宋体"/>
                <w:bCs/>
                <w:color w:val="auto"/>
                <w:sz w:val="24"/>
                <w:highlight w:val="none"/>
              </w:rPr>
            </w:pPr>
          </w:p>
          <w:p w14:paraId="0F5F709C">
            <w:pPr>
              <w:adjustRightInd w:val="0"/>
              <w:snapToGrid w:val="0"/>
              <w:jc w:val="center"/>
              <w:rPr>
                <w:rFonts w:ascii="宋体" w:hAnsi="宋体" w:cs="宋体"/>
                <w:bCs/>
                <w:color w:val="auto"/>
                <w:sz w:val="24"/>
                <w:highlight w:val="none"/>
              </w:rPr>
            </w:pPr>
            <w:r>
              <w:rPr>
                <w:rFonts w:hint="eastAsia" w:ascii="宋体" w:hAnsi="宋体" w:cs="宋体"/>
                <w:bCs/>
                <w:color w:val="auto"/>
                <w:sz w:val="24"/>
                <w:highlight w:val="none"/>
              </w:rPr>
              <w:t>运营</w:t>
            </w:r>
          </w:p>
          <w:p w14:paraId="5B6FD887">
            <w:pPr>
              <w:adjustRightInd w:val="0"/>
              <w:snapToGrid w:val="0"/>
              <w:jc w:val="center"/>
              <w:rPr>
                <w:rFonts w:ascii="宋体" w:hAnsi="宋体" w:cs="宋体"/>
                <w:bCs/>
                <w:color w:val="auto"/>
                <w:sz w:val="24"/>
                <w:highlight w:val="none"/>
              </w:rPr>
            </w:pPr>
            <w:r>
              <w:rPr>
                <w:rFonts w:hint="eastAsia" w:ascii="宋体" w:hAnsi="宋体" w:cs="宋体"/>
                <w:bCs/>
                <w:color w:val="auto"/>
                <w:sz w:val="24"/>
                <w:highlight w:val="none"/>
              </w:rPr>
              <w:t>期环</w:t>
            </w:r>
          </w:p>
          <w:p w14:paraId="6CD2AB4D">
            <w:pPr>
              <w:adjustRightInd w:val="0"/>
              <w:snapToGrid w:val="0"/>
              <w:jc w:val="center"/>
              <w:rPr>
                <w:rFonts w:ascii="宋体" w:hAnsi="宋体" w:cs="宋体"/>
                <w:bCs/>
                <w:color w:val="auto"/>
                <w:sz w:val="24"/>
                <w:highlight w:val="none"/>
              </w:rPr>
            </w:pPr>
            <w:r>
              <w:rPr>
                <w:rFonts w:hint="eastAsia" w:ascii="宋体" w:hAnsi="宋体" w:cs="宋体"/>
                <w:bCs/>
                <w:color w:val="auto"/>
                <w:sz w:val="24"/>
                <w:highlight w:val="none"/>
              </w:rPr>
              <w:t>境影</w:t>
            </w:r>
          </w:p>
          <w:p w14:paraId="69029744">
            <w:pPr>
              <w:adjustRightInd w:val="0"/>
              <w:snapToGrid w:val="0"/>
              <w:jc w:val="center"/>
              <w:rPr>
                <w:rFonts w:ascii="宋体" w:hAnsi="宋体" w:cs="宋体"/>
                <w:bCs/>
                <w:color w:val="auto"/>
                <w:sz w:val="24"/>
                <w:highlight w:val="none"/>
              </w:rPr>
            </w:pPr>
            <w:r>
              <w:rPr>
                <w:rFonts w:hint="eastAsia" w:ascii="宋体" w:hAnsi="宋体" w:cs="宋体"/>
                <w:bCs/>
                <w:color w:val="auto"/>
                <w:sz w:val="24"/>
                <w:highlight w:val="none"/>
              </w:rPr>
              <w:t>响和</w:t>
            </w:r>
          </w:p>
          <w:p w14:paraId="2371F3EE">
            <w:pPr>
              <w:adjustRightInd w:val="0"/>
              <w:snapToGrid w:val="0"/>
              <w:jc w:val="center"/>
              <w:rPr>
                <w:rFonts w:ascii="宋体" w:hAnsi="宋体" w:cs="宋体"/>
                <w:bCs/>
                <w:color w:val="auto"/>
                <w:sz w:val="24"/>
                <w:highlight w:val="none"/>
              </w:rPr>
            </w:pPr>
            <w:r>
              <w:rPr>
                <w:rFonts w:hint="eastAsia" w:ascii="宋体" w:hAnsi="宋体" w:cs="宋体"/>
                <w:bCs/>
                <w:color w:val="auto"/>
                <w:sz w:val="24"/>
                <w:highlight w:val="none"/>
              </w:rPr>
              <w:t>保护</w:t>
            </w:r>
          </w:p>
          <w:p w14:paraId="65A7BE56">
            <w:pPr>
              <w:adjustRightInd w:val="0"/>
              <w:snapToGrid w:val="0"/>
              <w:jc w:val="center"/>
              <w:rPr>
                <w:rFonts w:ascii="宋体" w:hAnsi="宋体" w:cs="宋体"/>
                <w:bCs/>
                <w:color w:val="auto"/>
                <w:sz w:val="24"/>
                <w:highlight w:val="none"/>
              </w:rPr>
            </w:pPr>
            <w:r>
              <w:rPr>
                <w:rFonts w:hint="eastAsia" w:ascii="宋体" w:hAnsi="宋体" w:cs="宋体"/>
                <w:bCs/>
                <w:color w:val="auto"/>
                <w:sz w:val="24"/>
                <w:highlight w:val="none"/>
              </w:rPr>
              <w:t>措施</w:t>
            </w:r>
          </w:p>
          <w:p w14:paraId="6F3DD104">
            <w:pPr>
              <w:adjustRightInd w:val="0"/>
              <w:snapToGrid w:val="0"/>
              <w:jc w:val="center"/>
              <w:rPr>
                <w:rFonts w:ascii="宋体" w:hAnsi="宋体" w:cs="宋体"/>
                <w:bCs/>
                <w:color w:val="auto"/>
                <w:szCs w:val="21"/>
                <w:highlight w:val="none"/>
              </w:rPr>
            </w:pPr>
          </w:p>
          <w:p w14:paraId="3188763F">
            <w:pPr>
              <w:adjustRightInd w:val="0"/>
              <w:snapToGrid w:val="0"/>
              <w:jc w:val="center"/>
              <w:rPr>
                <w:rFonts w:ascii="宋体" w:hAnsi="宋体" w:cs="宋体"/>
                <w:bCs/>
                <w:color w:val="auto"/>
                <w:szCs w:val="21"/>
                <w:highlight w:val="none"/>
              </w:rPr>
            </w:pPr>
          </w:p>
          <w:p w14:paraId="5B2D2906">
            <w:pPr>
              <w:adjustRightInd w:val="0"/>
              <w:snapToGrid w:val="0"/>
              <w:jc w:val="center"/>
              <w:rPr>
                <w:rFonts w:ascii="宋体" w:hAnsi="宋体" w:cs="宋体"/>
                <w:bCs/>
                <w:color w:val="auto"/>
                <w:szCs w:val="21"/>
                <w:highlight w:val="none"/>
              </w:rPr>
            </w:pPr>
          </w:p>
          <w:p w14:paraId="6E8BB8B9">
            <w:pPr>
              <w:adjustRightInd w:val="0"/>
              <w:snapToGrid w:val="0"/>
              <w:jc w:val="center"/>
              <w:rPr>
                <w:rFonts w:ascii="宋体" w:hAnsi="宋体" w:cs="宋体"/>
                <w:bCs/>
                <w:color w:val="auto"/>
                <w:szCs w:val="21"/>
                <w:highlight w:val="none"/>
              </w:rPr>
            </w:pPr>
          </w:p>
          <w:p w14:paraId="013A807B">
            <w:pPr>
              <w:adjustRightInd w:val="0"/>
              <w:snapToGrid w:val="0"/>
              <w:jc w:val="center"/>
              <w:rPr>
                <w:rFonts w:ascii="宋体" w:hAnsi="宋体" w:cs="宋体"/>
                <w:bCs/>
                <w:color w:val="auto"/>
                <w:szCs w:val="21"/>
                <w:highlight w:val="none"/>
              </w:rPr>
            </w:pPr>
          </w:p>
          <w:p w14:paraId="3C5F981F">
            <w:pPr>
              <w:adjustRightInd w:val="0"/>
              <w:snapToGrid w:val="0"/>
              <w:jc w:val="center"/>
              <w:rPr>
                <w:rFonts w:ascii="宋体" w:hAnsi="宋体" w:cs="宋体"/>
                <w:bCs/>
                <w:color w:val="auto"/>
                <w:szCs w:val="21"/>
                <w:highlight w:val="none"/>
              </w:rPr>
            </w:pPr>
          </w:p>
          <w:p w14:paraId="3A5BA1E6">
            <w:pPr>
              <w:adjustRightInd w:val="0"/>
              <w:snapToGrid w:val="0"/>
              <w:jc w:val="center"/>
              <w:rPr>
                <w:rFonts w:ascii="宋体" w:hAnsi="宋体" w:cs="宋体"/>
                <w:bCs/>
                <w:color w:val="auto"/>
                <w:szCs w:val="21"/>
                <w:highlight w:val="none"/>
              </w:rPr>
            </w:pPr>
          </w:p>
          <w:p w14:paraId="685EC22E">
            <w:pPr>
              <w:adjustRightInd w:val="0"/>
              <w:snapToGrid w:val="0"/>
              <w:jc w:val="center"/>
              <w:rPr>
                <w:rFonts w:ascii="宋体" w:hAnsi="宋体" w:cs="宋体"/>
                <w:bCs/>
                <w:color w:val="auto"/>
                <w:szCs w:val="21"/>
                <w:highlight w:val="none"/>
              </w:rPr>
            </w:pPr>
          </w:p>
          <w:p w14:paraId="164C3F72">
            <w:pPr>
              <w:adjustRightInd w:val="0"/>
              <w:snapToGrid w:val="0"/>
              <w:jc w:val="center"/>
              <w:rPr>
                <w:rFonts w:ascii="宋体" w:hAnsi="宋体" w:cs="宋体"/>
                <w:bCs/>
                <w:color w:val="auto"/>
                <w:szCs w:val="21"/>
                <w:highlight w:val="none"/>
              </w:rPr>
            </w:pPr>
          </w:p>
          <w:p w14:paraId="062ABF00">
            <w:pPr>
              <w:adjustRightInd w:val="0"/>
              <w:snapToGrid w:val="0"/>
              <w:jc w:val="center"/>
              <w:rPr>
                <w:rFonts w:ascii="宋体" w:hAnsi="宋体" w:cs="宋体"/>
                <w:bCs/>
                <w:color w:val="auto"/>
                <w:szCs w:val="21"/>
                <w:highlight w:val="none"/>
              </w:rPr>
            </w:pPr>
          </w:p>
          <w:p w14:paraId="30EE1A86">
            <w:pPr>
              <w:adjustRightInd w:val="0"/>
              <w:snapToGrid w:val="0"/>
              <w:jc w:val="center"/>
              <w:rPr>
                <w:rFonts w:ascii="宋体" w:hAnsi="宋体" w:cs="宋体"/>
                <w:bCs/>
                <w:color w:val="auto"/>
                <w:szCs w:val="21"/>
                <w:highlight w:val="none"/>
              </w:rPr>
            </w:pPr>
          </w:p>
          <w:p w14:paraId="397C5102">
            <w:pPr>
              <w:adjustRightInd w:val="0"/>
              <w:snapToGrid w:val="0"/>
              <w:jc w:val="center"/>
              <w:rPr>
                <w:rFonts w:ascii="宋体" w:hAnsi="宋体" w:cs="宋体"/>
                <w:bCs/>
                <w:color w:val="auto"/>
                <w:szCs w:val="21"/>
                <w:highlight w:val="none"/>
              </w:rPr>
            </w:pPr>
          </w:p>
          <w:p w14:paraId="713C9AC2">
            <w:pPr>
              <w:adjustRightInd w:val="0"/>
              <w:snapToGrid w:val="0"/>
              <w:jc w:val="center"/>
              <w:rPr>
                <w:rFonts w:ascii="宋体" w:hAnsi="宋体" w:cs="宋体"/>
                <w:bCs/>
                <w:color w:val="auto"/>
                <w:szCs w:val="21"/>
                <w:highlight w:val="none"/>
              </w:rPr>
            </w:pPr>
          </w:p>
          <w:p w14:paraId="3D09E6EF">
            <w:pPr>
              <w:adjustRightInd w:val="0"/>
              <w:snapToGrid w:val="0"/>
              <w:jc w:val="center"/>
              <w:rPr>
                <w:rFonts w:ascii="宋体" w:hAnsi="宋体" w:cs="宋体"/>
                <w:bCs/>
                <w:color w:val="auto"/>
                <w:szCs w:val="21"/>
                <w:highlight w:val="none"/>
              </w:rPr>
            </w:pPr>
          </w:p>
          <w:p w14:paraId="3FED2C60">
            <w:pPr>
              <w:adjustRightInd w:val="0"/>
              <w:snapToGrid w:val="0"/>
              <w:jc w:val="center"/>
              <w:rPr>
                <w:rFonts w:ascii="宋体" w:hAnsi="宋体" w:cs="宋体"/>
                <w:bCs/>
                <w:color w:val="auto"/>
                <w:szCs w:val="21"/>
                <w:highlight w:val="none"/>
              </w:rPr>
            </w:pPr>
          </w:p>
          <w:p w14:paraId="08CC38A5">
            <w:pPr>
              <w:adjustRightInd w:val="0"/>
              <w:snapToGrid w:val="0"/>
              <w:jc w:val="center"/>
              <w:rPr>
                <w:rFonts w:ascii="宋体" w:hAnsi="宋体" w:cs="宋体"/>
                <w:bCs/>
                <w:color w:val="auto"/>
                <w:szCs w:val="21"/>
                <w:highlight w:val="none"/>
              </w:rPr>
            </w:pPr>
          </w:p>
          <w:p w14:paraId="1DA5B649">
            <w:pPr>
              <w:adjustRightInd w:val="0"/>
              <w:snapToGrid w:val="0"/>
              <w:jc w:val="center"/>
              <w:rPr>
                <w:rFonts w:ascii="宋体" w:hAnsi="宋体" w:cs="宋体"/>
                <w:bCs/>
                <w:color w:val="auto"/>
                <w:szCs w:val="21"/>
                <w:highlight w:val="none"/>
              </w:rPr>
            </w:pPr>
          </w:p>
          <w:p w14:paraId="794EC5AA">
            <w:pPr>
              <w:adjustRightInd w:val="0"/>
              <w:snapToGrid w:val="0"/>
              <w:jc w:val="center"/>
              <w:rPr>
                <w:rFonts w:ascii="宋体" w:hAnsi="宋体" w:cs="宋体"/>
                <w:bCs/>
                <w:color w:val="auto"/>
                <w:szCs w:val="21"/>
                <w:highlight w:val="none"/>
              </w:rPr>
            </w:pPr>
          </w:p>
          <w:p w14:paraId="5E01FEF8">
            <w:pPr>
              <w:adjustRightInd w:val="0"/>
              <w:snapToGrid w:val="0"/>
              <w:jc w:val="center"/>
              <w:rPr>
                <w:rFonts w:ascii="宋体" w:hAnsi="宋体" w:cs="宋体"/>
                <w:bCs/>
                <w:color w:val="auto"/>
                <w:szCs w:val="21"/>
                <w:highlight w:val="none"/>
              </w:rPr>
            </w:pPr>
          </w:p>
          <w:p w14:paraId="0D9F65CF">
            <w:pPr>
              <w:adjustRightInd w:val="0"/>
              <w:snapToGrid w:val="0"/>
              <w:jc w:val="center"/>
              <w:rPr>
                <w:rFonts w:ascii="宋体" w:hAnsi="宋体" w:cs="宋体"/>
                <w:bCs/>
                <w:color w:val="auto"/>
                <w:szCs w:val="21"/>
                <w:highlight w:val="none"/>
              </w:rPr>
            </w:pPr>
          </w:p>
          <w:p w14:paraId="37117763">
            <w:pPr>
              <w:adjustRightInd w:val="0"/>
              <w:snapToGrid w:val="0"/>
              <w:jc w:val="center"/>
              <w:rPr>
                <w:rFonts w:ascii="宋体" w:hAnsi="宋体" w:cs="宋体"/>
                <w:bCs/>
                <w:color w:val="auto"/>
                <w:szCs w:val="21"/>
                <w:highlight w:val="none"/>
              </w:rPr>
            </w:pPr>
          </w:p>
          <w:p w14:paraId="341DEBDB">
            <w:pPr>
              <w:adjustRightInd w:val="0"/>
              <w:snapToGrid w:val="0"/>
              <w:jc w:val="center"/>
              <w:rPr>
                <w:rFonts w:ascii="宋体" w:hAnsi="宋体" w:cs="宋体"/>
                <w:bCs/>
                <w:color w:val="auto"/>
                <w:szCs w:val="21"/>
                <w:highlight w:val="none"/>
              </w:rPr>
            </w:pPr>
          </w:p>
          <w:p w14:paraId="7AEDF0B2">
            <w:pPr>
              <w:adjustRightInd w:val="0"/>
              <w:snapToGrid w:val="0"/>
              <w:jc w:val="center"/>
              <w:rPr>
                <w:rFonts w:ascii="宋体" w:hAnsi="宋体" w:cs="宋体"/>
                <w:bCs/>
                <w:color w:val="auto"/>
                <w:szCs w:val="21"/>
                <w:highlight w:val="none"/>
              </w:rPr>
            </w:pPr>
          </w:p>
          <w:p w14:paraId="1537C917">
            <w:pPr>
              <w:adjustRightInd w:val="0"/>
              <w:snapToGrid w:val="0"/>
              <w:jc w:val="center"/>
              <w:rPr>
                <w:rFonts w:ascii="宋体" w:hAnsi="宋体" w:cs="宋体"/>
                <w:bCs/>
                <w:color w:val="auto"/>
                <w:szCs w:val="21"/>
                <w:highlight w:val="none"/>
              </w:rPr>
            </w:pPr>
          </w:p>
          <w:p w14:paraId="182A248A">
            <w:pPr>
              <w:adjustRightInd w:val="0"/>
              <w:snapToGrid w:val="0"/>
              <w:jc w:val="center"/>
              <w:rPr>
                <w:rFonts w:ascii="宋体" w:hAnsi="宋体" w:cs="宋体"/>
                <w:bCs/>
                <w:color w:val="auto"/>
                <w:szCs w:val="21"/>
                <w:highlight w:val="none"/>
              </w:rPr>
            </w:pPr>
          </w:p>
          <w:p w14:paraId="23C889EB">
            <w:pPr>
              <w:adjustRightInd w:val="0"/>
              <w:snapToGrid w:val="0"/>
              <w:jc w:val="center"/>
              <w:rPr>
                <w:rFonts w:ascii="宋体" w:hAnsi="宋体" w:cs="宋体"/>
                <w:bCs/>
                <w:color w:val="auto"/>
                <w:szCs w:val="21"/>
                <w:highlight w:val="none"/>
              </w:rPr>
            </w:pPr>
          </w:p>
          <w:p w14:paraId="5F5FB04B">
            <w:pPr>
              <w:adjustRightInd w:val="0"/>
              <w:snapToGrid w:val="0"/>
              <w:jc w:val="center"/>
              <w:rPr>
                <w:rFonts w:ascii="宋体" w:hAnsi="宋体" w:cs="宋体"/>
                <w:bCs/>
                <w:color w:val="auto"/>
                <w:szCs w:val="21"/>
                <w:highlight w:val="none"/>
              </w:rPr>
            </w:pPr>
          </w:p>
          <w:p w14:paraId="74FB28BA">
            <w:pPr>
              <w:adjustRightInd w:val="0"/>
              <w:snapToGrid w:val="0"/>
              <w:jc w:val="center"/>
              <w:rPr>
                <w:rFonts w:ascii="宋体" w:hAnsi="宋体" w:cs="宋体"/>
                <w:bCs/>
                <w:color w:val="auto"/>
                <w:szCs w:val="21"/>
                <w:highlight w:val="none"/>
              </w:rPr>
            </w:pPr>
          </w:p>
          <w:p w14:paraId="62564E98">
            <w:pPr>
              <w:adjustRightInd w:val="0"/>
              <w:snapToGrid w:val="0"/>
              <w:rPr>
                <w:rFonts w:ascii="宋体" w:hAnsi="宋体" w:cs="宋体"/>
                <w:bCs/>
                <w:color w:val="auto"/>
                <w:szCs w:val="21"/>
                <w:highlight w:val="none"/>
              </w:rPr>
            </w:pPr>
          </w:p>
          <w:p w14:paraId="24121422">
            <w:pPr>
              <w:pStyle w:val="46"/>
              <w:rPr>
                <w:rFonts w:hAnsi="宋体"/>
                <w:bCs/>
                <w:color w:val="auto"/>
                <w:szCs w:val="21"/>
                <w:highlight w:val="none"/>
              </w:rPr>
            </w:pPr>
          </w:p>
          <w:p w14:paraId="649B19F1">
            <w:pPr>
              <w:pStyle w:val="46"/>
              <w:rPr>
                <w:rFonts w:hAnsi="宋体"/>
                <w:bCs/>
                <w:color w:val="auto"/>
                <w:szCs w:val="21"/>
                <w:highlight w:val="none"/>
              </w:rPr>
            </w:pPr>
          </w:p>
          <w:p w14:paraId="2D3F183B">
            <w:pPr>
              <w:pStyle w:val="46"/>
              <w:rPr>
                <w:rFonts w:hAnsi="宋体"/>
                <w:bCs/>
                <w:color w:val="auto"/>
                <w:szCs w:val="21"/>
                <w:highlight w:val="none"/>
              </w:rPr>
            </w:pPr>
          </w:p>
          <w:p w14:paraId="68915590">
            <w:pPr>
              <w:pStyle w:val="46"/>
              <w:rPr>
                <w:rFonts w:hAnsi="宋体"/>
                <w:bCs/>
                <w:color w:val="auto"/>
                <w:szCs w:val="21"/>
                <w:highlight w:val="none"/>
              </w:rPr>
            </w:pPr>
          </w:p>
          <w:p w14:paraId="2A8C761E">
            <w:pPr>
              <w:adjustRightInd w:val="0"/>
              <w:snapToGrid w:val="0"/>
              <w:rPr>
                <w:rFonts w:ascii="宋体" w:hAnsi="宋体" w:cs="宋体"/>
                <w:bCs/>
                <w:color w:val="auto"/>
                <w:sz w:val="24"/>
                <w:highlight w:val="none"/>
              </w:rPr>
            </w:pPr>
          </w:p>
          <w:p w14:paraId="699C1997">
            <w:pPr>
              <w:adjustRightInd w:val="0"/>
              <w:snapToGrid w:val="0"/>
              <w:jc w:val="center"/>
              <w:rPr>
                <w:rFonts w:ascii="宋体" w:hAnsi="宋体" w:cs="宋体"/>
                <w:bCs/>
                <w:color w:val="auto"/>
                <w:sz w:val="24"/>
                <w:highlight w:val="none"/>
              </w:rPr>
            </w:pPr>
            <w:r>
              <w:rPr>
                <w:rFonts w:hint="eastAsia" w:ascii="宋体" w:hAnsi="宋体" w:cs="宋体"/>
                <w:bCs/>
                <w:color w:val="auto"/>
                <w:sz w:val="24"/>
                <w:highlight w:val="none"/>
              </w:rPr>
              <w:t>运营</w:t>
            </w:r>
          </w:p>
          <w:p w14:paraId="248E94A4">
            <w:pPr>
              <w:adjustRightInd w:val="0"/>
              <w:snapToGrid w:val="0"/>
              <w:jc w:val="center"/>
              <w:rPr>
                <w:rFonts w:ascii="宋体" w:hAnsi="宋体" w:cs="宋体"/>
                <w:bCs/>
                <w:color w:val="auto"/>
                <w:sz w:val="24"/>
                <w:highlight w:val="none"/>
              </w:rPr>
            </w:pPr>
            <w:r>
              <w:rPr>
                <w:rFonts w:hint="eastAsia" w:ascii="宋体" w:hAnsi="宋体" w:cs="宋体"/>
                <w:bCs/>
                <w:color w:val="auto"/>
                <w:sz w:val="24"/>
                <w:highlight w:val="none"/>
              </w:rPr>
              <w:t>期环</w:t>
            </w:r>
          </w:p>
          <w:p w14:paraId="0CE928CE">
            <w:pPr>
              <w:adjustRightInd w:val="0"/>
              <w:snapToGrid w:val="0"/>
              <w:jc w:val="center"/>
              <w:rPr>
                <w:rFonts w:ascii="宋体" w:hAnsi="宋体" w:cs="宋体"/>
                <w:bCs/>
                <w:color w:val="auto"/>
                <w:sz w:val="24"/>
                <w:highlight w:val="none"/>
              </w:rPr>
            </w:pPr>
            <w:r>
              <w:rPr>
                <w:rFonts w:hint="eastAsia" w:ascii="宋体" w:hAnsi="宋体" w:cs="宋体"/>
                <w:bCs/>
                <w:color w:val="auto"/>
                <w:sz w:val="24"/>
                <w:highlight w:val="none"/>
              </w:rPr>
              <w:t>境影</w:t>
            </w:r>
          </w:p>
          <w:p w14:paraId="67CF166A">
            <w:pPr>
              <w:adjustRightInd w:val="0"/>
              <w:snapToGrid w:val="0"/>
              <w:jc w:val="center"/>
              <w:rPr>
                <w:rFonts w:ascii="宋体" w:hAnsi="宋体" w:cs="宋体"/>
                <w:bCs/>
                <w:color w:val="auto"/>
                <w:sz w:val="24"/>
                <w:highlight w:val="none"/>
              </w:rPr>
            </w:pPr>
            <w:r>
              <w:rPr>
                <w:rFonts w:hint="eastAsia" w:ascii="宋体" w:hAnsi="宋体" w:cs="宋体"/>
                <w:bCs/>
                <w:color w:val="auto"/>
                <w:sz w:val="24"/>
                <w:highlight w:val="none"/>
              </w:rPr>
              <w:t>响和</w:t>
            </w:r>
          </w:p>
          <w:p w14:paraId="0E9BC776">
            <w:pPr>
              <w:adjustRightInd w:val="0"/>
              <w:snapToGrid w:val="0"/>
              <w:jc w:val="center"/>
              <w:rPr>
                <w:rFonts w:ascii="宋体" w:hAnsi="宋体" w:cs="宋体"/>
                <w:bCs/>
                <w:color w:val="auto"/>
                <w:sz w:val="24"/>
                <w:highlight w:val="none"/>
              </w:rPr>
            </w:pPr>
            <w:r>
              <w:rPr>
                <w:rFonts w:hint="eastAsia" w:ascii="宋体" w:hAnsi="宋体" w:cs="宋体"/>
                <w:bCs/>
                <w:color w:val="auto"/>
                <w:sz w:val="24"/>
                <w:highlight w:val="none"/>
              </w:rPr>
              <w:t>保护</w:t>
            </w:r>
          </w:p>
          <w:p w14:paraId="093FC360">
            <w:pPr>
              <w:adjustRightInd w:val="0"/>
              <w:snapToGrid w:val="0"/>
              <w:jc w:val="center"/>
              <w:rPr>
                <w:rFonts w:ascii="宋体" w:hAnsi="宋体" w:cs="宋体"/>
                <w:bCs/>
                <w:color w:val="auto"/>
                <w:sz w:val="24"/>
                <w:highlight w:val="none"/>
              </w:rPr>
            </w:pPr>
            <w:r>
              <w:rPr>
                <w:rFonts w:hint="eastAsia" w:ascii="宋体" w:hAnsi="宋体" w:cs="宋体"/>
                <w:bCs/>
                <w:color w:val="auto"/>
                <w:sz w:val="24"/>
                <w:highlight w:val="none"/>
              </w:rPr>
              <w:t>措施</w:t>
            </w:r>
          </w:p>
          <w:p w14:paraId="6E36F49E">
            <w:pPr>
              <w:adjustRightInd w:val="0"/>
              <w:snapToGrid w:val="0"/>
              <w:jc w:val="center"/>
              <w:rPr>
                <w:rFonts w:ascii="宋体" w:hAnsi="宋体" w:cs="宋体"/>
                <w:bCs/>
                <w:color w:val="auto"/>
                <w:szCs w:val="21"/>
                <w:highlight w:val="none"/>
              </w:rPr>
            </w:pPr>
          </w:p>
          <w:p w14:paraId="4D533AD2">
            <w:pPr>
              <w:adjustRightInd w:val="0"/>
              <w:snapToGrid w:val="0"/>
              <w:jc w:val="center"/>
              <w:rPr>
                <w:rFonts w:ascii="宋体" w:hAnsi="宋体" w:cs="宋体"/>
                <w:bCs/>
                <w:color w:val="auto"/>
                <w:szCs w:val="21"/>
                <w:highlight w:val="none"/>
              </w:rPr>
            </w:pPr>
          </w:p>
          <w:p w14:paraId="0D047A03">
            <w:pPr>
              <w:adjustRightInd w:val="0"/>
              <w:snapToGrid w:val="0"/>
              <w:jc w:val="center"/>
              <w:rPr>
                <w:rFonts w:ascii="宋体" w:hAnsi="宋体" w:cs="宋体"/>
                <w:bCs/>
                <w:color w:val="auto"/>
                <w:szCs w:val="21"/>
                <w:highlight w:val="none"/>
              </w:rPr>
            </w:pPr>
          </w:p>
          <w:p w14:paraId="7FC971E5">
            <w:pPr>
              <w:adjustRightInd w:val="0"/>
              <w:snapToGrid w:val="0"/>
              <w:jc w:val="center"/>
              <w:rPr>
                <w:rFonts w:ascii="宋体" w:hAnsi="宋体" w:cs="宋体"/>
                <w:bCs/>
                <w:color w:val="auto"/>
                <w:szCs w:val="21"/>
                <w:highlight w:val="none"/>
              </w:rPr>
            </w:pPr>
          </w:p>
          <w:p w14:paraId="6E234FDB">
            <w:pPr>
              <w:adjustRightInd w:val="0"/>
              <w:snapToGrid w:val="0"/>
              <w:jc w:val="center"/>
              <w:rPr>
                <w:rFonts w:ascii="宋体" w:hAnsi="宋体" w:cs="宋体"/>
                <w:bCs/>
                <w:color w:val="auto"/>
                <w:szCs w:val="21"/>
                <w:highlight w:val="none"/>
              </w:rPr>
            </w:pPr>
          </w:p>
          <w:p w14:paraId="5BBB7387">
            <w:pPr>
              <w:adjustRightInd w:val="0"/>
              <w:snapToGrid w:val="0"/>
              <w:jc w:val="center"/>
              <w:rPr>
                <w:rFonts w:ascii="宋体" w:hAnsi="宋体" w:cs="宋体"/>
                <w:bCs/>
                <w:color w:val="auto"/>
                <w:szCs w:val="21"/>
                <w:highlight w:val="none"/>
              </w:rPr>
            </w:pPr>
          </w:p>
          <w:p w14:paraId="414BDC55">
            <w:pPr>
              <w:adjustRightInd w:val="0"/>
              <w:snapToGrid w:val="0"/>
              <w:jc w:val="center"/>
              <w:rPr>
                <w:rFonts w:ascii="宋体" w:hAnsi="宋体" w:cs="宋体"/>
                <w:bCs/>
                <w:color w:val="auto"/>
                <w:szCs w:val="21"/>
                <w:highlight w:val="none"/>
              </w:rPr>
            </w:pPr>
          </w:p>
          <w:p w14:paraId="16507E00">
            <w:pPr>
              <w:adjustRightInd w:val="0"/>
              <w:snapToGrid w:val="0"/>
              <w:jc w:val="center"/>
              <w:rPr>
                <w:rFonts w:ascii="宋体" w:hAnsi="宋体" w:cs="宋体"/>
                <w:bCs/>
                <w:color w:val="auto"/>
                <w:szCs w:val="21"/>
                <w:highlight w:val="none"/>
              </w:rPr>
            </w:pPr>
          </w:p>
          <w:p w14:paraId="28FE86AA">
            <w:pPr>
              <w:adjustRightInd w:val="0"/>
              <w:snapToGrid w:val="0"/>
              <w:jc w:val="center"/>
              <w:rPr>
                <w:rFonts w:ascii="宋体" w:hAnsi="宋体" w:cs="宋体"/>
                <w:bCs/>
                <w:color w:val="auto"/>
                <w:szCs w:val="21"/>
                <w:highlight w:val="none"/>
              </w:rPr>
            </w:pPr>
          </w:p>
          <w:p w14:paraId="4780F83B">
            <w:pPr>
              <w:adjustRightInd w:val="0"/>
              <w:snapToGrid w:val="0"/>
              <w:jc w:val="center"/>
              <w:rPr>
                <w:rFonts w:ascii="宋体" w:hAnsi="宋体" w:cs="宋体"/>
                <w:bCs/>
                <w:color w:val="auto"/>
                <w:szCs w:val="21"/>
                <w:highlight w:val="none"/>
              </w:rPr>
            </w:pPr>
          </w:p>
          <w:p w14:paraId="39BFCC6C">
            <w:pPr>
              <w:adjustRightInd w:val="0"/>
              <w:snapToGrid w:val="0"/>
              <w:jc w:val="center"/>
              <w:rPr>
                <w:rFonts w:ascii="宋体" w:hAnsi="宋体" w:cs="宋体"/>
                <w:bCs/>
                <w:color w:val="auto"/>
                <w:szCs w:val="21"/>
                <w:highlight w:val="none"/>
              </w:rPr>
            </w:pPr>
          </w:p>
          <w:p w14:paraId="0E120EAC">
            <w:pPr>
              <w:adjustRightInd w:val="0"/>
              <w:snapToGrid w:val="0"/>
              <w:jc w:val="center"/>
              <w:rPr>
                <w:rFonts w:ascii="宋体" w:hAnsi="宋体" w:cs="宋体"/>
                <w:bCs/>
                <w:color w:val="auto"/>
                <w:szCs w:val="21"/>
                <w:highlight w:val="none"/>
              </w:rPr>
            </w:pPr>
          </w:p>
          <w:p w14:paraId="65C9A23E">
            <w:pPr>
              <w:adjustRightInd w:val="0"/>
              <w:snapToGrid w:val="0"/>
              <w:jc w:val="center"/>
              <w:rPr>
                <w:rFonts w:ascii="宋体" w:hAnsi="宋体" w:cs="宋体"/>
                <w:bCs/>
                <w:color w:val="auto"/>
                <w:szCs w:val="21"/>
                <w:highlight w:val="none"/>
              </w:rPr>
            </w:pPr>
          </w:p>
          <w:p w14:paraId="0362027D">
            <w:pPr>
              <w:adjustRightInd w:val="0"/>
              <w:snapToGrid w:val="0"/>
              <w:jc w:val="center"/>
              <w:rPr>
                <w:rFonts w:ascii="宋体" w:hAnsi="宋体" w:cs="宋体"/>
                <w:bCs/>
                <w:color w:val="auto"/>
                <w:szCs w:val="21"/>
                <w:highlight w:val="none"/>
              </w:rPr>
            </w:pPr>
          </w:p>
          <w:p w14:paraId="62062058">
            <w:pPr>
              <w:adjustRightInd w:val="0"/>
              <w:snapToGrid w:val="0"/>
              <w:jc w:val="center"/>
              <w:rPr>
                <w:rFonts w:ascii="宋体" w:hAnsi="宋体" w:cs="宋体"/>
                <w:bCs/>
                <w:color w:val="auto"/>
                <w:szCs w:val="21"/>
                <w:highlight w:val="none"/>
              </w:rPr>
            </w:pPr>
          </w:p>
          <w:p w14:paraId="2013ACE2">
            <w:pPr>
              <w:adjustRightInd w:val="0"/>
              <w:snapToGrid w:val="0"/>
              <w:jc w:val="center"/>
              <w:rPr>
                <w:rFonts w:ascii="宋体" w:hAnsi="宋体" w:cs="宋体"/>
                <w:bCs/>
                <w:color w:val="auto"/>
                <w:szCs w:val="21"/>
                <w:highlight w:val="none"/>
              </w:rPr>
            </w:pPr>
          </w:p>
          <w:p w14:paraId="2DDC1692">
            <w:pPr>
              <w:adjustRightInd w:val="0"/>
              <w:snapToGrid w:val="0"/>
              <w:jc w:val="center"/>
              <w:rPr>
                <w:rFonts w:ascii="宋体" w:hAnsi="宋体" w:cs="宋体"/>
                <w:bCs/>
                <w:color w:val="auto"/>
                <w:szCs w:val="21"/>
                <w:highlight w:val="none"/>
              </w:rPr>
            </w:pPr>
          </w:p>
          <w:p w14:paraId="6F5AA8EA">
            <w:pPr>
              <w:adjustRightInd w:val="0"/>
              <w:snapToGrid w:val="0"/>
              <w:jc w:val="center"/>
              <w:rPr>
                <w:rFonts w:ascii="宋体" w:hAnsi="宋体" w:cs="宋体"/>
                <w:bCs/>
                <w:color w:val="auto"/>
                <w:szCs w:val="21"/>
                <w:highlight w:val="none"/>
              </w:rPr>
            </w:pPr>
          </w:p>
          <w:p w14:paraId="040F1CF6">
            <w:pPr>
              <w:adjustRightInd w:val="0"/>
              <w:snapToGrid w:val="0"/>
              <w:jc w:val="center"/>
              <w:rPr>
                <w:rFonts w:ascii="宋体" w:hAnsi="宋体" w:cs="宋体"/>
                <w:bCs/>
                <w:color w:val="auto"/>
                <w:szCs w:val="21"/>
                <w:highlight w:val="none"/>
              </w:rPr>
            </w:pPr>
          </w:p>
          <w:p w14:paraId="52D6B7E6">
            <w:pPr>
              <w:adjustRightInd w:val="0"/>
              <w:snapToGrid w:val="0"/>
              <w:jc w:val="center"/>
              <w:rPr>
                <w:rFonts w:ascii="宋体" w:hAnsi="宋体" w:cs="宋体"/>
                <w:bCs/>
                <w:color w:val="auto"/>
                <w:szCs w:val="21"/>
                <w:highlight w:val="none"/>
              </w:rPr>
            </w:pPr>
          </w:p>
          <w:p w14:paraId="1259C4AE">
            <w:pPr>
              <w:adjustRightInd w:val="0"/>
              <w:snapToGrid w:val="0"/>
              <w:jc w:val="center"/>
              <w:rPr>
                <w:rFonts w:ascii="宋体" w:hAnsi="宋体" w:cs="宋体"/>
                <w:bCs/>
                <w:color w:val="auto"/>
                <w:szCs w:val="21"/>
                <w:highlight w:val="none"/>
              </w:rPr>
            </w:pPr>
          </w:p>
          <w:p w14:paraId="18DAFDB0">
            <w:pPr>
              <w:adjustRightInd w:val="0"/>
              <w:snapToGrid w:val="0"/>
              <w:jc w:val="center"/>
              <w:rPr>
                <w:rFonts w:ascii="宋体" w:hAnsi="宋体" w:cs="宋体"/>
                <w:bCs/>
                <w:color w:val="auto"/>
                <w:szCs w:val="21"/>
                <w:highlight w:val="none"/>
              </w:rPr>
            </w:pPr>
          </w:p>
          <w:p w14:paraId="2442FE70">
            <w:pPr>
              <w:adjustRightInd w:val="0"/>
              <w:snapToGrid w:val="0"/>
              <w:jc w:val="center"/>
              <w:rPr>
                <w:rFonts w:ascii="宋体" w:hAnsi="宋体" w:cs="宋体"/>
                <w:bCs/>
                <w:color w:val="auto"/>
                <w:szCs w:val="21"/>
                <w:highlight w:val="none"/>
              </w:rPr>
            </w:pPr>
          </w:p>
          <w:p w14:paraId="3927DCB0">
            <w:pPr>
              <w:adjustRightInd w:val="0"/>
              <w:snapToGrid w:val="0"/>
              <w:jc w:val="center"/>
              <w:rPr>
                <w:rFonts w:ascii="宋体" w:hAnsi="宋体" w:cs="宋体"/>
                <w:bCs/>
                <w:color w:val="auto"/>
                <w:szCs w:val="21"/>
                <w:highlight w:val="none"/>
              </w:rPr>
            </w:pPr>
          </w:p>
          <w:p w14:paraId="494A2926">
            <w:pPr>
              <w:adjustRightInd w:val="0"/>
              <w:snapToGrid w:val="0"/>
              <w:jc w:val="center"/>
              <w:rPr>
                <w:rFonts w:ascii="宋体" w:hAnsi="宋体" w:cs="宋体"/>
                <w:bCs/>
                <w:color w:val="auto"/>
                <w:szCs w:val="21"/>
                <w:highlight w:val="none"/>
              </w:rPr>
            </w:pPr>
          </w:p>
          <w:p w14:paraId="3D196F25">
            <w:pPr>
              <w:adjustRightInd w:val="0"/>
              <w:snapToGrid w:val="0"/>
              <w:jc w:val="center"/>
              <w:rPr>
                <w:rFonts w:ascii="宋体" w:hAnsi="宋体" w:cs="宋体"/>
                <w:bCs/>
                <w:color w:val="auto"/>
                <w:szCs w:val="21"/>
                <w:highlight w:val="none"/>
              </w:rPr>
            </w:pPr>
          </w:p>
          <w:p w14:paraId="13C9BE34">
            <w:pPr>
              <w:adjustRightInd w:val="0"/>
              <w:snapToGrid w:val="0"/>
              <w:jc w:val="center"/>
              <w:rPr>
                <w:rFonts w:ascii="宋体" w:hAnsi="宋体" w:cs="宋体"/>
                <w:bCs/>
                <w:color w:val="auto"/>
                <w:szCs w:val="21"/>
                <w:highlight w:val="none"/>
              </w:rPr>
            </w:pPr>
          </w:p>
          <w:p w14:paraId="3D92899D">
            <w:pPr>
              <w:adjustRightInd w:val="0"/>
              <w:snapToGrid w:val="0"/>
              <w:jc w:val="center"/>
              <w:rPr>
                <w:rFonts w:ascii="宋体" w:hAnsi="宋体" w:cs="宋体"/>
                <w:bCs/>
                <w:color w:val="auto"/>
                <w:szCs w:val="21"/>
                <w:highlight w:val="none"/>
              </w:rPr>
            </w:pPr>
          </w:p>
          <w:p w14:paraId="39B612C5">
            <w:pPr>
              <w:adjustRightInd w:val="0"/>
              <w:snapToGrid w:val="0"/>
              <w:jc w:val="center"/>
              <w:rPr>
                <w:rFonts w:ascii="宋体" w:hAnsi="宋体" w:cs="宋体"/>
                <w:bCs/>
                <w:color w:val="auto"/>
                <w:szCs w:val="21"/>
                <w:highlight w:val="none"/>
              </w:rPr>
            </w:pPr>
          </w:p>
          <w:p w14:paraId="18FAD507">
            <w:pPr>
              <w:adjustRightInd w:val="0"/>
              <w:snapToGrid w:val="0"/>
              <w:jc w:val="center"/>
              <w:rPr>
                <w:rFonts w:ascii="宋体" w:hAnsi="宋体" w:cs="宋体"/>
                <w:bCs/>
                <w:color w:val="auto"/>
                <w:szCs w:val="21"/>
                <w:highlight w:val="none"/>
              </w:rPr>
            </w:pPr>
          </w:p>
          <w:p w14:paraId="69CB2FA1">
            <w:pPr>
              <w:adjustRightInd w:val="0"/>
              <w:snapToGrid w:val="0"/>
              <w:jc w:val="center"/>
              <w:rPr>
                <w:rFonts w:ascii="宋体" w:hAnsi="宋体" w:cs="宋体"/>
                <w:bCs/>
                <w:color w:val="auto"/>
                <w:szCs w:val="21"/>
                <w:highlight w:val="none"/>
              </w:rPr>
            </w:pPr>
          </w:p>
          <w:p w14:paraId="32EF1545">
            <w:pPr>
              <w:adjustRightInd w:val="0"/>
              <w:snapToGrid w:val="0"/>
              <w:jc w:val="center"/>
              <w:rPr>
                <w:rFonts w:ascii="宋体" w:hAnsi="宋体" w:cs="宋体"/>
                <w:bCs/>
                <w:color w:val="auto"/>
                <w:szCs w:val="21"/>
                <w:highlight w:val="none"/>
              </w:rPr>
            </w:pPr>
          </w:p>
          <w:p w14:paraId="190FD37B">
            <w:pPr>
              <w:adjustRightInd w:val="0"/>
              <w:snapToGrid w:val="0"/>
              <w:jc w:val="center"/>
              <w:rPr>
                <w:rFonts w:ascii="宋体" w:hAnsi="宋体" w:cs="宋体"/>
                <w:bCs/>
                <w:color w:val="auto"/>
                <w:szCs w:val="21"/>
                <w:highlight w:val="none"/>
              </w:rPr>
            </w:pPr>
          </w:p>
          <w:p w14:paraId="0F30E03E">
            <w:pPr>
              <w:adjustRightInd w:val="0"/>
              <w:snapToGrid w:val="0"/>
              <w:jc w:val="center"/>
              <w:rPr>
                <w:rFonts w:ascii="宋体" w:hAnsi="宋体" w:cs="宋体"/>
                <w:bCs/>
                <w:color w:val="auto"/>
                <w:szCs w:val="21"/>
                <w:highlight w:val="none"/>
              </w:rPr>
            </w:pPr>
          </w:p>
          <w:p w14:paraId="611753BB">
            <w:pPr>
              <w:adjustRightInd w:val="0"/>
              <w:snapToGrid w:val="0"/>
              <w:rPr>
                <w:rFonts w:ascii="宋体" w:hAnsi="宋体" w:cs="宋体"/>
                <w:bCs/>
                <w:color w:val="auto"/>
                <w:sz w:val="24"/>
                <w:highlight w:val="none"/>
              </w:rPr>
            </w:pPr>
          </w:p>
          <w:p w14:paraId="56F42963">
            <w:pPr>
              <w:adjustRightInd w:val="0"/>
              <w:snapToGrid w:val="0"/>
              <w:jc w:val="center"/>
              <w:rPr>
                <w:rFonts w:ascii="宋体" w:hAnsi="宋体" w:cs="宋体"/>
                <w:bCs/>
                <w:color w:val="auto"/>
                <w:sz w:val="24"/>
                <w:highlight w:val="none"/>
              </w:rPr>
            </w:pPr>
            <w:r>
              <w:rPr>
                <w:rFonts w:hint="eastAsia" w:ascii="宋体" w:hAnsi="宋体" w:cs="宋体"/>
                <w:bCs/>
                <w:color w:val="auto"/>
                <w:sz w:val="24"/>
                <w:highlight w:val="none"/>
              </w:rPr>
              <w:t>运营</w:t>
            </w:r>
          </w:p>
          <w:p w14:paraId="6FE4AFDA">
            <w:pPr>
              <w:adjustRightInd w:val="0"/>
              <w:snapToGrid w:val="0"/>
              <w:jc w:val="center"/>
              <w:rPr>
                <w:rFonts w:ascii="宋体" w:hAnsi="宋体" w:cs="宋体"/>
                <w:bCs/>
                <w:color w:val="auto"/>
                <w:sz w:val="24"/>
                <w:highlight w:val="none"/>
              </w:rPr>
            </w:pPr>
            <w:r>
              <w:rPr>
                <w:rFonts w:hint="eastAsia" w:ascii="宋体" w:hAnsi="宋体" w:cs="宋体"/>
                <w:bCs/>
                <w:color w:val="auto"/>
                <w:sz w:val="24"/>
                <w:highlight w:val="none"/>
              </w:rPr>
              <w:t>期环</w:t>
            </w:r>
          </w:p>
          <w:p w14:paraId="333B25D2">
            <w:pPr>
              <w:adjustRightInd w:val="0"/>
              <w:snapToGrid w:val="0"/>
              <w:jc w:val="center"/>
              <w:rPr>
                <w:rFonts w:ascii="宋体" w:hAnsi="宋体" w:cs="宋体"/>
                <w:bCs/>
                <w:color w:val="auto"/>
                <w:sz w:val="24"/>
                <w:highlight w:val="none"/>
              </w:rPr>
            </w:pPr>
            <w:r>
              <w:rPr>
                <w:rFonts w:hint="eastAsia" w:ascii="宋体" w:hAnsi="宋体" w:cs="宋体"/>
                <w:bCs/>
                <w:color w:val="auto"/>
                <w:sz w:val="24"/>
                <w:highlight w:val="none"/>
              </w:rPr>
              <w:t>境影</w:t>
            </w:r>
          </w:p>
          <w:p w14:paraId="7F26CB38">
            <w:pPr>
              <w:adjustRightInd w:val="0"/>
              <w:snapToGrid w:val="0"/>
              <w:jc w:val="center"/>
              <w:rPr>
                <w:rFonts w:ascii="宋体" w:hAnsi="宋体" w:cs="宋体"/>
                <w:bCs/>
                <w:color w:val="auto"/>
                <w:sz w:val="24"/>
                <w:highlight w:val="none"/>
              </w:rPr>
            </w:pPr>
            <w:r>
              <w:rPr>
                <w:rFonts w:hint="eastAsia" w:ascii="宋体" w:hAnsi="宋体" w:cs="宋体"/>
                <w:bCs/>
                <w:color w:val="auto"/>
                <w:sz w:val="24"/>
                <w:highlight w:val="none"/>
              </w:rPr>
              <w:t>响和</w:t>
            </w:r>
          </w:p>
          <w:p w14:paraId="0E4F0CB2">
            <w:pPr>
              <w:adjustRightInd w:val="0"/>
              <w:snapToGrid w:val="0"/>
              <w:jc w:val="center"/>
              <w:rPr>
                <w:rFonts w:ascii="宋体" w:hAnsi="宋体" w:cs="宋体"/>
                <w:bCs/>
                <w:color w:val="auto"/>
                <w:sz w:val="24"/>
                <w:highlight w:val="none"/>
              </w:rPr>
            </w:pPr>
            <w:r>
              <w:rPr>
                <w:rFonts w:hint="eastAsia" w:ascii="宋体" w:hAnsi="宋体" w:cs="宋体"/>
                <w:bCs/>
                <w:color w:val="auto"/>
                <w:sz w:val="24"/>
                <w:highlight w:val="none"/>
              </w:rPr>
              <w:t>保护</w:t>
            </w:r>
          </w:p>
          <w:p w14:paraId="09A6CB21">
            <w:pPr>
              <w:adjustRightInd w:val="0"/>
              <w:snapToGrid w:val="0"/>
              <w:jc w:val="center"/>
              <w:rPr>
                <w:rFonts w:ascii="宋体" w:hAnsi="宋体" w:cs="宋体"/>
                <w:bCs/>
                <w:color w:val="auto"/>
                <w:sz w:val="24"/>
                <w:highlight w:val="none"/>
              </w:rPr>
            </w:pPr>
            <w:r>
              <w:rPr>
                <w:rFonts w:hint="eastAsia" w:ascii="宋体" w:hAnsi="宋体" w:cs="宋体"/>
                <w:bCs/>
                <w:color w:val="auto"/>
                <w:sz w:val="24"/>
                <w:highlight w:val="none"/>
              </w:rPr>
              <w:t>措施</w:t>
            </w:r>
          </w:p>
          <w:p w14:paraId="5ECB68E2">
            <w:pPr>
              <w:adjustRightInd w:val="0"/>
              <w:snapToGrid w:val="0"/>
              <w:jc w:val="center"/>
              <w:rPr>
                <w:rFonts w:ascii="宋体" w:hAnsi="宋体" w:cs="宋体"/>
                <w:bCs/>
                <w:color w:val="auto"/>
                <w:szCs w:val="21"/>
                <w:highlight w:val="none"/>
              </w:rPr>
            </w:pPr>
          </w:p>
          <w:p w14:paraId="3C839346">
            <w:pPr>
              <w:adjustRightInd w:val="0"/>
              <w:snapToGrid w:val="0"/>
              <w:jc w:val="center"/>
              <w:rPr>
                <w:rFonts w:ascii="宋体" w:hAnsi="宋体" w:cs="宋体"/>
                <w:bCs/>
                <w:color w:val="auto"/>
                <w:szCs w:val="21"/>
                <w:highlight w:val="none"/>
              </w:rPr>
            </w:pPr>
          </w:p>
          <w:p w14:paraId="1EB5B0DC">
            <w:pPr>
              <w:adjustRightInd w:val="0"/>
              <w:snapToGrid w:val="0"/>
              <w:jc w:val="center"/>
              <w:rPr>
                <w:rFonts w:ascii="宋体" w:hAnsi="宋体" w:cs="宋体"/>
                <w:bCs/>
                <w:color w:val="auto"/>
                <w:szCs w:val="21"/>
                <w:highlight w:val="none"/>
              </w:rPr>
            </w:pPr>
          </w:p>
          <w:p w14:paraId="3B4EA5E3">
            <w:pPr>
              <w:adjustRightInd w:val="0"/>
              <w:snapToGrid w:val="0"/>
              <w:jc w:val="center"/>
              <w:rPr>
                <w:rFonts w:ascii="宋体" w:hAnsi="宋体" w:cs="宋体"/>
                <w:bCs/>
                <w:color w:val="auto"/>
                <w:szCs w:val="21"/>
                <w:highlight w:val="none"/>
              </w:rPr>
            </w:pPr>
          </w:p>
          <w:p w14:paraId="533ED79F">
            <w:pPr>
              <w:adjustRightInd w:val="0"/>
              <w:snapToGrid w:val="0"/>
              <w:jc w:val="center"/>
              <w:rPr>
                <w:rFonts w:ascii="宋体" w:hAnsi="宋体" w:cs="宋体"/>
                <w:bCs/>
                <w:color w:val="auto"/>
                <w:szCs w:val="21"/>
                <w:highlight w:val="none"/>
              </w:rPr>
            </w:pPr>
          </w:p>
          <w:p w14:paraId="2CE2C6A7">
            <w:pPr>
              <w:adjustRightInd w:val="0"/>
              <w:snapToGrid w:val="0"/>
              <w:jc w:val="center"/>
              <w:rPr>
                <w:rFonts w:ascii="宋体" w:hAnsi="宋体" w:cs="宋体"/>
                <w:bCs/>
                <w:color w:val="auto"/>
                <w:szCs w:val="21"/>
                <w:highlight w:val="none"/>
              </w:rPr>
            </w:pPr>
          </w:p>
          <w:p w14:paraId="12EBD0FC">
            <w:pPr>
              <w:adjustRightInd w:val="0"/>
              <w:snapToGrid w:val="0"/>
              <w:jc w:val="center"/>
              <w:rPr>
                <w:rFonts w:ascii="宋体" w:hAnsi="宋体" w:cs="宋体"/>
                <w:bCs/>
                <w:color w:val="auto"/>
                <w:szCs w:val="21"/>
                <w:highlight w:val="none"/>
              </w:rPr>
            </w:pPr>
          </w:p>
          <w:p w14:paraId="7BBCFEA1">
            <w:pPr>
              <w:adjustRightInd w:val="0"/>
              <w:snapToGrid w:val="0"/>
              <w:jc w:val="center"/>
              <w:rPr>
                <w:rFonts w:ascii="宋体" w:hAnsi="宋体" w:cs="宋体"/>
                <w:bCs/>
                <w:color w:val="auto"/>
                <w:szCs w:val="21"/>
                <w:highlight w:val="none"/>
              </w:rPr>
            </w:pPr>
          </w:p>
          <w:p w14:paraId="1C815157">
            <w:pPr>
              <w:adjustRightInd w:val="0"/>
              <w:snapToGrid w:val="0"/>
              <w:jc w:val="center"/>
              <w:rPr>
                <w:rFonts w:ascii="宋体" w:hAnsi="宋体" w:cs="宋体"/>
                <w:bCs/>
                <w:color w:val="auto"/>
                <w:szCs w:val="21"/>
                <w:highlight w:val="none"/>
              </w:rPr>
            </w:pPr>
          </w:p>
          <w:p w14:paraId="281A2AFB">
            <w:pPr>
              <w:adjustRightInd w:val="0"/>
              <w:snapToGrid w:val="0"/>
              <w:jc w:val="center"/>
              <w:rPr>
                <w:rFonts w:ascii="宋体" w:hAnsi="宋体" w:cs="宋体"/>
                <w:bCs/>
                <w:color w:val="auto"/>
                <w:szCs w:val="21"/>
                <w:highlight w:val="none"/>
              </w:rPr>
            </w:pPr>
          </w:p>
          <w:p w14:paraId="0EEFB7C1">
            <w:pPr>
              <w:adjustRightInd w:val="0"/>
              <w:snapToGrid w:val="0"/>
              <w:jc w:val="center"/>
              <w:rPr>
                <w:rFonts w:ascii="宋体" w:hAnsi="宋体" w:cs="宋体"/>
                <w:bCs/>
                <w:color w:val="auto"/>
                <w:szCs w:val="21"/>
                <w:highlight w:val="none"/>
              </w:rPr>
            </w:pPr>
          </w:p>
          <w:p w14:paraId="1D690F0D">
            <w:pPr>
              <w:adjustRightInd w:val="0"/>
              <w:snapToGrid w:val="0"/>
              <w:jc w:val="center"/>
              <w:rPr>
                <w:rFonts w:ascii="宋体" w:hAnsi="宋体" w:cs="宋体"/>
                <w:bCs/>
                <w:color w:val="auto"/>
                <w:szCs w:val="21"/>
                <w:highlight w:val="none"/>
              </w:rPr>
            </w:pPr>
          </w:p>
          <w:p w14:paraId="62733871">
            <w:pPr>
              <w:adjustRightInd w:val="0"/>
              <w:snapToGrid w:val="0"/>
              <w:jc w:val="center"/>
              <w:rPr>
                <w:rFonts w:ascii="宋体" w:hAnsi="宋体" w:cs="宋体"/>
                <w:bCs/>
                <w:color w:val="auto"/>
                <w:szCs w:val="21"/>
                <w:highlight w:val="none"/>
              </w:rPr>
            </w:pPr>
          </w:p>
          <w:p w14:paraId="79493544">
            <w:pPr>
              <w:adjustRightInd w:val="0"/>
              <w:snapToGrid w:val="0"/>
              <w:jc w:val="center"/>
              <w:rPr>
                <w:rFonts w:ascii="宋体" w:hAnsi="宋体" w:cs="宋体"/>
                <w:bCs/>
                <w:color w:val="auto"/>
                <w:szCs w:val="21"/>
                <w:highlight w:val="none"/>
              </w:rPr>
            </w:pPr>
          </w:p>
          <w:p w14:paraId="088D7954">
            <w:pPr>
              <w:adjustRightInd w:val="0"/>
              <w:snapToGrid w:val="0"/>
              <w:jc w:val="center"/>
              <w:rPr>
                <w:rFonts w:ascii="宋体" w:hAnsi="宋体" w:cs="宋体"/>
                <w:bCs/>
                <w:color w:val="auto"/>
                <w:szCs w:val="21"/>
                <w:highlight w:val="none"/>
              </w:rPr>
            </w:pPr>
          </w:p>
          <w:p w14:paraId="3674364D">
            <w:pPr>
              <w:adjustRightInd w:val="0"/>
              <w:snapToGrid w:val="0"/>
              <w:jc w:val="center"/>
              <w:rPr>
                <w:rFonts w:ascii="宋体" w:hAnsi="宋体" w:cs="宋体"/>
                <w:bCs/>
                <w:color w:val="auto"/>
                <w:szCs w:val="21"/>
                <w:highlight w:val="none"/>
              </w:rPr>
            </w:pPr>
          </w:p>
          <w:p w14:paraId="2353F6F3">
            <w:pPr>
              <w:adjustRightInd w:val="0"/>
              <w:snapToGrid w:val="0"/>
              <w:rPr>
                <w:rFonts w:ascii="宋体" w:hAnsi="宋体" w:cs="宋体"/>
                <w:bCs/>
                <w:color w:val="auto"/>
                <w:sz w:val="24"/>
                <w:highlight w:val="none"/>
              </w:rPr>
            </w:pPr>
          </w:p>
        </w:tc>
        <w:tc>
          <w:tcPr>
            <w:tcW w:w="8620" w:type="dxa"/>
            <w:vAlign w:val="center"/>
          </w:tcPr>
          <w:p w14:paraId="67358CFC">
            <w:pPr>
              <w:adjustRightInd w:val="0"/>
              <w:snapToGrid w:val="0"/>
              <w:spacing w:line="360" w:lineRule="auto"/>
              <w:rPr>
                <w:b/>
                <w:color w:val="auto"/>
                <w:kern w:val="0"/>
                <w:sz w:val="24"/>
                <w:highlight w:val="none"/>
              </w:rPr>
            </w:pPr>
            <w:r>
              <w:rPr>
                <w:rFonts w:hint="eastAsia"/>
                <w:b/>
                <w:color w:val="auto"/>
                <w:kern w:val="0"/>
                <w:sz w:val="24"/>
                <w:highlight w:val="none"/>
              </w:rPr>
              <w:t>（</w:t>
            </w:r>
            <w:r>
              <w:rPr>
                <w:b/>
                <w:color w:val="auto"/>
                <w:kern w:val="0"/>
                <w:sz w:val="24"/>
                <w:highlight w:val="none"/>
              </w:rPr>
              <w:t>一</w:t>
            </w:r>
            <w:r>
              <w:rPr>
                <w:rFonts w:hint="eastAsia"/>
                <w:b/>
                <w:color w:val="auto"/>
                <w:kern w:val="0"/>
                <w:sz w:val="24"/>
                <w:highlight w:val="none"/>
              </w:rPr>
              <w:t>）</w:t>
            </w:r>
            <w:r>
              <w:rPr>
                <w:b/>
                <w:bCs/>
                <w:color w:val="auto"/>
                <w:sz w:val="24"/>
                <w:highlight w:val="none"/>
              </w:rPr>
              <w:t>废气</w:t>
            </w:r>
            <w:r>
              <w:rPr>
                <w:rFonts w:hint="eastAsia"/>
                <w:b/>
                <w:bCs/>
                <w:color w:val="auto"/>
                <w:sz w:val="24"/>
                <w:highlight w:val="none"/>
              </w:rPr>
              <w:t>环境影响及保护措施</w:t>
            </w:r>
          </w:p>
          <w:p w14:paraId="0C6E8F0B">
            <w:pPr>
              <w:spacing w:line="360" w:lineRule="auto"/>
              <w:ind w:firstLine="480"/>
              <w:rPr>
                <w:rFonts w:hAnsi="宋体"/>
                <w:color w:val="auto"/>
                <w:kern w:val="0"/>
                <w:sz w:val="24"/>
                <w:highlight w:val="none"/>
              </w:rPr>
            </w:pPr>
            <w:r>
              <w:rPr>
                <w:rFonts w:hint="eastAsia"/>
                <w:color w:val="auto"/>
                <w:kern w:val="0"/>
                <w:sz w:val="24"/>
                <w:highlight w:val="none"/>
              </w:rPr>
              <w:t>根据前文工艺及工程内容分析，</w:t>
            </w:r>
            <w:r>
              <w:rPr>
                <w:color w:val="auto"/>
                <w:kern w:val="0"/>
                <w:sz w:val="24"/>
                <w:highlight w:val="none"/>
              </w:rPr>
              <w:t>本项目运营期产生的</w:t>
            </w:r>
            <w:r>
              <w:rPr>
                <w:rFonts w:hint="eastAsia"/>
                <w:color w:val="auto"/>
                <w:kern w:val="0"/>
                <w:sz w:val="24"/>
                <w:highlight w:val="none"/>
              </w:rPr>
              <w:t>废气</w:t>
            </w:r>
            <w:r>
              <w:rPr>
                <w:color w:val="auto"/>
                <w:kern w:val="0"/>
                <w:sz w:val="24"/>
                <w:highlight w:val="none"/>
              </w:rPr>
              <w:t>主要是</w:t>
            </w:r>
            <w:r>
              <w:rPr>
                <w:rFonts w:hint="eastAsia"/>
                <w:color w:val="auto"/>
                <w:kern w:val="0"/>
                <w:sz w:val="24"/>
                <w:highlight w:val="none"/>
              </w:rPr>
              <w:t>生物质锅炉</w:t>
            </w:r>
            <w:r>
              <w:rPr>
                <w:color w:val="auto"/>
                <w:kern w:val="0"/>
                <w:sz w:val="24"/>
                <w:highlight w:val="none"/>
              </w:rPr>
              <w:t>燃烧废气、</w:t>
            </w:r>
            <w:r>
              <w:rPr>
                <w:rFonts w:hint="eastAsia"/>
                <w:bCs/>
                <w:color w:val="auto"/>
                <w:sz w:val="24"/>
                <w:highlight w:val="none"/>
              </w:rPr>
              <w:t>油炸脱水过程产生的</w:t>
            </w:r>
            <w:r>
              <w:rPr>
                <w:color w:val="auto"/>
                <w:kern w:val="0"/>
                <w:sz w:val="24"/>
                <w:highlight w:val="none"/>
              </w:rPr>
              <w:t>油烟</w:t>
            </w:r>
            <w:r>
              <w:rPr>
                <w:rFonts w:hint="eastAsia"/>
                <w:color w:val="auto"/>
                <w:kern w:val="0"/>
                <w:sz w:val="24"/>
                <w:highlight w:val="none"/>
              </w:rPr>
              <w:t>、污水处理站恶臭和食堂油烟</w:t>
            </w:r>
            <w:r>
              <w:rPr>
                <w:rFonts w:hint="eastAsia" w:hAnsi="宋体"/>
                <w:color w:val="auto"/>
                <w:kern w:val="0"/>
                <w:sz w:val="24"/>
                <w:highlight w:val="none"/>
              </w:rPr>
              <w:t>。</w:t>
            </w:r>
          </w:p>
          <w:p w14:paraId="08725744">
            <w:pPr>
              <w:spacing w:line="360" w:lineRule="auto"/>
              <w:ind w:firstLine="472" w:firstLineChars="196"/>
              <w:rPr>
                <w:b/>
                <w:bCs/>
                <w:color w:val="auto"/>
                <w:sz w:val="24"/>
                <w:highlight w:val="none"/>
              </w:rPr>
            </w:pPr>
            <w:r>
              <w:rPr>
                <w:b/>
                <w:bCs/>
                <w:color w:val="auto"/>
                <w:sz w:val="24"/>
                <w:highlight w:val="none"/>
              </w:rPr>
              <w:t>1、</w:t>
            </w:r>
            <w:r>
              <w:rPr>
                <w:b/>
                <w:color w:val="auto"/>
                <w:kern w:val="0"/>
                <w:sz w:val="24"/>
                <w:highlight w:val="none"/>
              </w:rPr>
              <w:t>废气产生及排放情况</w:t>
            </w:r>
          </w:p>
          <w:p w14:paraId="258A7D02">
            <w:pPr>
              <w:spacing w:line="360" w:lineRule="auto"/>
              <w:ind w:firstLine="470" w:firstLineChars="196"/>
              <w:rPr>
                <w:color w:val="auto"/>
                <w:sz w:val="24"/>
                <w:highlight w:val="none"/>
              </w:rPr>
            </w:pPr>
            <w:r>
              <w:rPr>
                <w:color w:val="auto"/>
                <w:sz w:val="24"/>
                <w:highlight w:val="none"/>
              </w:rPr>
              <w:t>（1）</w:t>
            </w:r>
            <w:r>
              <w:rPr>
                <w:rFonts w:hint="eastAsia"/>
                <w:color w:val="auto"/>
                <w:sz w:val="24"/>
                <w:highlight w:val="none"/>
              </w:rPr>
              <w:t>生物质锅炉燃烧</w:t>
            </w:r>
            <w:r>
              <w:rPr>
                <w:color w:val="auto"/>
                <w:sz w:val="24"/>
                <w:highlight w:val="none"/>
              </w:rPr>
              <w:t>废气</w:t>
            </w:r>
          </w:p>
          <w:p w14:paraId="4CEA7D22">
            <w:pPr>
              <w:snapToGrid w:val="0"/>
              <w:spacing w:line="360" w:lineRule="auto"/>
              <w:ind w:firstLine="482" w:firstLineChars="200"/>
              <w:rPr>
                <w:color w:val="auto"/>
                <w:sz w:val="24"/>
                <w:highlight w:val="none"/>
              </w:rPr>
            </w:pPr>
            <w:r>
              <w:rPr>
                <w:rFonts w:hint="eastAsia"/>
                <w:b/>
                <w:bCs/>
                <w:color w:val="auto"/>
                <w:sz w:val="24"/>
                <w:highlight w:val="none"/>
              </w:rPr>
              <w:t>源强核算：</w:t>
            </w:r>
            <w:r>
              <w:rPr>
                <w:rFonts w:hint="eastAsia"/>
                <w:color w:val="auto"/>
                <w:sz w:val="24"/>
                <w:highlight w:val="none"/>
              </w:rPr>
              <w:t>项目漂烫、烘干等环节使用的蒸汽由生物质锅炉提供。根据建设单位介绍，本次购置的两台生物质锅炉规格分别为：4t/h和6t/h，年使用生物质成型燃料</w:t>
            </w:r>
            <w:r>
              <w:rPr>
                <w:rFonts w:hint="eastAsia"/>
                <w:color w:val="auto"/>
                <w:sz w:val="24"/>
                <w:highlight w:val="none"/>
                <w:lang w:eastAsia="zh-CN"/>
              </w:rPr>
              <w:t>分别</w:t>
            </w:r>
            <w:r>
              <w:rPr>
                <w:rFonts w:hint="eastAsia"/>
                <w:color w:val="auto"/>
                <w:sz w:val="24"/>
                <w:highlight w:val="none"/>
              </w:rPr>
              <w:t>为200t、300t。根据《排放源统计调查产排污核算方法和系数手册》（生态环境部）中“4430工业锅炉（热力生产和供应行业）产污系数表-生物质工业锅炉”，生物质燃料产污系数如下表所示：</w:t>
            </w:r>
          </w:p>
          <w:p w14:paraId="5ACF5F29">
            <w:pPr>
              <w:adjustRightInd w:val="0"/>
              <w:snapToGrid w:val="0"/>
              <w:jc w:val="center"/>
              <w:rPr>
                <w:b/>
                <w:color w:val="auto"/>
                <w:highlight w:val="none"/>
              </w:rPr>
            </w:pPr>
            <w:r>
              <w:rPr>
                <w:b/>
                <w:color w:val="auto"/>
                <w:highlight w:val="none"/>
                <w:lang w:bidi="ar"/>
              </w:rPr>
              <w:t>表4-</w:t>
            </w:r>
            <w:r>
              <w:rPr>
                <w:rFonts w:hint="eastAsia"/>
                <w:b/>
                <w:color w:val="auto"/>
                <w:highlight w:val="none"/>
                <w:lang w:bidi="ar"/>
              </w:rPr>
              <w:t xml:space="preserve">1  </w:t>
            </w:r>
            <w:r>
              <w:rPr>
                <w:b/>
                <w:color w:val="auto"/>
                <w:highlight w:val="none"/>
                <w:lang w:bidi="ar"/>
              </w:rPr>
              <w:t>工业锅炉产排污系数表-</w:t>
            </w:r>
            <w:r>
              <w:rPr>
                <w:rFonts w:hint="eastAsia"/>
                <w:b/>
                <w:color w:val="auto"/>
                <w:highlight w:val="none"/>
                <w:lang w:bidi="ar"/>
              </w:rPr>
              <w:t>生物质工业</w:t>
            </w:r>
            <w:r>
              <w:rPr>
                <w:b/>
                <w:color w:val="auto"/>
                <w:highlight w:val="none"/>
                <w:lang w:bidi="ar"/>
              </w:rPr>
              <w:t>锅炉</w:t>
            </w:r>
          </w:p>
          <w:tbl>
            <w:tblPr>
              <w:tblStyle w:val="35"/>
              <w:tblW w:w="4995" w:type="pct"/>
              <w:jc w:val="center"/>
              <w:tblBorders>
                <w:top w:val="single" w:color="auto" w:sz="12" w:space="0"/>
                <w:left w:val="none" w:color="auto" w:sz="0" w:space="0"/>
                <w:bottom w:val="single" w:color="auto" w:sz="12" w:space="0"/>
                <w:right w:val="none" w:color="auto" w:sz="0" w:space="0"/>
                <w:insideH w:val="single" w:color="auto" w:sz="8" w:space="0"/>
                <w:insideV w:val="single" w:color="auto" w:sz="6" w:space="0"/>
              </w:tblBorders>
              <w:tblLayout w:type="fixed"/>
              <w:tblCellMar>
                <w:top w:w="0" w:type="dxa"/>
                <w:left w:w="108" w:type="dxa"/>
                <w:bottom w:w="0" w:type="dxa"/>
                <w:right w:w="108" w:type="dxa"/>
              </w:tblCellMar>
            </w:tblPr>
            <w:tblGrid>
              <w:gridCol w:w="810"/>
              <w:gridCol w:w="864"/>
              <w:gridCol w:w="816"/>
              <w:gridCol w:w="771"/>
              <w:gridCol w:w="1481"/>
              <w:gridCol w:w="2519"/>
              <w:gridCol w:w="1135"/>
            </w:tblGrid>
            <w:tr w14:paraId="48E228AB">
              <w:tblPrEx>
                <w:tblBorders>
                  <w:top w:val="single" w:color="auto" w:sz="12" w:space="0"/>
                  <w:left w:val="none" w:color="auto" w:sz="0" w:space="0"/>
                  <w:bottom w:val="single" w:color="auto" w:sz="12" w:space="0"/>
                  <w:right w:val="none" w:color="auto" w:sz="0" w:space="0"/>
                  <w:insideH w:val="single" w:color="auto" w:sz="8" w:space="0"/>
                  <w:insideV w:val="single" w:color="auto" w:sz="6" w:space="0"/>
                </w:tblBorders>
                <w:tblCellMar>
                  <w:top w:w="0" w:type="dxa"/>
                  <w:left w:w="108" w:type="dxa"/>
                  <w:bottom w:w="0" w:type="dxa"/>
                  <w:right w:w="108" w:type="dxa"/>
                </w:tblCellMar>
              </w:tblPrEx>
              <w:trPr>
                <w:trHeight w:val="567" w:hRule="exact"/>
                <w:jc w:val="center"/>
              </w:trPr>
              <w:tc>
                <w:tcPr>
                  <w:tcW w:w="482" w:type="pct"/>
                  <w:vAlign w:val="center"/>
                </w:tcPr>
                <w:p w14:paraId="6082919E">
                  <w:pPr>
                    <w:jc w:val="center"/>
                    <w:rPr>
                      <w:color w:val="auto"/>
                      <w:szCs w:val="21"/>
                      <w:highlight w:val="none"/>
                    </w:rPr>
                  </w:pPr>
                  <w:r>
                    <w:rPr>
                      <w:color w:val="auto"/>
                      <w:szCs w:val="21"/>
                      <w:highlight w:val="none"/>
                      <w:lang w:bidi="ar"/>
                    </w:rPr>
                    <w:t>产品名称</w:t>
                  </w:r>
                </w:p>
              </w:tc>
              <w:tc>
                <w:tcPr>
                  <w:tcW w:w="514" w:type="pct"/>
                  <w:vAlign w:val="center"/>
                </w:tcPr>
                <w:p w14:paraId="0C193F8E">
                  <w:pPr>
                    <w:jc w:val="center"/>
                    <w:rPr>
                      <w:color w:val="auto"/>
                      <w:szCs w:val="21"/>
                      <w:highlight w:val="none"/>
                      <w:lang w:bidi="ar"/>
                    </w:rPr>
                  </w:pPr>
                  <w:r>
                    <w:rPr>
                      <w:color w:val="auto"/>
                      <w:szCs w:val="21"/>
                      <w:highlight w:val="none"/>
                      <w:lang w:bidi="ar"/>
                    </w:rPr>
                    <w:t>原料</w:t>
                  </w:r>
                </w:p>
                <w:p w14:paraId="3FA7E64E">
                  <w:pPr>
                    <w:jc w:val="center"/>
                    <w:rPr>
                      <w:color w:val="auto"/>
                      <w:szCs w:val="21"/>
                      <w:highlight w:val="none"/>
                    </w:rPr>
                  </w:pPr>
                  <w:r>
                    <w:rPr>
                      <w:color w:val="auto"/>
                      <w:szCs w:val="21"/>
                      <w:highlight w:val="none"/>
                      <w:lang w:bidi="ar"/>
                    </w:rPr>
                    <w:t>名称</w:t>
                  </w:r>
                </w:p>
              </w:tc>
              <w:tc>
                <w:tcPr>
                  <w:tcW w:w="486" w:type="pct"/>
                  <w:vAlign w:val="center"/>
                </w:tcPr>
                <w:p w14:paraId="273B0F43">
                  <w:pPr>
                    <w:jc w:val="center"/>
                    <w:rPr>
                      <w:color w:val="auto"/>
                      <w:szCs w:val="21"/>
                      <w:highlight w:val="none"/>
                    </w:rPr>
                  </w:pPr>
                  <w:r>
                    <w:rPr>
                      <w:color w:val="auto"/>
                      <w:szCs w:val="21"/>
                      <w:highlight w:val="none"/>
                      <w:lang w:bidi="ar"/>
                    </w:rPr>
                    <w:t>工艺名称</w:t>
                  </w:r>
                </w:p>
              </w:tc>
              <w:tc>
                <w:tcPr>
                  <w:tcW w:w="459" w:type="pct"/>
                  <w:vAlign w:val="center"/>
                </w:tcPr>
                <w:p w14:paraId="1FC53769">
                  <w:pPr>
                    <w:jc w:val="center"/>
                    <w:rPr>
                      <w:color w:val="auto"/>
                      <w:szCs w:val="21"/>
                      <w:highlight w:val="none"/>
                    </w:rPr>
                  </w:pPr>
                  <w:r>
                    <w:rPr>
                      <w:color w:val="auto"/>
                      <w:szCs w:val="21"/>
                      <w:highlight w:val="none"/>
                      <w:lang w:bidi="ar"/>
                    </w:rPr>
                    <w:t>规模等级</w:t>
                  </w:r>
                </w:p>
              </w:tc>
              <w:tc>
                <w:tcPr>
                  <w:tcW w:w="881" w:type="pct"/>
                  <w:vAlign w:val="center"/>
                </w:tcPr>
                <w:p w14:paraId="6BEB8837">
                  <w:pPr>
                    <w:jc w:val="center"/>
                    <w:rPr>
                      <w:color w:val="auto"/>
                      <w:szCs w:val="21"/>
                      <w:highlight w:val="none"/>
                    </w:rPr>
                  </w:pPr>
                  <w:r>
                    <w:rPr>
                      <w:color w:val="auto"/>
                      <w:szCs w:val="21"/>
                      <w:highlight w:val="none"/>
                      <w:lang w:bidi="ar"/>
                    </w:rPr>
                    <w:t>污染物指标</w:t>
                  </w:r>
                </w:p>
              </w:tc>
              <w:tc>
                <w:tcPr>
                  <w:tcW w:w="1499" w:type="pct"/>
                  <w:vAlign w:val="center"/>
                </w:tcPr>
                <w:p w14:paraId="45D5945A">
                  <w:pPr>
                    <w:jc w:val="center"/>
                    <w:rPr>
                      <w:color w:val="auto"/>
                      <w:szCs w:val="21"/>
                      <w:highlight w:val="none"/>
                    </w:rPr>
                  </w:pPr>
                  <w:r>
                    <w:rPr>
                      <w:color w:val="auto"/>
                      <w:szCs w:val="21"/>
                      <w:highlight w:val="none"/>
                      <w:lang w:bidi="ar"/>
                    </w:rPr>
                    <w:t>单位</w:t>
                  </w:r>
                </w:p>
              </w:tc>
              <w:tc>
                <w:tcPr>
                  <w:tcW w:w="676" w:type="pct"/>
                  <w:vAlign w:val="center"/>
                </w:tcPr>
                <w:p w14:paraId="2DA9099A">
                  <w:pPr>
                    <w:jc w:val="center"/>
                    <w:rPr>
                      <w:color w:val="auto"/>
                      <w:szCs w:val="21"/>
                      <w:highlight w:val="none"/>
                    </w:rPr>
                  </w:pPr>
                  <w:r>
                    <w:rPr>
                      <w:color w:val="auto"/>
                      <w:szCs w:val="21"/>
                      <w:highlight w:val="none"/>
                      <w:lang w:bidi="ar"/>
                    </w:rPr>
                    <w:t>产污系数</w:t>
                  </w:r>
                </w:p>
              </w:tc>
            </w:tr>
            <w:tr w14:paraId="450A1E21">
              <w:tblPrEx>
                <w:tblBorders>
                  <w:top w:val="single" w:color="auto" w:sz="12" w:space="0"/>
                  <w:left w:val="none" w:color="auto" w:sz="0" w:space="0"/>
                  <w:bottom w:val="single" w:color="auto" w:sz="12" w:space="0"/>
                  <w:right w:val="none" w:color="auto" w:sz="0" w:space="0"/>
                  <w:insideH w:val="single" w:color="auto" w:sz="8" w:space="0"/>
                  <w:insideV w:val="single" w:color="auto" w:sz="6" w:space="0"/>
                </w:tblBorders>
                <w:tblCellMar>
                  <w:top w:w="0" w:type="dxa"/>
                  <w:left w:w="108" w:type="dxa"/>
                  <w:bottom w:w="0" w:type="dxa"/>
                  <w:right w:w="108" w:type="dxa"/>
                </w:tblCellMar>
              </w:tblPrEx>
              <w:trPr>
                <w:trHeight w:val="227" w:hRule="atLeast"/>
                <w:jc w:val="center"/>
              </w:trPr>
              <w:tc>
                <w:tcPr>
                  <w:tcW w:w="482" w:type="pct"/>
                  <w:vMerge w:val="restart"/>
                  <w:vAlign w:val="center"/>
                </w:tcPr>
                <w:p w14:paraId="273F0C27">
                  <w:pPr>
                    <w:jc w:val="center"/>
                    <w:rPr>
                      <w:color w:val="auto"/>
                      <w:szCs w:val="21"/>
                      <w:highlight w:val="none"/>
                    </w:rPr>
                  </w:pPr>
                  <w:r>
                    <w:rPr>
                      <w:color w:val="auto"/>
                      <w:szCs w:val="21"/>
                      <w:highlight w:val="none"/>
                      <w:lang w:bidi="ar"/>
                    </w:rPr>
                    <w:t>蒸汽/热水/其它</w:t>
                  </w:r>
                </w:p>
              </w:tc>
              <w:tc>
                <w:tcPr>
                  <w:tcW w:w="514" w:type="pct"/>
                  <w:vMerge w:val="restart"/>
                  <w:vAlign w:val="center"/>
                </w:tcPr>
                <w:p w14:paraId="38C1FA74">
                  <w:pPr>
                    <w:jc w:val="center"/>
                    <w:rPr>
                      <w:color w:val="auto"/>
                      <w:szCs w:val="21"/>
                      <w:highlight w:val="none"/>
                    </w:rPr>
                  </w:pPr>
                  <w:r>
                    <w:rPr>
                      <w:rFonts w:hint="eastAsia"/>
                      <w:color w:val="auto"/>
                      <w:szCs w:val="21"/>
                      <w:highlight w:val="none"/>
                      <w:lang w:bidi="ar"/>
                    </w:rPr>
                    <w:t>生物质燃料</w:t>
                  </w:r>
                </w:p>
              </w:tc>
              <w:tc>
                <w:tcPr>
                  <w:tcW w:w="486" w:type="pct"/>
                  <w:vMerge w:val="restart"/>
                  <w:vAlign w:val="center"/>
                </w:tcPr>
                <w:p w14:paraId="04B1F628">
                  <w:pPr>
                    <w:jc w:val="center"/>
                    <w:rPr>
                      <w:color w:val="auto"/>
                      <w:szCs w:val="21"/>
                      <w:highlight w:val="none"/>
                    </w:rPr>
                  </w:pPr>
                  <w:r>
                    <w:rPr>
                      <w:rFonts w:hint="eastAsia"/>
                      <w:color w:val="auto"/>
                      <w:szCs w:val="21"/>
                      <w:highlight w:val="none"/>
                      <w:lang w:bidi="ar"/>
                    </w:rPr>
                    <w:t>层</w:t>
                  </w:r>
                  <w:r>
                    <w:rPr>
                      <w:color w:val="auto"/>
                      <w:szCs w:val="21"/>
                      <w:highlight w:val="none"/>
                      <w:lang w:bidi="ar"/>
                    </w:rPr>
                    <w:t>燃炉</w:t>
                  </w:r>
                </w:p>
              </w:tc>
              <w:tc>
                <w:tcPr>
                  <w:tcW w:w="459" w:type="pct"/>
                  <w:vMerge w:val="restart"/>
                  <w:vAlign w:val="center"/>
                </w:tcPr>
                <w:p w14:paraId="3A3D10FB">
                  <w:pPr>
                    <w:jc w:val="center"/>
                    <w:rPr>
                      <w:color w:val="auto"/>
                      <w:szCs w:val="21"/>
                      <w:highlight w:val="none"/>
                    </w:rPr>
                  </w:pPr>
                  <w:r>
                    <w:rPr>
                      <w:color w:val="auto"/>
                      <w:szCs w:val="21"/>
                      <w:highlight w:val="none"/>
                      <w:lang w:bidi="ar"/>
                    </w:rPr>
                    <w:t>所有规模</w:t>
                  </w:r>
                </w:p>
              </w:tc>
              <w:tc>
                <w:tcPr>
                  <w:tcW w:w="881" w:type="pct"/>
                  <w:vAlign w:val="center"/>
                </w:tcPr>
                <w:p w14:paraId="53C14CB7">
                  <w:pPr>
                    <w:jc w:val="center"/>
                    <w:rPr>
                      <w:color w:val="auto"/>
                      <w:szCs w:val="21"/>
                      <w:highlight w:val="none"/>
                    </w:rPr>
                  </w:pPr>
                  <w:r>
                    <w:rPr>
                      <w:color w:val="auto"/>
                      <w:szCs w:val="21"/>
                      <w:highlight w:val="none"/>
                      <w:lang w:bidi="ar"/>
                    </w:rPr>
                    <w:t>工业废气量</w:t>
                  </w:r>
                </w:p>
              </w:tc>
              <w:tc>
                <w:tcPr>
                  <w:tcW w:w="1499" w:type="pct"/>
                  <w:vAlign w:val="center"/>
                </w:tcPr>
                <w:p w14:paraId="39A8F906">
                  <w:pPr>
                    <w:jc w:val="center"/>
                    <w:rPr>
                      <w:color w:val="auto"/>
                      <w:szCs w:val="21"/>
                      <w:highlight w:val="none"/>
                    </w:rPr>
                  </w:pPr>
                  <w:r>
                    <w:rPr>
                      <w:color w:val="auto"/>
                      <w:szCs w:val="21"/>
                      <w:highlight w:val="none"/>
                      <w:lang w:bidi="ar"/>
                    </w:rPr>
                    <w:t>标立方米/</w:t>
                  </w:r>
                  <w:r>
                    <w:rPr>
                      <w:rFonts w:hint="eastAsia"/>
                      <w:color w:val="auto"/>
                      <w:szCs w:val="21"/>
                      <w:highlight w:val="none"/>
                      <w:lang w:bidi="ar"/>
                    </w:rPr>
                    <w:t>吨</w:t>
                  </w:r>
                  <w:r>
                    <w:rPr>
                      <w:color w:val="auto"/>
                      <w:szCs w:val="21"/>
                      <w:highlight w:val="none"/>
                      <w:lang w:bidi="ar"/>
                    </w:rPr>
                    <w:t>-原料</w:t>
                  </w:r>
                </w:p>
              </w:tc>
              <w:tc>
                <w:tcPr>
                  <w:tcW w:w="676" w:type="pct"/>
                  <w:vAlign w:val="center"/>
                </w:tcPr>
                <w:p w14:paraId="22662E47">
                  <w:pPr>
                    <w:jc w:val="center"/>
                    <w:rPr>
                      <w:color w:val="auto"/>
                      <w:szCs w:val="21"/>
                      <w:highlight w:val="none"/>
                    </w:rPr>
                  </w:pPr>
                  <w:r>
                    <w:rPr>
                      <w:rFonts w:hint="eastAsia"/>
                      <w:color w:val="auto"/>
                      <w:szCs w:val="21"/>
                      <w:highlight w:val="none"/>
                      <w:lang w:bidi="ar"/>
                    </w:rPr>
                    <w:t>6240</w:t>
                  </w:r>
                </w:p>
              </w:tc>
            </w:tr>
            <w:tr w14:paraId="36324D55">
              <w:tblPrEx>
                <w:tblBorders>
                  <w:top w:val="single" w:color="auto" w:sz="12" w:space="0"/>
                  <w:left w:val="none" w:color="auto" w:sz="0" w:space="0"/>
                  <w:bottom w:val="single" w:color="auto" w:sz="12" w:space="0"/>
                  <w:right w:val="none" w:color="auto" w:sz="0" w:space="0"/>
                  <w:insideH w:val="single" w:color="auto" w:sz="8" w:space="0"/>
                  <w:insideV w:val="single" w:color="auto" w:sz="6" w:space="0"/>
                </w:tblBorders>
                <w:tblCellMar>
                  <w:top w:w="0" w:type="dxa"/>
                  <w:left w:w="108" w:type="dxa"/>
                  <w:bottom w:w="0" w:type="dxa"/>
                  <w:right w:w="108" w:type="dxa"/>
                </w:tblCellMar>
              </w:tblPrEx>
              <w:trPr>
                <w:trHeight w:val="23" w:hRule="atLeast"/>
                <w:jc w:val="center"/>
              </w:trPr>
              <w:tc>
                <w:tcPr>
                  <w:tcW w:w="482" w:type="pct"/>
                  <w:vMerge w:val="continue"/>
                  <w:vAlign w:val="center"/>
                </w:tcPr>
                <w:p w14:paraId="3032A4A4">
                  <w:pPr>
                    <w:rPr>
                      <w:color w:val="auto"/>
                      <w:sz w:val="20"/>
                      <w:szCs w:val="20"/>
                      <w:highlight w:val="none"/>
                    </w:rPr>
                  </w:pPr>
                </w:p>
              </w:tc>
              <w:tc>
                <w:tcPr>
                  <w:tcW w:w="514" w:type="pct"/>
                  <w:vMerge w:val="continue"/>
                  <w:vAlign w:val="center"/>
                </w:tcPr>
                <w:p w14:paraId="21E2FA73">
                  <w:pPr>
                    <w:rPr>
                      <w:color w:val="auto"/>
                      <w:sz w:val="20"/>
                      <w:szCs w:val="20"/>
                      <w:highlight w:val="none"/>
                    </w:rPr>
                  </w:pPr>
                </w:p>
              </w:tc>
              <w:tc>
                <w:tcPr>
                  <w:tcW w:w="486" w:type="pct"/>
                  <w:vMerge w:val="continue"/>
                  <w:vAlign w:val="center"/>
                </w:tcPr>
                <w:p w14:paraId="1BAEE393">
                  <w:pPr>
                    <w:rPr>
                      <w:color w:val="auto"/>
                      <w:sz w:val="20"/>
                      <w:szCs w:val="20"/>
                      <w:highlight w:val="none"/>
                    </w:rPr>
                  </w:pPr>
                </w:p>
              </w:tc>
              <w:tc>
                <w:tcPr>
                  <w:tcW w:w="459" w:type="pct"/>
                  <w:vMerge w:val="continue"/>
                  <w:vAlign w:val="center"/>
                </w:tcPr>
                <w:p w14:paraId="1F5D310E">
                  <w:pPr>
                    <w:rPr>
                      <w:color w:val="auto"/>
                      <w:sz w:val="20"/>
                      <w:szCs w:val="20"/>
                      <w:highlight w:val="none"/>
                    </w:rPr>
                  </w:pPr>
                </w:p>
              </w:tc>
              <w:tc>
                <w:tcPr>
                  <w:tcW w:w="881" w:type="pct"/>
                  <w:vAlign w:val="center"/>
                </w:tcPr>
                <w:p w14:paraId="552FB7D5">
                  <w:pPr>
                    <w:widowControl/>
                    <w:snapToGrid w:val="0"/>
                    <w:spacing w:before="72" w:beforeLines="30" w:after="72" w:afterLines="30"/>
                    <w:jc w:val="center"/>
                    <w:rPr>
                      <w:color w:val="auto"/>
                      <w:szCs w:val="21"/>
                      <w:highlight w:val="none"/>
                      <w:lang w:bidi="ar"/>
                    </w:rPr>
                  </w:pPr>
                  <w:r>
                    <w:rPr>
                      <w:color w:val="auto"/>
                      <w:szCs w:val="21"/>
                      <w:highlight w:val="none"/>
                      <w:lang w:bidi="ar"/>
                    </w:rPr>
                    <w:t>颗粒物</w:t>
                  </w:r>
                </w:p>
              </w:tc>
              <w:tc>
                <w:tcPr>
                  <w:tcW w:w="1499" w:type="pct"/>
                  <w:vAlign w:val="center"/>
                </w:tcPr>
                <w:p w14:paraId="22AC46BD">
                  <w:pPr>
                    <w:widowControl/>
                    <w:snapToGrid w:val="0"/>
                    <w:spacing w:before="72" w:beforeLines="30" w:after="72" w:afterLines="30"/>
                    <w:jc w:val="center"/>
                    <w:rPr>
                      <w:color w:val="auto"/>
                      <w:szCs w:val="21"/>
                      <w:highlight w:val="none"/>
                      <w:lang w:bidi="ar"/>
                    </w:rPr>
                  </w:pPr>
                  <w:r>
                    <w:rPr>
                      <w:color w:val="auto"/>
                      <w:szCs w:val="20"/>
                      <w:highlight w:val="none"/>
                    </w:rPr>
                    <w:t>千克/</w:t>
                  </w:r>
                  <w:r>
                    <w:rPr>
                      <w:rFonts w:hint="eastAsia"/>
                      <w:color w:val="auto"/>
                      <w:szCs w:val="20"/>
                      <w:highlight w:val="none"/>
                    </w:rPr>
                    <w:t>吨</w:t>
                  </w:r>
                  <w:r>
                    <w:rPr>
                      <w:color w:val="auto"/>
                      <w:szCs w:val="20"/>
                      <w:highlight w:val="none"/>
                    </w:rPr>
                    <w:t>-原料</w:t>
                  </w:r>
                </w:p>
              </w:tc>
              <w:tc>
                <w:tcPr>
                  <w:tcW w:w="676" w:type="pct"/>
                  <w:vAlign w:val="center"/>
                </w:tcPr>
                <w:p w14:paraId="46228AC4">
                  <w:pPr>
                    <w:widowControl/>
                    <w:snapToGrid w:val="0"/>
                    <w:spacing w:before="72" w:beforeLines="30" w:after="72" w:afterLines="30"/>
                    <w:jc w:val="center"/>
                    <w:rPr>
                      <w:color w:val="auto"/>
                      <w:szCs w:val="21"/>
                      <w:highlight w:val="none"/>
                      <w:lang w:bidi="ar"/>
                    </w:rPr>
                  </w:pPr>
                  <w:r>
                    <w:rPr>
                      <w:rFonts w:hint="eastAsia"/>
                      <w:color w:val="auto"/>
                      <w:szCs w:val="21"/>
                      <w:highlight w:val="none"/>
                      <w:lang w:bidi="ar"/>
                    </w:rPr>
                    <w:t>0.5</w:t>
                  </w:r>
                </w:p>
              </w:tc>
            </w:tr>
            <w:tr w14:paraId="11F7C929">
              <w:tblPrEx>
                <w:tblBorders>
                  <w:top w:val="single" w:color="auto" w:sz="12" w:space="0"/>
                  <w:left w:val="none" w:color="auto" w:sz="0" w:space="0"/>
                  <w:bottom w:val="single" w:color="auto" w:sz="12" w:space="0"/>
                  <w:right w:val="none" w:color="auto" w:sz="0" w:space="0"/>
                  <w:insideH w:val="single" w:color="auto" w:sz="8" w:space="0"/>
                  <w:insideV w:val="single" w:color="auto" w:sz="6" w:space="0"/>
                </w:tblBorders>
                <w:tblCellMar>
                  <w:top w:w="0" w:type="dxa"/>
                  <w:left w:w="108" w:type="dxa"/>
                  <w:bottom w:w="0" w:type="dxa"/>
                  <w:right w:w="108" w:type="dxa"/>
                </w:tblCellMar>
              </w:tblPrEx>
              <w:trPr>
                <w:trHeight w:val="23" w:hRule="atLeast"/>
                <w:jc w:val="center"/>
              </w:trPr>
              <w:tc>
                <w:tcPr>
                  <w:tcW w:w="482" w:type="pct"/>
                  <w:vMerge w:val="continue"/>
                  <w:vAlign w:val="center"/>
                </w:tcPr>
                <w:p w14:paraId="42CD7E56">
                  <w:pPr>
                    <w:rPr>
                      <w:color w:val="auto"/>
                      <w:sz w:val="20"/>
                      <w:szCs w:val="20"/>
                      <w:highlight w:val="none"/>
                    </w:rPr>
                  </w:pPr>
                </w:p>
              </w:tc>
              <w:tc>
                <w:tcPr>
                  <w:tcW w:w="514" w:type="pct"/>
                  <w:vMerge w:val="continue"/>
                  <w:vAlign w:val="center"/>
                </w:tcPr>
                <w:p w14:paraId="60747584">
                  <w:pPr>
                    <w:rPr>
                      <w:color w:val="auto"/>
                      <w:sz w:val="20"/>
                      <w:szCs w:val="20"/>
                      <w:highlight w:val="none"/>
                    </w:rPr>
                  </w:pPr>
                </w:p>
              </w:tc>
              <w:tc>
                <w:tcPr>
                  <w:tcW w:w="486" w:type="pct"/>
                  <w:vMerge w:val="continue"/>
                  <w:vAlign w:val="center"/>
                </w:tcPr>
                <w:p w14:paraId="6ECD45B5">
                  <w:pPr>
                    <w:rPr>
                      <w:color w:val="auto"/>
                      <w:sz w:val="20"/>
                      <w:szCs w:val="20"/>
                      <w:highlight w:val="none"/>
                    </w:rPr>
                  </w:pPr>
                </w:p>
              </w:tc>
              <w:tc>
                <w:tcPr>
                  <w:tcW w:w="459" w:type="pct"/>
                  <w:vMerge w:val="continue"/>
                  <w:vAlign w:val="center"/>
                </w:tcPr>
                <w:p w14:paraId="53F81B27">
                  <w:pPr>
                    <w:rPr>
                      <w:color w:val="auto"/>
                      <w:sz w:val="20"/>
                      <w:szCs w:val="20"/>
                      <w:highlight w:val="none"/>
                    </w:rPr>
                  </w:pPr>
                </w:p>
              </w:tc>
              <w:tc>
                <w:tcPr>
                  <w:tcW w:w="881" w:type="pct"/>
                  <w:vAlign w:val="center"/>
                </w:tcPr>
                <w:p w14:paraId="70367E4F">
                  <w:pPr>
                    <w:widowControl/>
                    <w:snapToGrid w:val="0"/>
                    <w:spacing w:before="72" w:beforeLines="30" w:after="72" w:afterLines="30"/>
                    <w:jc w:val="center"/>
                    <w:rPr>
                      <w:color w:val="auto"/>
                      <w:szCs w:val="21"/>
                      <w:highlight w:val="none"/>
                    </w:rPr>
                  </w:pPr>
                  <w:r>
                    <w:rPr>
                      <w:color w:val="auto"/>
                      <w:szCs w:val="21"/>
                      <w:highlight w:val="none"/>
                      <w:lang w:bidi="ar"/>
                    </w:rPr>
                    <w:t>二氧化硫</w:t>
                  </w:r>
                </w:p>
              </w:tc>
              <w:tc>
                <w:tcPr>
                  <w:tcW w:w="1499" w:type="pct"/>
                  <w:vAlign w:val="center"/>
                </w:tcPr>
                <w:p w14:paraId="7598800D">
                  <w:pPr>
                    <w:widowControl/>
                    <w:snapToGrid w:val="0"/>
                    <w:spacing w:before="72" w:beforeLines="30" w:after="72" w:afterLines="30"/>
                    <w:jc w:val="center"/>
                    <w:rPr>
                      <w:color w:val="auto"/>
                      <w:szCs w:val="21"/>
                      <w:highlight w:val="none"/>
                    </w:rPr>
                  </w:pPr>
                  <w:r>
                    <w:rPr>
                      <w:color w:val="auto"/>
                      <w:szCs w:val="21"/>
                      <w:highlight w:val="none"/>
                      <w:lang w:bidi="ar"/>
                    </w:rPr>
                    <w:t>千克/</w:t>
                  </w:r>
                  <w:r>
                    <w:rPr>
                      <w:rFonts w:hint="eastAsia"/>
                      <w:color w:val="auto"/>
                      <w:szCs w:val="21"/>
                      <w:highlight w:val="none"/>
                      <w:lang w:bidi="ar"/>
                    </w:rPr>
                    <w:t>吨</w:t>
                  </w:r>
                  <w:r>
                    <w:rPr>
                      <w:color w:val="auto"/>
                      <w:szCs w:val="21"/>
                      <w:highlight w:val="none"/>
                      <w:lang w:bidi="ar"/>
                    </w:rPr>
                    <w:t>-原料</w:t>
                  </w:r>
                </w:p>
              </w:tc>
              <w:tc>
                <w:tcPr>
                  <w:tcW w:w="676" w:type="pct"/>
                  <w:vAlign w:val="center"/>
                </w:tcPr>
                <w:p w14:paraId="76756D87">
                  <w:pPr>
                    <w:widowControl/>
                    <w:snapToGrid w:val="0"/>
                    <w:spacing w:before="72" w:beforeLines="30" w:after="72" w:afterLines="30"/>
                    <w:jc w:val="center"/>
                    <w:rPr>
                      <w:color w:val="auto"/>
                      <w:szCs w:val="21"/>
                      <w:highlight w:val="none"/>
                    </w:rPr>
                  </w:pPr>
                  <w:r>
                    <w:rPr>
                      <w:rFonts w:hint="eastAsia"/>
                      <w:color w:val="auto"/>
                      <w:szCs w:val="21"/>
                      <w:highlight w:val="none"/>
                      <w:lang w:bidi="ar"/>
                    </w:rPr>
                    <w:t>17</w:t>
                  </w:r>
                  <w:r>
                    <w:rPr>
                      <w:color w:val="auto"/>
                      <w:szCs w:val="21"/>
                      <w:highlight w:val="none"/>
                      <w:lang w:bidi="ar"/>
                    </w:rPr>
                    <w:t>S</w:t>
                  </w:r>
                  <w:r>
                    <w:rPr>
                      <w:rFonts w:hint="eastAsia" w:ascii="宋体" w:hAnsi="宋体" w:cs="宋体"/>
                      <w:color w:val="auto"/>
                      <w:szCs w:val="21"/>
                      <w:highlight w:val="none"/>
                      <w:vertAlign w:val="superscript"/>
                      <w:lang w:bidi="ar"/>
                    </w:rPr>
                    <w:t>①</w:t>
                  </w:r>
                </w:p>
              </w:tc>
            </w:tr>
            <w:tr w14:paraId="7643FAA1">
              <w:tblPrEx>
                <w:tblBorders>
                  <w:top w:val="single" w:color="auto" w:sz="12" w:space="0"/>
                  <w:left w:val="none" w:color="auto" w:sz="0" w:space="0"/>
                  <w:bottom w:val="single" w:color="auto" w:sz="12" w:space="0"/>
                  <w:right w:val="none" w:color="auto" w:sz="0" w:space="0"/>
                  <w:insideH w:val="single" w:color="auto" w:sz="8" w:space="0"/>
                  <w:insideV w:val="single" w:color="auto" w:sz="6" w:space="0"/>
                </w:tblBorders>
                <w:tblCellMar>
                  <w:top w:w="0" w:type="dxa"/>
                  <w:left w:w="108" w:type="dxa"/>
                  <w:bottom w:w="0" w:type="dxa"/>
                  <w:right w:w="108" w:type="dxa"/>
                </w:tblCellMar>
              </w:tblPrEx>
              <w:trPr>
                <w:trHeight w:val="23" w:hRule="atLeast"/>
                <w:jc w:val="center"/>
              </w:trPr>
              <w:tc>
                <w:tcPr>
                  <w:tcW w:w="482" w:type="pct"/>
                  <w:vMerge w:val="continue"/>
                  <w:vAlign w:val="center"/>
                </w:tcPr>
                <w:p w14:paraId="69ECD9C5">
                  <w:pPr>
                    <w:rPr>
                      <w:color w:val="auto"/>
                      <w:sz w:val="20"/>
                      <w:szCs w:val="20"/>
                      <w:highlight w:val="none"/>
                    </w:rPr>
                  </w:pPr>
                </w:p>
              </w:tc>
              <w:tc>
                <w:tcPr>
                  <w:tcW w:w="514" w:type="pct"/>
                  <w:vMerge w:val="continue"/>
                  <w:vAlign w:val="center"/>
                </w:tcPr>
                <w:p w14:paraId="3E6B5D64">
                  <w:pPr>
                    <w:rPr>
                      <w:color w:val="auto"/>
                      <w:sz w:val="20"/>
                      <w:szCs w:val="20"/>
                      <w:highlight w:val="none"/>
                    </w:rPr>
                  </w:pPr>
                </w:p>
              </w:tc>
              <w:tc>
                <w:tcPr>
                  <w:tcW w:w="486" w:type="pct"/>
                  <w:vMerge w:val="continue"/>
                  <w:vAlign w:val="center"/>
                </w:tcPr>
                <w:p w14:paraId="37EAA4B6">
                  <w:pPr>
                    <w:rPr>
                      <w:color w:val="auto"/>
                      <w:sz w:val="20"/>
                      <w:szCs w:val="20"/>
                      <w:highlight w:val="none"/>
                    </w:rPr>
                  </w:pPr>
                </w:p>
              </w:tc>
              <w:tc>
                <w:tcPr>
                  <w:tcW w:w="459" w:type="pct"/>
                  <w:vMerge w:val="continue"/>
                  <w:vAlign w:val="center"/>
                </w:tcPr>
                <w:p w14:paraId="3FBDBCB9">
                  <w:pPr>
                    <w:rPr>
                      <w:color w:val="auto"/>
                      <w:sz w:val="20"/>
                      <w:szCs w:val="20"/>
                      <w:highlight w:val="none"/>
                    </w:rPr>
                  </w:pPr>
                </w:p>
              </w:tc>
              <w:tc>
                <w:tcPr>
                  <w:tcW w:w="881" w:type="pct"/>
                  <w:vAlign w:val="center"/>
                </w:tcPr>
                <w:p w14:paraId="6CFDE08B">
                  <w:pPr>
                    <w:widowControl/>
                    <w:snapToGrid w:val="0"/>
                    <w:spacing w:before="72" w:beforeLines="30" w:after="72" w:afterLines="30"/>
                    <w:jc w:val="center"/>
                    <w:rPr>
                      <w:color w:val="auto"/>
                      <w:szCs w:val="21"/>
                      <w:highlight w:val="none"/>
                    </w:rPr>
                  </w:pPr>
                  <w:r>
                    <w:rPr>
                      <w:color w:val="auto"/>
                      <w:szCs w:val="21"/>
                      <w:highlight w:val="none"/>
                      <w:lang w:bidi="ar"/>
                    </w:rPr>
                    <w:t>氮氧化物</w:t>
                  </w:r>
                </w:p>
              </w:tc>
              <w:tc>
                <w:tcPr>
                  <w:tcW w:w="1499" w:type="pct"/>
                  <w:vAlign w:val="center"/>
                </w:tcPr>
                <w:p w14:paraId="629C1E71">
                  <w:pPr>
                    <w:widowControl/>
                    <w:snapToGrid w:val="0"/>
                    <w:spacing w:before="72" w:beforeLines="30" w:after="72" w:afterLines="30"/>
                    <w:jc w:val="center"/>
                    <w:rPr>
                      <w:color w:val="auto"/>
                      <w:szCs w:val="21"/>
                      <w:highlight w:val="none"/>
                    </w:rPr>
                  </w:pPr>
                  <w:r>
                    <w:rPr>
                      <w:color w:val="auto"/>
                      <w:szCs w:val="21"/>
                      <w:highlight w:val="none"/>
                      <w:lang w:bidi="ar"/>
                    </w:rPr>
                    <w:t>千克/</w:t>
                  </w:r>
                  <w:r>
                    <w:rPr>
                      <w:rFonts w:hint="eastAsia"/>
                      <w:color w:val="auto"/>
                      <w:szCs w:val="21"/>
                      <w:highlight w:val="none"/>
                      <w:lang w:bidi="ar"/>
                    </w:rPr>
                    <w:t>吨</w:t>
                  </w:r>
                  <w:r>
                    <w:rPr>
                      <w:color w:val="auto"/>
                      <w:szCs w:val="21"/>
                      <w:highlight w:val="none"/>
                      <w:lang w:bidi="ar"/>
                    </w:rPr>
                    <w:t>-原料</w:t>
                  </w:r>
                </w:p>
              </w:tc>
              <w:tc>
                <w:tcPr>
                  <w:tcW w:w="676" w:type="pct"/>
                  <w:vAlign w:val="center"/>
                </w:tcPr>
                <w:p w14:paraId="1A48CF43">
                  <w:pPr>
                    <w:widowControl/>
                    <w:snapToGrid w:val="0"/>
                    <w:spacing w:before="72" w:beforeLines="30" w:after="72" w:afterLines="30"/>
                    <w:jc w:val="center"/>
                    <w:rPr>
                      <w:color w:val="auto"/>
                      <w:szCs w:val="21"/>
                      <w:highlight w:val="none"/>
                    </w:rPr>
                  </w:pPr>
                  <w:r>
                    <w:rPr>
                      <w:rFonts w:hint="eastAsia"/>
                      <w:color w:val="auto"/>
                      <w:szCs w:val="21"/>
                      <w:highlight w:val="none"/>
                      <w:lang w:bidi="ar"/>
                    </w:rPr>
                    <w:t>1.02</w:t>
                  </w:r>
                </w:p>
              </w:tc>
            </w:tr>
          </w:tbl>
          <w:p w14:paraId="28F2E2A8">
            <w:pPr>
              <w:rPr>
                <w:color w:val="auto"/>
                <w:szCs w:val="21"/>
                <w:highlight w:val="none"/>
              </w:rPr>
            </w:pPr>
            <w:r>
              <w:rPr>
                <w:rFonts w:hint="eastAsia"/>
                <w:color w:val="auto"/>
                <w:szCs w:val="21"/>
                <w:highlight w:val="none"/>
              </w:rPr>
              <w:t>注：①二氧化硫的产污系数是以含硫量（S%）的形式表示的，其中含硫量（S%）是指生物质收到基硫分含量，以质量百分数的形式表示。例如生物质中含硫量（S%）为0.1%，则S=0.1。本项目外购的生物质成型燃料来自恒康宇泰能源科技有限公司，该公司委托第三方检测公司对其生物质成型燃料进行成分分析检测</w:t>
            </w:r>
            <w:r>
              <w:rPr>
                <w:rFonts w:hint="eastAsia"/>
                <w:color w:val="auto"/>
                <w:szCs w:val="21"/>
                <w:highlight w:val="none"/>
                <w:lang w:eastAsia="zh-CN"/>
              </w:rPr>
              <w:t>（见附件）</w:t>
            </w:r>
            <w:r>
              <w:rPr>
                <w:rFonts w:hint="eastAsia"/>
                <w:color w:val="auto"/>
                <w:szCs w:val="21"/>
                <w:highlight w:val="none"/>
              </w:rPr>
              <w:t>，其中含硫量为0.01%，则S=0.01。</w:t>
            </w:r>
          </w:p>
          <w:p w14:paraId="08EE1DBA">
            <w:pPr>
              <w:pStyle w:val="45"/>
              <w:spacing w:line="360" w:lineRule="auto"/>
              <w:ind w:left="0" w:firstLine="482" w:firstLineChars="200"/>
              <w:rPr>
                <w:rFonts w:ascii="Times New Roman"/>
                <w:color w:val="auto"/>
                <w:sz w:val="24"/>
                <w:highlight w:val="none"/>
              </w:rPr>
            </w:pPr>
            <w:r>
              <w:rPr>
                <w:rFonts w:hint="eastAsia" w:ascii="Times New Roman"/>
                <w:color w:val="auto"/>
                <w:sz w:val="24"/>
                <w:szCs w:val="24"/>
                <w:highlight w:val="none"/>
              </w:rPr>
              <w:t>治理措施：</w:t>
            </w:r>
            <w:r>
              <w:rPr>
                <w:rFonts w:hint="eastAsia" w:ascii="Times New Roman"/>
                <w:b w:val="0"/>
                <w:bCs w:val="0"/>
                <w:color w:val="auto"/>
                <w:sz w:val="24"/>
                <w:szCs w:val="24"/>
                <w:highlight w:val="none"/>
              </w:rPr>
              <w:t>根据建设单位介绍，本次购置的两台生物质锅炉均配备“低氮燃烧+</w:t>
            </w:r>
            <w:r>
              <w:rPr>
                <w:rFonts w:hint="eastAsia" w:ascii="Times New Roman"/>
                <w:b w:val="0"/>
                <w:bCs w:val="0"/>
                <w:color w:val="auto"/>
                <w:sz w:val="24"/>
                <w:szCs w:val="24"/>
                <w:highlight w:val="none"/>
                <w:lang w:eastAsia="zh-CN"/>
              </w:rPr>
              <w:t>袋式</w:t>
            </w:r>
            <w:r>
              <w:rPr>
                <w:rFonts w:hint="eastAsia" w:ascii="Times New Roman"/>
                <w:b w:val="0"/>
                <w:bCs w:val="0"/>
                <w:color w:val="auto"/>
                <w:sz w:val="24"/>
                <w:szCs w:val="24"/>
                <w:highlight w:val="none"/>
              </w:rPr>
              <w:t>除尘”设施，燃烧废气经该措施处理后集中通过一根</w:t>
            </w:r>
            <w:r>
              <w:rPr>
                <w:rFonts w:hint="eastAsia" w:ascii="Times New Roman"/>
                <w:b w:val="0"/>
                <w:bCs w:val="0"/>
                <w:color w:val="auto"/>
                <w:sz w:val="24"/>
                <w:szCs w:val="24"/>
                <w:highlight w:val="none"/>
                <w:lang w:val="en-US" w:eastAsia="zh-CN"/>
              </w:rPr>
              <w:t>40</w:t>
            </w:r>
            <w:r>
              <w:rPr>
                <w:rFonts w:hint="eastAsia" w:ascii="Times New Roman"/>
                <w:b w:val="0"/>
                <w:bCs w:val="0"/>
                <w:color w:val="auto"/>
                <w:sz w:val="24"/>
                <w:szCs w:val="24"/>
                <w:highlight w:val="none"/>
              </w:rPr>
              <w:t>m高排气筒排放。综合计算后，</w:t>
            </w:r>
            <w:r>
              <w:rPr>
                <w:rFonts w:hint="eastAsia" w:ascii="Times New Roman"/>
                <w:b w:val="0"/>
                <w:bCs w:val="0"/>
                <w:color w:val="auto"/>
                <w:sz w:val="24"/>
                <w:highlight w:val="none"/>
              </w:rPr>
              <w:t>厂区生物质锅炉燃烧废气产排情况如下：</w:t>
            </w:r>
          </w:p>
          <w:p w14:paraId="31F7221E">
            <w:pPr>
              <w:snapToGrid w:val="0"/>
              <w:jc w:val="center"/>
              <w:rPr>
                <w:b/>
                <w:color w:val="auto"/>
                <w:szCs w:val="21"/>
                <w:highlight w:val="none"/>
              </w:rPr>
            </w:pPr>
            <w:r>
              <w:rPr>
                <w:rFonts w:hint="eastAsia"/>
                <w:b/>
                <w:color w:val="auto"/>
                <w:szCs w:val="21"/>
                <w:highlight w:val="none"/>
              </w:rPr>
              <w:t>表4-2  生物质锅炉燃烧废气产生及排放情况表</w:t>
            </w:r>
          </w:p>
          <w:tbl>
            <w:tblPr>
              <w:tblStyle w:val="35"/>
              <w:tblW w:w="8437"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14"/>
              <w:gridCol w:w="919"/>
              <w:gridCol w:w="1091"/>
              <w:gridCol w:w="1247"/>
              <w:gridCol w:w="1789"/>
              <w:gridCol w:w="1215"/>
              <w:gridCol w:w="1262"/>
            </w:tblGrid>
            <w:tr w14:paraId="547AC37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41" w:type="pct"/>
                  <w:tcBorders>
                    <w:tl2br w:val="nil"/>
                    <w:tr2bl w:val="nil"/>
                  </w:tcBorders>
                  <w:vAlign w:val="center"/>
                </w:tcPr>
                <w:p w14:paraId="70E49F8E">
                  <w:pPr>
                    <w:jc w:val="center"/>
                    <w:rPr>
                      <w:color w:val="auto"/>
                      <w:szCs w:val="21"/>
                      <w:highlight w:val="none"/>
                    </w:rPr>
                  </w:pPr>
                  <w:r>
                    <w:rPr>
                      <w:color w:val="auto"/>
                      <w:szCs w:val="21"/>
                      <w:highlight w:val="none"/>
                    </w:rPr>
                    <w:t>污染物类别</w:t>
                  </w:r>
                </w:p>
              </w:tc>
              <w:tc>
                <w:tcPr>
                  <w:tcW w:w="544" w:type="pct"/>
                  <w:tcBorders>
                    <w:tl2br w:val="nil"/>
                    <w:tr2bl w:val="nil"/>
                  </w:tcBorders>
                  <w:vAlign w:val="center"/>
                </w:tcPr>
                <w:p w14:paraId="0DC9EF71">
                  <w:pPr>
                    <w:tabs>
                      <w:tab w:val="left" w:pos="2940"/>
                    </w:tabs>
                    <w:jc w:val="center"/>
                    <w:rPr>
                      <w:bCs/>
                      <w:color w:val="auto"/>
                      <w:szCs w:val="21"/>
                      <w:highlight w:val="none"/>
                    </w:rPr>
                  </w:pPr>
                  <w:r>
                    <w:rPr>
                      <w:bCs/>
                      <w:color w:val="auto"/>
                      <w:szCs w:val="21"/>
                      <w:highlight w:val="none"/>
                      <w:lang w:bidi="ar"/>
                    </w:rPr>
                    <w:t>产生量（t/a）</w:t>
                  </w:r>
                </w:p>
              </w:tc>
              <w:tc>
                <w:tcPr>
                  <w:tcW w:w="646" w:type="pct"/>
                  <w:tcBorders>
                    <w:tl2br w:val="nil"/>
                    <w:tr2bl w:val="nil"/>
                  </w:tcBorders>
                  <w:vAlign w:val="center"/>
                </w:tcPr>
                <w:p w14:paraId="16F38869">
                  <w:pPr>
                    <w:tabs>
                      <w:tab w:val="left" w:pos="2940"/>
                    </w:tabs>
                    <w:jc w:val="center"/>
                    <w:rPr>
                      <w:bCs/>
                      <w:color w:val="auto"/>
                      <w:szCs w:val="21"/>
                      <w:highlight w:val="none"/>
                      <w:lang w:bidi="ar"/>
                    </w:rPr>
                  </w:pPr>
                  <w:r>
                    <w:rPr>
                      <w:bCs/>
                      <w:color w:val="auto"/>
                      <w:szCs w:val="21"/>
                      <w:highlight w:val="none"/>
                      <w:lang w:bidi="ar"/>
                    </w:rPr>
                    <w:t>产生浓度（</w:t>
                  </w:r>
                  <w:r>
                    <w:rPr>
                      <w:color w:val="auto"/>
                      <w:szCs w:val="21"/>
                      <w:highlight w:val="none"/>
                      <w:lang w:bidi="ar"/>
                    </w:rPr>
                    <w:t>mg/m</w:t>
                  </w:r>
                  <w:r>
                    <w:rPr>
                      <w:color w:val="auto"/>
                      <w:szCs w:val="21"/>
                      <w:highlight w:val="none"/>
                      <w:vertAlign w:val="superscript"/>
                      <w:lang w:bidi="ar"/>
                    </w:rPr>
                    <w:t>3</w:t>
                  </w:r>
                  <w:r>
                    <w:rPr>
                      <w:bCs/>
                      <w:color w:val="auto"/>
                      <w:szCs w:val="21"/>
                      <w:highlight w:val="none"/>
                      <w:lang w:bidi="ar"/>
                    </w:rPr>
                    <w:t>）</w:t>
                  </w:r>
                </w:p>
              </w:tc>
              <w:tc>
                <w:tcPr>
                  <w:tcW w:w="739" w:type="pct"/>
                  <w:tcBorders>
                    <w:tl2br w:val="nil"/>
                    <w:tr2bl w:val="nil"/>
                  </w:tcBorders>
                  <w:vAlign w:val="center"/>
                </w:tcPr>
                <w:p w14:paraId="17C4ED21">
                  <w:pPr>
                    <w:tabs>
                      <w:tab w:val="left" w:pos="2940"/>
                    </w:tabs>
                    <w:jc w:val="center"/>
                    <w:rPr>
                      <w:bCs/>
                      <w:color w:val="auto"/>
                      <w:szCs w:val="21"/>
                      <w:highlight w:val="none"/>
                    </w:rPr>
                  </w:pPr>
                  <w:r>
                    <w:rPr>
                      <w:bCs/>
                      <w:color w:val="auto"/>
                      <w:szCs w:val="21"/>
                      <w:highlight w:val="none"/>
                      <w:lang w:bidi="ar"/>
                    </w:rPr>
                    <w:t>处理措施</w:t>
                  </w:r>
                </w:p>
              </w:tc>
              <w:tc>
                <w:tcPr>
                  <w:tcW w:w="1060" w:type="pct"/>
                  <w:tcBorders>
                    <w:tl2br w:val="nil"/>
                    <w:tr2bl w:val="nil"/>
                  </w:tcBorders>
                  <w:vAlign w:val="center"/>
                </w:tcPr>
                <w:p w14:paraId="78C9BB50">
                  <w:pPr>
                    <w:tabs>
                      <w:tab w:val="left" w:pos="2940"/>
                    </w:tabs>
                    <w:jc w:val="center"/>
                    <w:rPr>
                      <w:bCs/>
                      <w:color w:val="auto"/>
                      <w:szCs w:val="21"/>
                      <w:highlight w:val="none"/>
                      <w:lang w:bidi="ar"/>
                    </w:rPr>
                  </w:pPr>
                  <w:r>
                    <w:rPr>
                      <w:bCs/>
                      <w:color w:val="auto"/>
                      <w:szCs w:val="21"/>
                      <w:highlight w:val="none"/>
                      <w:lang w:bidi="ar"/>
                    </w:rPr>
                    <w:t>处理效率</w:t>
                  </w:r>
                  <w:r>
                    <w:rPr>
                      <w:rFonts w:hint="eastAsia"/>
                      <w:bCs/>
                      <w:color w:val="auto"/>
                      <w:szCs w:val="21"/>
                      <w:highlight w:val="none"/>
                      <w:lang w:bidi="ar"/>
                    </w:rPr>
                    <w:t>（%）</w:t>
                  </w:r>
                </w:p>
              </w:tc>
              <w:tc>
                <w:tcPr>
                  <w:tcW w:w="720" w:type="pct"/>
                  <w:tcBorders>
                    <w:tl2br w:val="nil"/>
                    <w:tr2bl w:val="nil"/>
                  </w:tcBorders>
                  <w:vAlign w:val="center"/>
                </w:tcPr>
                <w:p w14:paraId="6E23F255">
                  <w:pPr>
                    <w:tabs>
                      <w:tab w:val="left" w:pos="2940"/>
                    </w:tabs>
                    <w:jc w:val="center"/>
                    <w:rPr>
                      <w:bCs/>
                      <w:color w:val="auto"/>
                      <w:szCs w:val="21"/>
                      <w:highlight w:val="none"/>
                    </w:rPr>
                  </w:pPr>
                  <w:r>
                    <w:rPr>
                      <w:bCs/>
                      <w:color w:val="auto"/>
                      <w:szCs w:val="21"/>
                      <w:highlight w:val="none"/>
                      <w:lang w:bidi="ar"/>
                    </w:rPr>
                    <w:t>排放量（t/a）</w:t>
                  </w:r>
                </w:p>
              </w:tc>
              <w:tc>
                <w:tcPr>
                  <w:tcW w:w="747" w:type="pct"/>
                  <w:tcBorders>
                    <w:tl2br w:val="nil"/>
                    <w:tr2bl w:val="nil"/>
                  </w:tcBorders>
                  <w:vAlign w:val="center"/>
                </w:tcPr>
                <w:p w14:paraId="741493E6">
                  <w:pPr>
                    <w:tabs>
                      <w:tab w:val="left" w:pos="2940"/>
                    </w:tabs>
                    <w:jc w:val="center"/>
                    <w:rPr>
                      <w:bCs/>
                      <w:color w:val="auto"/>
                      <w:szCs w:val="21"/>
                      <w:highlight w:val="none"/>
                      <w:lang w:bidi="ar"/>
                    </w:rPr>
                  </w:pPr>
                  <w:r>
                    <w:rPr>
                      <w:bCs/>
                      <w:color w:val="auto"/>
                      <w:szCs w:val="21"/>
                      <w:highlight w:val="none"/>
                      <w:lang w:bidi="ar"/>
                    </w:rPr>
                    <w:t>排放浓度（</w:t>
                  </w:r>
                  <w:r>
                    <w:rPr>
                      <w:color w:val="auto"/>
                      <w:szCs w:val="21"/>
                      <w:highlight w:val="none"/>
                      <w:lang w:bidi="ar"/>
                    </w:rPr>
                    <w:t>mg/m</w:t>
                  </w:r>
                  <w:r>
                    <w:rPr>
                      <w:color w:val="auto"/>
                      <w:szCs w:val="21"/>
                      <w:highlight w:val="none"/>
                      <w:vertAlign w:val="superscript"/>
                      <w:lang w:bidi="ar"/>
                    </w:rPr>
                    <w:t>3</w:t>
                  </w:r>
                  <w:r>
                    <w:rPr>
                      <w:bCs/>
                      <w:color w:val="auto"/>
                      <w:szCs w:val="21"/>
                      <w:highlight w:val="none"/>
                      <w:lang w:bidi="ar"/>
                    </w:rPr>
                    <w:t>）</w:t>
                  </w:r>
                </w:p>
              </w:tc>
            </w:tr>
            <w:tr w14:paraId="51AF7AF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283" w:hRule="atLeast"/>
              </w:trPr>
              <w:tc>
                <w:tcPr>
                  <w:tcW w:w="541" w:type="pct"/>
                  <w:tcBorders>
                    <w:tl2br w:val="nil"/>
                    <w:tr2bl w:val="nil"/>
                  </w:tcBorders>
                  <w:vAlign w:val="center"/>
                </w:tcPr>
                <w:p w14:paraId="04AA394D">
                  <w:pPr>
                    <w:widowControl/>
                    <w:tabs>
                      <w:tab w:val="left" w:pos="2940"/>
                    </w:tabs>
                    <w:snapToGrid w:val="0"/>
                    <w:jc w:val="center"/>
                    <w:rPr>
                      <w:bCs/>
                      <w:color w:val="auto"/>
                      <w:szCs w:val="21"/>
                      <w:highlight w:val="none"/>
                      <w:lang w:bidi="ar"/>
                    </w:rPr>
                  </w:pPr>
                  <w:r>
                    <w:rPr>
                      <w:bCs/>
                      <w:color w:val="auto"/>
                      <w:szCs w:val="21"/>
                      <w:highlight w:val="none"/>
                      <w:lang w:bidi="ar"/>
                    </w:rPr>
                    <w:t>颗粒物</w:t>
                  </w:r>
                </w:p>
              </w:tc>
              <w:tc>
                <w:tcPr>
                  <w:tcW w:w="544" w:type="pct"/>
                  <w:tcBorders>
                    <w:tl2br w:val="nil"/>
                    <w:tr2bl w:val="nil"/>
                  </w:tcBorders>
                  <w:vAlign w:val="center"/>
                </w:tcPr>
                <w:p w14:paraId="1164FCDE">
                  <w:pPr>
                    <w:widowControl/>
                    <w:tabs>
                      <w:tab w:val="left" w:pos="2940"/>
                    </w:tabs>
                    <w:snapToGrid w:val="0"/>
                    <w:jc w:val="center"/>
                    <w:rPr>
                      <w:bCs/>
                      <w:color w:val="auto"/>
                      <w:szCs w:val="21"/>
                      <w:highlight w:val="none"/>
                      <w:lang w:bidi="ar"/>
                    </w:rPr>
                  </w:pPr>
                  <w:r>
                    <w:rPr>
                      <w:rFonts w:hint="eastAsia"/>
                      <w:bCs/>
                      <w:color w:val="auto"/>
                      <w:szCs w:val="21"/>
                      <w:highlight w:val="none"/>
                      <w:lang w:bidi="ar"/>
                    </w:rPr>
                    <w:t>0.26</w:t>
                  </w:r>
                </w:p>
              </w:tc>
              <w:tc>
                <w:tcPr>
                  <w:tcW w:w="646" w:type="pct"/>
                  <w:tcBorders>
                    <w:tl2br w:val="nil"/>
                    <w:tr2bl w:val="nil"/>
                  </w:tcBorders>
                  <w:vAlign w:val="center"/>
                </w:tcPr>
                <w:p w14:paraId="6A458578">
                  <w:pPr>
                    <w:widowControl/>
                    <w:tabs>
                      <w:tab w:val="left" w:pos="2940"/>
                    </w:tabs>
                    <w:snapToGrid w:val="0"/>
                    <w:jc w:val="center"/>
                    <w:rPr>
                      <w:bCs/>
                      <w:color w:val="auto"/>
                      <w:szCs w:val="21"/>
                      <w:highlight w:val="none"/>
                      <w:lang w:bidi="ar"/>
                    </w:rPr>
                  </w:pPr>
                  <w:r>
                    <w:rPr>
                      <w:rFonts w:hint="eastAsia"/>
                      <w:bCs/>
                      <w:color w:val="auto"/>
                      <w:szCs w:val="21"/>
                      <w:highlight w:val="none"/>
                      <w:lang w:bidi="ar"/>
                    </w:rPr>
                    <w:t>83.33</w:t>
                  </w:r>
                </w:p>
              </w:tc>
              <w:tc>
                <w:tcPr>
                  <w:tcW w:w="739" w:type="pct"/>
                  <w:tcBorders>
                    <w:tl2br w:val="nil"/>
                    <w:tr2bl w:val="nil"/>
                  </w:tcBorders>
                  <w:vAlign w:val="center"/>
                </w:tcPr>
                <w:p w14:paraId="081E4EF9">
                  <w:pPr>
                    <w:widowControl/>
                    <w:tabs>
                      <w:tab w:val="left" w:pos="2940"/>
                    </w:tabs>
                    <w:snapToGrid w:val="0"/>
                    <w:jc w:val="center"/>
                    <w:rPr>
                      <w:bCs/>
                      <w:color w:val="auto"/>
                      <w:szCs w:val="21"/>
                      <w:highlight w:val="none"/>
                    </w:rPr>
                  </w:pPr>
                  <w:r>
                    <w:rPr>
                      <w:rFonts w:hint="eastAsia"/>
                      <w:bCs/>
                      <w:color w:val="auto"/>
                      <w:szCs w:val="21"/>
                      <w:highlight w:val="none"/>
                      <w:lang w:eastAsia="zh-CN"/>
                    </w:rPr>
                    <w:t>袋式</w:t>
                  </w:r>
                  <w:r>
                    <w:rPr>
                      <w:rFonts w:hint="eastAsia"/>
                      <w:bCs/>
                      <w:color w:val="auto"/>
                      <w:szCs w:val="21"/>
                      <w:highlight w:val="none"/>
                    </w:rPr>
                    <w:t>除尘</w:t>
                  </w:r>
                </w:p>
              </w:tc>
              <w:tc>
                <w:tcPr>
                  <w:tcW w:w="1060" w:type="pct"/>
                  <w:tcBorders>
                    <w:tl2br w:val="nil"/>
                    <w:tr2bl w:val="nil"/>
                  </w:tcBorders>
                  <w:vAlign w:val="center"/>
                </w:tcPr>
                <w:p w14:paraId="0DC85C09">
                  <w:pPr>
                    <w:widowControl/>
                    <w:tabs>
                      <w:tab w:val="left" w:pos="2940"/>
                    </w:tabs>
                    <w:snapToGrid w:val="0"/>
                    <w:jc w:val="center"/>
                    <w:rPr>
                      <w:rFonts w:hint="default" w:eastAsia="宋体"/>
                      <w:bCs/>
                      <w:color w:val="auto"/>
                      <w:szCs w:val="21"/>
                      <w:highlight w:val="none"/>
                      <w:lang w:val="en-US" w:eastAsia="zh-CN" w:bidi="ar"/>
                    </w:rPr>
                  </w:pPr>
                  <w:r>
                    <w:rPr>
                      <w:rFonts w:hint="eastAsia"/>
                      <w:bCs/>
                      <w:color w:val="auto"/>
                      <w:szCs w:val="21"/>
                      <w:highlight w:val="none"/>
                      <w:lang w:val="en-US" w:eastAsia="zh-CN" w:bidi="ar"/>
                    </w:rPr>
                    <w:t>99.7</w:t>
                  </w:r>
                </w:p>
              </w:tc>
              <w:tc>
                <w:tcPr>
                  <w:tcW w:w="720" w:type="pct"/>
                  <w:tcBorders>
                    <w:tl2br w:val="nil"/>
                    <w:tr2bl w:val="nil"/>
                  </w:tcBorders>
                  <w:vAlign w:val="center"/>
                </w:tcPr>
                <w:p w14:paraId="5A7F73E0">
                  <w:pPr>
                    <w:widowControl/>
                    <w:tabs>
                      <w:tab w:val="left" w:pos="2940"/>
                    </w:tabs>
                    <w:snapToGrid w:val="0"/>
                    <w:jc w:val="center"/>
                    <w:rPr>
                      <w:rFonts w:hint="default" w:eastAsia="宋体"/>
                      <w:bCs/>
                      <w:color w:val="auto"/>
                      <w:szCs w:val="21"/>
                      <w:highlight w:val="none"/>
                      <w:lang w:val="en-US" w:eastAsia="zh-CN" w:bidi="ar"/>
                    </w:rPr>
                  </w:pPr>
                  <w:r>
                    <w:rPr>
                      <w:rFonts w:hint="eastAsia"/>
                      <w:bCs/>
                      <w:color w:val="auto"/>
                      <w:szCs w:val="21"/>
                      <w:highlight w:val="none"/>
                      <w:lang w:bidi="ar"/>
                    </w:rPr>
                    <w:t>0.0</w:t>
                  </w:r>
                  <w:r>
                    <w:rPr>
                      <w:rFonts w:hint="eastAsia"/>
                      <w:bCs/>
                      <w:color w:val="auto"/>
                      <w:szCs w:val="21"/>
                      <w:highlight w:val="none"/>
                      <w:lang w:val="en-US" w:eastAsia="zh-CN" w:bidi="ar"/>
                    </w:rPr>
                    <w:t>0078</w:t>
                  </w:r>
                </w:p>
              </w:tc>
              <w:tc>
                <w:tcPr>
                  <w:tcW w:w="747" w:type="pct"/>
                  <w:tcBorders>
                    <w:tl2br w:val="nil"/>
                    <w:tr2bl w:val="nil"/>
                  </w:tcBorders>
                  <w:vAlign w:val="center"/>
                </w:tcPr>
                <w:p w14:paraId="668D3176">
                  <w:pPr>
                    <w:widowControl/>
                    <w:tabs>
                      <w:tab w:val="left" w:pos="2940"/>
                    </w:tabs>
                    <w:snapToGrid w:val="0"/>
                    <w:jc w:val="center"/>
                    <w:rPr>
                      <w:rFonts w:hint="default" w:eastAsia="宋体"/>
                      <w:bCs/>
                      <w:color w:val="auto"/>
                      <w:szCs w:val="21"/>
                      <w:highlight w:val="none"/>
                      <w:lang w:val="en-US" w:eastAsia="zh-CN" w:bidi="ar"/>
                    </w:rPr>
                  </w:pPr>
                  <w:r>
                    <w:rPr>
                      <w:rFonts w:hint="eastAsia"/>
                      <w:bCs/>
                      <w:color w:val="auto"/>
                      <w:szCs w:val="21"/>
                      <w:highlight w:val="none"/>
                      <w:lang w:val="en-US" w:eastAsia="zh-CN" w:bidi="ar"/>
                    </w:rPr>
                    <w:t>0.25</w:t>
                  </w:r>
                </w:p>
              </w:tc>
            </w:tr>
            <w:tr w14:paraId="4AD4AC5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283" w:hRule="atLeast"/>
              </w:trPr>
              <w:tc>
                <w:tcPr>
                  <w:tcW w:w="541" w:type="pct"/>
                  <w:tcBorders>
                    <w:tl2br w:val="nil"/>
                    <w:tr2bl w:val="nil"/>
                  </w:tcBorders>
                  <w:vAlign w:val="center"/>
                </w:tcPr>
                <w:p w14:paraId="540C7226">
                  <w:pPr>
                    <w:widowControl/>
                    <w:tabs>
                      <w:tab w:val="left" w:pos="2940"/>
                    </w:tabs>
                    <w:snapToGrid w:val="0"/>
                    <w:jc w:val="center"/>
                    <w:rPr>
                      <w:bCs/>
                      <w:color w:val="auto"/>
                      <w:szCs w:val="21"/>
                      <w:highlight w:val="none"/>
                    </w:rPr>
                  </w:pPr>
                  <w:r>
                    <w:rPr>
                      <w:bCs/>
                      <w:color w:val="auto"/>
                      <w:szCs w:val="21"/>
                      <w:highlight w:val="none"/>
                      <w:lang w:bidi="ar"/>
                    </w:rPr>
                    <w:t>SO</w:t>
                  </w:r>
                  <w:r>
                    <w:rPr>
                      <w:bCs/>
                      <w:color w:val="auto"/>
                      <w:szCs w:val="21"/>
                      <w:highlight w:val="none"/>
                      <w:vertAlign w:val="subscript"/>
                      <w:lang w:bidi="ar"/>
                    </w:rPr>
                    <w:t>2</w:t>
                  </w:r>
                </w:p>
              </w:tc>
              <w:tc>
                <w:tcPr>
                  <w:tcW w:w="544" w:type="pct"/>
                  <w:tcBorders>
                    <w:tl2br w:val="nil"/>
                    <w:tr2bl w:val="nil"/>
                  </w:tcBorders>
                  <w:vAlign w:val="center"/>
                </w:tcPr>
                <w:p w14:paraId="7C840CA5">
                  <w:pPr>
                    <w:widowControl/>
                    <w:tabs>
                      <w:tab w:val="left" w:pos="2940"/>
                    </w:tabs>
                    <w:snapToGrid w:val="0"/>
                    <w:jc w:val="center"/>
                    <w:rPr>
                      <w:bCs/>
                      <w:color w:val="auto"/>
                      <w:szCs w:val="21"/>
                      <w:highlight w:val="none"/>
                    </w:rPr>
                  </w:pPr>
                  <w:r>
                    <w:rPr>
                      <w:bCs/>
                      <w:color w:val="auto"/>
                      <w:szCs w:val="21"/>
                      <w:highlight w:val="none"/>
                    </w:rPr>
                    <w:t>0.0</w:t>
                  </w:r>
                  <w:r>
                    <w:rPr>
                      <w:rFonts w:hint="eastAsia"/>
                      <w:bCs/>
                      <w:color w:val="auto"/>
                      <w:szCs w:val="21"/>
                      <w:highlight w:val="none"/>
                    </w:rPr>
                    <w:t>85</w:t>
                  </w:r>
                </w:p>
              </w:tc>
              <w:tc>
                <w:tcPr>
                  <w:tcW w:w="646" w:type="pct"/>
                  <w:tcBorders>
                    <w:tl2br w:val="nil"/>
                    <w:tr2bl w:val="nil"/>
                  </w:tcBorders>
                  <w:vAlign w:val="center"/>
                </w:tcPr>
                <w:p w14:paraId="70E604E8">
                  <w:pPr>
                    <w:widowControl/>
                    <w:tabs>
                      <w:tab w:val="left" w:pos="2940"/>
                    </w:tabs>
                    <w:snapToGrid w:val="0"/>
                    <w:jc w:val="center"/>
                    <w:rPr>
                      <w:bCs/>
                      <w:color w:val="auto"/>
                      <w:szCs w:val="21"/>
                      <w:highlight w:val="none"/>
                      <w:lang w:bidi="ar"/>
                    </w:rPr>
                  </w:pPr>
                  <w:r>
                    <w:rPr>
                      <w:rFonts w:hint="eastAsia"/>
                      <w:bCs/>
                      <w:color w:val="auto"/>
                      <w:szCs w:val="21"/>
                      <w:highlight w:val="none"/>
                      <w:lang w:bidi="ar"/>
                    </w:rPr>
                    <w:t>27.24</w:t>
                  </w:r>
                </w:p>
              </w:tc>
              <w:tc>
                <w:tcPr>
                  <w:tcW w:w="739" w:type="pct"/>
                  <w:tcBorders>
                    <w:tl2br w:val="nil"/>
                    <w:tr2bl w:val="nil"/>
                  </w:tcBorders>
                  <w:vAlign w:val="center"/>
                </w:tcPr>
                <w:p w14:paraId="435738EF">
                  <w:pPr>
                    <w:widowControl/>
                    <w:snapToGrid w:val="0"/>
                    <w:jc w:val="center"/>
                    <w:rPr>
                      <w:bCs/>
                      <w:color w:val="auto"/>
                      <w:szCs w:val="21"/>
                      <w:highlight w:val="none"/>
                    </w:rPr>
                  </w:pPr>
                  <w:r>
                    <w:rPr>
                      <w:rFonts w:hint="eastAsia"/>
                      <w:bCs/>
                      <w:color w:val="auto"/>
                      <w:szCs w:val="21"/>
                      <w:highlight w:val="none"/>
                    </w:rPr>
                    <w:t>/</w:t>
                  </w:r>
                </w:p>
              </w:tc>
              <w:tc>
                <w:tcPr>
                  <w:tcW w:w="1060" w:type="pct"/>
                  <w:tcBorders>
                    <w:tl2br w:val="nil"/>
                    <w:tr2bl w:val="nil"/>
                  </w:tcBorders>
                  <w:vAlign w:val="center"/>
                </w:tcPr>
                <w:p w14:paraId="042FFE06">
                  <w:pPr>
                    <w:widowControl/>
                    <w:snapToGrid w:val="0"/>
                    <w:jc w:val="center"/>
                    <w:rPr>
                      <w:bCs/>
                      <w:color w:val="auto"/>
                      <w:szCs w:val="21"/>
                      <w:highlight w:val="none"/>
                      <w:lang w:bidi="ar"/>
                    </w:rPr>
                  </w:pPr>
                  <w:r>
                    <w:rPr>
                      <w:rFonts w:hint="eastAsia"/>
                      <w:bCs/>
                      <w:color w:val="auto"/>
                      <w:szCs w:val="21"/>
                      <w:highlight w:val="none"/>
                    </w:rPr>
                    <w:t>/</w:t>
                  </w:r>
                </w:p>
              </w:tc>
              <w:tc>
                <w:tcPr>
                  <w:tcW w:w="720" w:type="pct"/>
                  <w:tcBorders>
                    <w:tl2br w:val="nil"/>
                    <w:tr2bl w:val="nil"/>
                  </w:tcBorders>
                  <w:vAlign w:val="center"/>
                </w:tcPr>
                <w:p w14:paraId="4030CD73">
                  <w:pPr>
                    <w:widowControl/>
                    <w:tabs>
                      <w:tab w:val="left" w:pos="2940"/>
                    </w:tabs>
                    <w:snapToGrid w:val="0"/>
                    <w:jc w:val="center"/>
                    <w:rPr>
                      <w:bCs/>
                      <w:color w:val="auto"/>
                      <w:szCs w:val="21"/>
                      <w:highlight w:val="none"/>
                    </w:rPr>
                  </w:pPr>
                  <w:r>
                    <w:rPr>
                      <w:bCs/>
                      <w:color w:val="auto"/>
                      <w:szCs w:val="21"/>
                      <w:highlight w:val="none"/>
                    </w:rPr>
                    <w:t>0.0</w:t>
                  </w:r>
                  <w:r>
                    <w:rPr>
                      <w:rFonts w:hint="eastAsia"/>
                      <w:bCs/>
                      <w:color w:val="auto"/>
                      <w:szCs w:val="21"/>
                      <w:highlight w:val="none"/>
                    </w:rPr>
                    <w:t>85</w:t>
                  </w:r>
                </w:p>
              </w:tc>
              <w:tc>
                <w:tcPr>
                  <w:tcW w:w="747" w:type="pct"/>
                  <w:tcBorders>
                    <w:tl2br w:val="nil"/>
                    <w:tr2bl w:val="nil"/>
                  </w:tcBorders>
                  <w:vAlign w:val="center"/>
                </w:tcPr>
                <w:p w14:paraId="2B468122">
                  <w:pPr>
                    <w:widowControl/>
                    <w:tabs>
                      <w:tab w:val="left" w:pos="2940"/>
                    </w:tabs>
                    <w:snapToGrid w:val="0"/>
                    <w:jc w:val="center"/>
                    <w:rPr>
                      <w:bCs/>
                      <w:color w:val="auto"/>
                      <w:szCs w:val="21"/>
                      <w:highlight w:val="none"/>
                      <w:lang w:bidi="ar"/>
                    </w:rPr>
                  </w:pPr>
                  <w:r>
                    <w:rPr>
                      <w:rFonts w:hint="eastAsia"/>
                      <w:bCs/>
                      <w:color w:val="auto"/>
                      <w:szCs w:val="21"/>
                      <w:highlight w:val="none"/>
                      <w:lang w:bidi="ar"/>
                    </w:rPr>
                    <w:t>27.24</w:t>
                  </w:r>
                </w:p>
              </w:tc>
            </w:tr>
            <w:tr w14:paraId="499ED99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41" w:type="pct"/>
                  <w:tcBorders>
                    <w:tl2br w:val="nil"/>
                    <w:tr2bl w:val="nil"/>
                  </w:tcBorders>
                  <w:vAlign w:val="center"/>
                </w:tcPr>
                <w:p w14:paraId="5BE4B89C">
                  <w:pPr>
                    <w:widowControl/>
                    <w:tabs>
                      <w:tab w:val="left" w:pos="2940"/>
                    </w:tabs>
                    <w:snapToGrid w:val="0"/>
                    <w:jc w:val="center"/>
                    <w:rPr>
                      <w:bCs/>
                      <w:color w:val="auto"/>
                      <w:szCs w:val="21"/>
                      <w:highlight w:val="none"/>
                    </w:rPr>
                  </w:pPr>
                  <w:r>
                    <w:rPr>
                      <w:bCs/>
                      <w:color w:val="auto"/>
                      <w:szCs w:val="21"/>
                      <w:highlight w:val="none"/>
                      <w:lang w:bidi="ar"/>
                    </w:rPr>
                    <w:t>NO</w:t>
                  </w:r>
                  <w:r>
                    <w:rPr>
                      <w:bCs/>
                      <w:color w:val="auto"/>
                      <w:szCs w:val="21"/>
                      <w:highlight w:val="none"/>
                      <w:vertAlign w:val="subscript"/>
                      <w:lang w:bidi="ar"/>
                    </w:rPr>
                    <w:t>X</w:t>
                  </w:r>
                </w:p>
              </w:tc>
              <w:tc>
                <w:tcPr>
                  <w:tcW w:w="544" w:type="pct"/>
                  <w:tcBorders>
                    <w:tl2br w:val="nil"/>
                    <w:tr2bl w:val="nil"/>
                  </w:tcBorders>
                  <w:vAlign w:val="center"/>
                </w:tcPr>
                <w:p w14:paraId="708B102F">
                  <w:pPr>
                    <w:widowControl/>
                    <w:tabs>
                      <w:tab w:val="left" w:pos="2940"/>
                    </w:tabs>
                    <w:snapToGrid w:val="0"/>
                    <w:jc w:val="center"/>
                    <w:rPr>
                      <w:bCs/>
                      <w:color w:val="auto"/>
                      <w:szCs w:val="21"/>
                      <w:highlight w:val="none"/>
                    </w:rPr>
                  </w:pPr>
                  <w:r>
                    <w:rPr>
                      <w:rFonts w:hint="eastAsia"/>
                      <w:bCs/>
                      <w:color w:val="auto"/>
                      <w:szCs w:val="21"/>
                      <w:highlight w:val="none"/>
                    </w:rPr>
                    <w:t>0.357</w:t>
                  </w:r>
                </w:p>
              </w:tc>
              <w:tc>
                <w:tcPr>
                  <w:tcW w:w="646" w:type="pct"/>
                  <w:tcBorders>
                    <w:tl2br w:val="nil"/>
                    <w:tr2bl w:val="nil"/>
                  </w:tcBorders>
                  <w:vAlign w:val="center"/>
                </w:tcPr>
                <w:p w14:paraId="21F8E146">
                  <w:pPr>
                    <w:widowControl/>
                    <w:tabs>
                      <w:tab w:val="left" w:pos="2940"/>
                    </w:tabs>
                    <w:snapToGrid w:val="0"/>
                    <w:jc w:val="center"/>
                    <w:rPr>
                      <w:bCs/>
                      <w:color w:val="auto"/>
                      <w:szCs w:val="21"/>
                      <w:highlight w:val="none"/>
                      <w:lang w:bidi="ar"/>
                    </w:rPr>
                  </w:pPr>
                  <w:r>
                    <w:rPr>
                      <w:rFonts w:hint="eastAsia"/>
                      <w:bCs/>
                      <w:color w:val="auto"/>
                      <w:szCs w:val="21"/>
                      <w:highlight w:val="none"/>
                      <w:lang w:bidi="ar"/>
                    </w:rPr>
                    <w:t>114.42</w:t>
                  </w:r>
                </w:p>
              </w:tc>
              <w:tc>
                <w:tcPr>
                  <w:tcW w:w="739" w:type="pct"/>
                  <w:tcBorders>
                    <w:tl2br w:val="nil"/>
                    <w:tr2bl w:val="nil"/>
                  </w:tcBorders>
                  <w:vAlign w:val="center"/>
                </w:tcPr>
                <w:p w14:paraId="63E6FA31">
                  <w:pPr>
                    <w:widowControl/>
                    <w:snapToGrid w:val="0"/>
                    <w:jc w:val="center"/>
                    <w:rPr>
                      <w:bCs/>
                      <w:color w:val="auto"/>
                      <w:szCs w:val="21"/>
                      <w:highlight w:val="none"/>
                    </w:rPr>
                  </w:pPr>
                  <w:r>
                    <w:rPr>
                      <w:rFonts w:hint="eastAsia"/>
                      <w:bCs/>
                      <w:color w:val="auto"/>
                      <w:szCs w:val="21"/>
                      <w:highlight w:val="none"/>
                    </w:rPr>
                    <w:t>低氮燃烧</w:t>
                  </w:r>
                </w:p>
              </w:tc>
              <w:tc>
                <w:tcPr>
                  <w:tcW w:w="1060" w:type="pct"/>
                  <w:tcBorders>
                    <w:tl2br w:val="nil"/>
                    <w:tr2bl w:val="nil"/>
                  </w:tcBorders>
                  <w:vAlign w:val="center"/>
                </w:tcPr>
                <w:p w14:paraId="2F1919BF">
                  <w:pPr>
                    <w:widowControl/>
                    <w:snapToGrid w:val="0"/>
                    <w:jc w:val="center"/>
                    <w:rPr>
                      <w:bCs/>
                      <w:color w:val="auto"/>
                      <w:szCs w:val="21"/>
                      <w:highlight w:val="none"/>
                      <w:lang w:bidi="ar"/>
                    </w:rPr>
                  </w:pPr>
                  <w:r>
                    <w:rPr>
                      <w:rFonts w:hint="eastAsia"/>
                      <w:bCs/>
                      <w:color w:val="auto"/>
                      <w:szCs w:val="21"/>
                      <w:highlight w:val="none"/>
                    </w:rPr>
                    <w:t>仅降低NO</w:t>
                  </w:r>
                  <w:r>
                    <w:rPr>
                      <w:rFonts w:hint="eastAsia"/>
                      <w:bCs/>
                      <w:color w:val="auto"/>
                      <w:szCs w:val="21"/>
                      <w:highlight w:val="none"/>
                      <w:vertAlign w:val="subscript"/>
                    </w:rPr>
                    <w:t>X</w:t>
                  </w:r>
                  <w:r>
                    <w:rPr>
                      <w:rFonts w:hint="eastAsia"/>
                      <w:bCs/>
                      <w:color w:val="auto"/>
                      <w:szCs w:val="21"/>
                      <w:highlight w:val="none"/>
                    </w:rPr>
                    <w:t>产生量（削减量30%），无实际处理效率</w:t>
                  </w:r>
                </w:p>
              </w:tc>
              <w:tc>
                <w:tcPr>
                  <w:tcW w:w="720" w:type="pct"/>
                  <w:tcBorders>
                    <w:tl2br w:val="nil"/>
                    <w:tr2bl w:val="nil"/>
                  </w:tcBorders>
                  <w:vAlign w:val="center"/>
                </w:tcPr>
                <w:p w14:paraId="70FD7619">
                  <w:pPr>
                    <w:widowControl/>
                    <w:tabs>
                      <w:tab w:val="left" w:pos="2940"/>
                    </w:tabs>
                    <w:snapToGrid w:val="0"/>
                    <w:jc w:val="center"/>
                    <w:rPr>
                      <w:bCs/>
                      <w:color w:val="auto"/>
                      <w:szCs w:val="21"/>
                      <w:highlight w:val="none"/>
                    </w:rPr>
                  </w:pPr>
                  <w:r>
                    <w:rPr>
                      <w:rFonts w:hint="eastAsia"/>
                      <w:bCs/>
                      <w:color w:val="auto"/>
                      <w:szCs w:val="21"/>
                      <w:highlight w:val="none"/>
                    </w:rPr>
                    <w:t>0.357</w:t>
                  </w:r>
                </w:p>
              </w:tc>
              <w:tc>
                <w:tcPr>
                  <w:tcW w:w="747" w:type="pct"/>
                  <w:tcBorders>
                    <w:tl2br w:val="nil"/>
                    <w:tr2bl w:val="nil"/>
                  </w:tcBorders>
                  <w:vAlign w:val="center"/>
                </w:tcPr>
                <w:p w14:paraId="46A88263">
                  <w:pPr>
                    <w:widowControl/>
                    <w:tabs>
                      <w:tab w:val="left" w:pos="2940"/>
                    </w:tabs>
                    <w:snapToGrid w:val="0"/>
                    <w:jc w:val="center"/>
                    <w:rPr>
                      <w:bCs/>
                      <w:color w:val="auto"/>
                      <w:szCs w:val="21"/>
                      <w:highlight w:val="none"/>
                      <w:lang w:bidi="ar"/>
                    </w:rPr>
                  </w:pPr>
                  <w:r>
                    <w:rPr>
                      <w:rFonts w:hint="eastAsia"/>
                      <w:bCs/>
                      <w:color w:val="auto"/>
                      <w:szCs w:val="21"/>
                      <w:highlight w:val="none"/>
                      <w:lang w:bidi="ar"/>
                    </w:rPr>
                    <w:t>114.42</w:t>
                  </w:r>
                </w:p>
              </w:tc>
            </w:tr>
          </w:tbl>
          <w:p w14:paraId="6E0F7171">
            <w:pPr>
              <w:spacing w:line="360" w:lineRule="auto"/>
              <w:ind w:firstLine="482" w:firstLineChars="200"/>
              <w:rPr>
                <w:color w:val="auto"/>
                <w:sz w:val="24"/>
                <w:highlight w:val="none"/>
              </w:rPr>
            </w:pPr>
            <w:r>
              <w:rPr>
                <w:rFonts w:hint="eastAsia"/>
                <w:b/>
                <w:bCs/>
                <w:color w:val="auto"/>
                <w:sz w:val="24"/>
                <w:highlight w:val="none"/>
              </w:rPr>
              <w:t>达标性分析：</w:t>
            </w:r>
            <w:r>
              <w:rPr>
                <w:rFonts w:hint="eastAsia"/>
                <w:color w:val="auto"/>
                <w:sz w:val="24"/>
                <w:highlight w:val="none"/>
              </w:rPr>
              <w:t>通过表4-2分析可知，生物质锅炉燃烧废气中各污染物排放浓度均能够满足《锅炉大气污染物排放标准》（DB61/1226-2018）表5中排放浓度限值（颗粒物20mg/m</w:t>
            </w:r>
            <w:r>
              <w:rPr>
                <w:rFonts w:hint="eastAsia"/>
                <w:color w:val="auto"/>
                <w:sz w:val="24"/>
                <w:highlight w:val="none"/>
                <w:vertAlign w:val="superscript"/>
              </w:rPr>
              <w:t>3</w:t>
            </w:r>
            <w:r>
              <w:rPr>
                <w:rFonts w:hint="eastAsia"/>
                <w:color w:val="auto"/>
                <w:sz w:val="24"/>
                <w:highlight w:val="none"/>
              </w:rPr>
              <w:t>、二氧化硫35mg/m</w:t>
            </w:r>
            <w:r>
              <w:rPr>
                <w:rFonts w:hint="eastAsia"/>
                <w:color w:val="auto"/>
                <w:sz w:val="24"/>
                <w:highlight w:val="none"/>
                <w:vertAlign w:val="superscript"/>
              </w:rPr>
              <w:t>3</w:t>
            </w:r>
            <w:r>
              <w:rPr>
                <w:rFonts w:hint="eastAsia"/>
                <w:color w:val="auto"/>
                <w:sz w:val="24"/>
                <w:highlight w:val="none"/>
              </w:rPr>
              <w:t>、氮氧化物150mg/m</w:t>
            </w:r>
            <w:r>
              <w:rPr>
                <w:rFonts w:hint="eastAsia"/>
                <w:color w:val="auto"/>
                <w:sz w:val="24"/>
                <w:highlight w:val="none"/>
                <w:vertAlign w:val="superscript"/>
              </w:rPr>
              <w:t>3</w:t>
            </w:r>
            <w:r>
              <w:rPr>
                <w:rFonts w:hint="eastAsia"/>
                <w:color w:val="auto"/>
                <w:sz w:val="24"/>
                <w:highlight w:val="none"/>
              </w:rPr>
              <w:t>），可做到达标排放。</w:t>
            </w:r>
          </w:p>
          <w:p w14:paraId="617FDD3B">
            <w:pPr>
              <w:spacing w:line="360" w:lineRule="auto"/>
              <w:ind w:firstLine="482" w:firstLineChars="200"/>
              <w:rPr>
                <w:b/>
                <w:bCs/>
                <w:color w:val="auto"/>
                <w:sz w:val="24"/>
                <w:highlight w:val="none"/>
              </w:rPr>
            </w:pPr>
            <w:r>
              <w:rPr>
                <w:rFonts w:hint="eastAsia"/>
                <w:b/>
                <w:bCs/>
                <w:color w:val="auto"/>
                <w:sz w:val="24"/>
                <w:highlight w:val="none"/>
              </w:rPr>
              <w:t>可行性分析：</w:t>
            </w:r>
          </w:p>
          <w:p w14:paraId="015710E8">
            <w:pPr>
              <w:spacing w:line="360" w:lineRule="auto"/>
              <w:ind w:firstLine="480" w:firstLineChars="200"/>
              <w:rPr>
                <w:color w:val="auto"/>
                <w:sz w:val="24"/>
                <w:highlight w:val="none"/>
              </w:rPr>
            </w:pPr>
            <w:r>
              <w:rPr>
                <w:rFonts w:hint="eastAsia" w:ascii="宋体" w:hAnsi="宋体" w:cs="宋体"/>
                <w:color w:val="auto"/>
                <w:sz w:val="24"/>
                <w:highlight w:val="none"/>
              </w:rPr>
              <w:t>①</w:t>
            </w:r>
            <w:r>
              <w:rPr>
                <w:rFonts w:hint="eastAsia"/>
                <w:color w:val="auto"/>
                <w:sz w:val="24"/>
                <w:highlight w:val="none"/>
              </w:rPr>
              <w:t>措施可行性分析：根据《排污许可证申请与核发技术规范 锅炉》（HJ953-2018）表7可知，本项目生物质锅炉采取的“低氮燃烧+</w:t>
            </w:r>
            <w:r>
              <w:rPr>
                <w:rFonts w:hint="eastAsia"/>
                <w:color w:val="auto"/>
                <w:sz w:val="24"/>
                <w:highlight w:val="none"/>
                <w:lang w:eastAsia="zh-CN"/>
              </w:rPr>
              <w:t>袋式</w:t>
            </w:r>
            <w:r>
              <w:rPr>
                <w:rFonts w:hint="eastAsia"/>
                <w:color w:val="auto"/>
                <w:sz w:val="24"/>
                <w:highlight w:val="none"/>
              </w:rPr>
              <w:t>除尘”措施为可行技术。</w:t>
            </w:r>
          </w:p>
          <w:p w14:paraId="04303A0D">
            <w:pPr>
              <w:spacing w:line="360" w:lineRule="auto"/>
              <w:ind w:firstLine="480" w:firstLineChars="200"/>
              <w:rPr>
                <w:color w:val="auto"/>
                <w:sz w:val="24"/>
                <w:highlight w:val="none"/>
              </w:rPr>
            </w:pPr>
            <w:r>
              <w:rPr>
                <w:rFonts w:hint="eastAsia" w:ascii="宋体" w:hAnsi="宋体" w:cs="宋体"/>
                <w:color w:val="auto"/>
                <w:sz w:val="24"/>
                <w:highlight w:val="none"/>
              </w:rPr>
              <w:t>②</w:t>
            </w:r>
            <w:r>
              <w:rPr>
                <w:rFonts w:hint="eastAsia"/>
                <w:color w:val="auto"/>
                <w:sz w:val="24"/>
                <w:highlight w:val="none"/>
              </w:rPr>
              <w:t>排气筒高度可行性分析：根据</w:t>
            </w:r>
            <w:bookmarkStart w:id="7" w:name="OLE_LINK5"/>
            <w:r>
              <w:rPr>
                <w:rFonts w:hint="eastAsia"/>
                <w:color w:val="auto"/>
                <w:sz w:val="24"/>
                <w:highlight w:val="none"/>
              </w:rPr>
              <w:t>《锅炉大气污染物排放标准》（GB13271-2014）</w:t>
            </w:r>
            <w:bookmarkEnd w:id="7"/>
            <w:r>
              <w:rPr>
                <w:rFonts w:hint="eastAsia"/>
                <w:color w:val="auto"/>
                <w:sz w:val="24"/>
                <w:highlight w:val="none"/>
              </w:rPr>
              <w:t>中相关要求可知：每个新建燃煤锅炉房只能设一根烟囱，烟囱高度应根据锅炉房装机总容量，按标准中表4规定执行，燃油、燃气锅炉烟囱不低于8m，锅炉烟囱的具体高度按批复的环境影响评价文件确定。新建锅炉房的烟囱周围半径200m距离内有建筑物时，其烟囱应高出最高建筑物3m以上。标准中表4指出</w:t>
            </w:r>
            <w:r>
              <w:rPr>
                <w:rFonts w:hint="eastAsia"/>
                <w:color w:val="auto"/>
                <w:sz w:val="24"/>
                <w:highlight w:val="none"/>
                <w:lang w:eastAsia="zh-CN"/>
              </w:rPr>
              <w:t>装机总容量</w:t>
            </w:r>
            <w:r>
              <w:rPr>
                <w:rFonts w:hint="eastAsia"/>
                <w:color w:val="auto"/>
                <w:sz w:val="24"/>
                <w:highlight w:val="none"/>
                <w:lang w:val="en-US" w:eastAsia="zh-CN"/>
              </w:rPr>
              <w:t>10</w:t>
            </w:r>
            <w:r>
              <w:rPr>
                <w:rFonts w:hint="eastAsia"/>
                <w:color w:val="auto"/>
                <w:sz w:val="24"/>
                <w:highlight w:val="none"/>
              </w:rPr>
              <w:t>~</w:t>
            </w:r>
            <w:r>
              <w:rPr>
                <w:color w:val="auto"/>
                <w:sz w:val="24"/>
                <w:highlight w:val="none"/>
              </w:rPr>
              <w:t>&lt;</w:t>
            </w:r>
            <w:r>
              <w:rPr>
                <w:rFonts w:hint="eastAsia"/>
                <w:color w:val="auto"/>
                <w:sz w:val="24"/>
                <w:highlight w:val="none"/>
                <w:lang w:val="en-US" w:eastAsia="zh-CN"/>
              </w:rPr>
              <w:t>2</w:t>
            </w:r>
            <w:r>
              <w:rPr>
                <w:rFonts w:hint="eastAsia"/>
                <w:color w:val="auto"/>
                <w:sz w:val="24"/>
                <w:highlight w:val="none"/>
              </w:rPr>
              <w:t>0t/h锅炉烟囱最低高度</w:t>
            </w:r>
            <w:r>
              <w:rPr>
                <w:rFonts w:hint="eastAsia"/>
                <w:color w:val="auto"/>
                <w:sz w:val="24"/>
                <w:highlight w:val="none"/>
                <w:lang w:val="en-US" w:eastAsia="zh-CN"/>
              </w:rPr>
              <w:t>40</w:t>
            </w:r>
            <w:r>
              <w:rPr>
                <w:rFonts w:hint="eastAsia"/>
                <w:color w:val="auto"/>
                <w:sz w:val="24"/>
                <w:highlight w:val="none"/>
              </w:rPr>
              <w:t>m。</w:t>
            </w:r>
          </w:p>
          <w:p w14:paraId="492FA6D1">
            <w:pPr>
              <w:spacing w:line="360" w:lineRule="auto"/>
              <w:ind w:firstLine="480" w:firstLineChars="200"/>
              <w:rPr>
                <w:color w:val="auto"/>
                <w:sz w:val="24"/>
                <w:highlight w:val="none"/>
              </w:rPr>
            </w:pPr>
            <w:r>
              <w:rPr>
                <w:rFonts w:hint="eastAsia"/>
                <w:color w:val="auto"/>
                <w:sz w:val="24"/>
                <w:highlight w:val="none"/>
              </w:rPr>
              <w:t>本项目生物质锅炉布置两台，规格分别为4t/h和6t/h</w:t>
            </w:r>
            <w:r>
              <w:rPr>
                <w:rFonts w:hint="eastAsia"/>
                <w:color w:val="auto"/>
                <w:sz w:val="24"/>
                <w:highlight w:val="none"/>
                <w:lang w:eastAsia="zh-CN"/>
              </w:rPr>
              <w:t>，总装机容量为</w:t>
            </w:r>
            <w:r>
              <w:rPr>
                <w:rFonts w:hint="eastAsia"/>
                <w:color w:val="auto"/>
                <w:sz w:val="24"/>
                <w:highlight w:val="none"/>
                <w:lang w:val="en-US" w:eastAsia="zh-CN"/>
              </w:rPr>
              <w:t>10</w:t>
            </w:r>
            <w:r>
              <w:rPr>
                <w:rFonts w:hint="eastAsia"/>
                <w:color w:val="auto"/>
                <w:sz w:val="24"/>
                <w:highlight w:val="none"/>
              </w:rPr>
              <w:t>t/h；此外，经现场调查，排气筒周边200m范围内最高建筑为生产厂房（高度约10m）。</w:t>
            </w:r>
            <w:r>
              <w:rPr>
                <w:rFonts w:hint="eastAsia"/>
                <w:color w:val="auto"/>
                <w:sz w:val="24"/>
                <w:highlight w:val="none"/>
                <w:lang w:eastAsia="zh-CN"/>
              </w:rPr>
              <w:t>由于无生物质锅炉房烟囱数量和高度要求，故本次参照燃煤锅炉执行；</w:t>
            </w:r>
            <w:r>
              <w:rPr>
                <w:rFonts w:hint="eastAsia"/>
                <w:color w:val="auto"/>
                <w:sz w:val="24"/>
                <w:highlight w:val="none"/>
              </w:rPr>
              <w:t>按照标准要求，本项目生物质锅炉</w:t>
            </w:r>
            <w:r>
              <w:rPr>
                <w:rFonts w:hint="eastAsia"/>
                <w:color w:val="auto"/>
                <w:sz w:val="24"/>
                <w:highlight w:val="none"/>
                <w:lang w:eastAsia="zh-CN"/>
              </w:rPr>
              <w:t>房拟</w:t>
            </w:r>
            <w:r>
              <w:rPr>
                <w:rFonts w:hint="eastAsia"/>
                <w:color w:val="auto"/>
                <w:sz w:val="24"/>
                <w:highlight w:val="none"/>
              </w:rPr>
              <w:t>布设一个总排气筒，高度设置为</w:t>
            </w:r>
            <w:r>
              <w:rPr>
                <w:rFonts w:hint="eastAsia"/>
                <w:color w:val="auto"/>
                <w:sz w:val="24"/>
                <w:highlight w:val="none"/>
                <w:lang w:val="en-US" w:eastAsia="zh-CN"/>
              </w:rPr>
              <w:t>40</w:t>
            </w:r>
            <w:r>
              <w:rPr>
                <w:rFonts w:hint="eastAsia"/>
                <w:color w:val="auto"/>
                <w:sz w:val="24"/>
                <w:highlight w:val="none"/>
              </w:rPr>
              <w:t>m合理。</w:t>
            </w:r>
          </w:p>
          <w:p w14:paraId="441F77B3">
            <w:pPr>
              <w:spacing w:line="360" w:lineRule="auto"/>
              <w:ind w:left="420" w:leftChars="200"/>
              <w:rPr>
                <w:color w:val="auto"/>
                <w:sz w:val="24"/>
                <w:highlight w:val="none"/>
              </w:rPr>
            </w:pPr>
            <w:r>
              <w:rPr>
                <w:color w:val="auto"/>
                <w:sz w:val="24"/>
                <w:highlight w:val="none"/>
              </w:rPr>
              <w:t>（2）</w:t>
            </w:r>
            <w:r>
              <w:rPr>
                <w:rFonts w:hint="eastAsia"/>
                <w:bCs/>
                <w:color w:val="auto"/>
                <w:sz w:val="24"/>
                <w:highlight w:val="none"/>
              </w:rPr>
              <w:t>油炸脱水过程产生的</w:t>
            </w:r>
            <w:r>
              <w:rPr>
                <w:color w:val="auto"/>
                <w:kern w:val="0"/>
                <w:sz w:val="24"/>
                <w:highlight w:val="none"/>
              </w:rPr>
              <w:t>油烟</w:t>
            </w:r>
          </w:p>
          <w:p w14:paraId="063FEB77">
            <w:pPr>
              <w:snapToGrid w:val="0"/>
              <w:spacing w:line="360" w:lineRule="auto"/>
              <w:ind w:firstLine="482" w:firstLineChars="200"/>
              <w:rPr>
                <w:color w:val="auto"/>
                <w:sz w:val="24"/>
                <w:highlight w:val="none"/>
              </w:rPr>
            </w:pPr>
            <w:r>
              <w:rPr>
                <w:rFonts w:hint="eastAsia"/>
                <w:b/>
                <w:bCs/>
                <w:color w:val="auto"/>
                <w:sz w:val="24"/>
                <w:highlight w:val="none"/>
              </w:rPr>
              <w:t>源强核算：</w:t>
            </w:r>
            <w:r>
              <w:rPr>
                <w:color w:val="auto"/>
                <w:sz w:val="24"/>
                <w:highlight w:val="none"/>
              </w:rPr>
              <w:t>本项目</w:t>
            </w:r>
            <w:r>
              <w:rPr>
                <w:rFonts w:hint="eastAsia"/>
                <w:color w:val="auto"/>
                <w:sz w:val="24"/>
                <w:highlight w:val="none"/>
              </w:rPr>
              <w:t>果蔬干生产过程中需要油炸脱水，该过程会产生油烟废气。</w:t>
            </w:r>
            <w:r>
              <w:rPr>
                <w:color w:val="auto"/>
                <w:sz w:val="24"/>
                <w:highlight w:val="none"/>
              </w:rPr>
              <w:t>根据企业提供资料，</w:t>
            </w:r>
            <w:r>
              <w:rPr>
                <w:rFonts w:hint="eastAsia"/>
                <w:color w:val="auto"/>
                <w:sz w:val="24"/>
                <w:highlight w:val="none"/>
              </w:rPr>
              <w:t>油炸</w:t>
            </w:r>
            <w:r>
              <w:rPr>
                <w:color w:val="auto"/>
                <w:sz w:val="24"/>
                <w:highlight w:val="none"/>
              </w:rPr>
              <w:t>过程中使用</w:t>
            </w:r>
            <w:r>
              <w:rPr>
                <w:rFonts w:hint="eastAsia"/>
                <w:color w:val="auto"/>
                <w:sz w:val="24"/>
                <w:highlight w:val="none"/>
              </w:rPr>
              <w:t>的</w:t>
            </w:r>
            <w:r>
              <w:rPr>
                <w:color w:val="auto"/>
                <w:sz w:val="24"/>
                <w:highlight w:val="none"/>
              </w:rPr>
              <w:t>食用油</w:t>
            </w:r>
            <w:r>
              <w:rPr>
                <w:rFonts w:hint="eastAsia"/>
                <w:color w:val="auto"/>
                <w:sz w:val="24"/>
                <w:highlight w:val="none"/>
              </w:rPr>
              <w:t>总</w:t>
            </w:r>
            <w:r>
              <w:rPr>
                <w:color w:val="auto"/>
                <w:sz w:val="24"/>
                <w:highlight w:val="none"/>
              </w:rPr>
              <w:t>量为</w:t>
            </w:r>
            <w:r>
              <w:rPr>
                <w:rFonts w:hint="eastAsia"/>
                <w:color w:val="auto"/>
                <w:sz w:val="24"/>
                <w:highlight w:val="none"/>
              </w:rPr>
              <w:t>5</w:t>
            </w:r>
            <w:r>
              <w:rPr>
                <w:color w:val="auto"/>
                <w:sz w:val="24"/>
                <w:highlight w:val="none"/>
              </w:rPr>
              <w:t>t/a，</w:t>
            </w:r>
            <w:r>
              <w:rPr>
                <w:rFonts w:hint="eastAsia"/>
                <w:color w:val="auto"/>
                <w:sz w:val="24"/>
                <w:highlight w:val="none"/>
              </w:rPr>
              <w:t>油炸</w:t>
            </w:r>
            <w:r>
              <w:rPr>
                <w:color w:val="auto"/>
                <w:sz w:val="24"/>
                <w:highlight w:val="none"/>
              </w:rPr>
              <w:t>时间</w:t>
            </w:r>
            <w:r>
              <w:rPr>
                <w:rFonts w:hint="eastAsia"/>
                <w:color w:val="auto"/>
                <w:sz w:val="24"/>
                <w:highlight w:val="none"/>
              </w:rPr>
              <w:t>约4</w:t>
            </w:r>
            <w:r>
              <w:rPr>
                <w:color w:val="auto"/>
                <w:sz w:val="24"/>
                <w:highlight w:val="none"/>
              </w:rPr>
              <w:t>h/d</w:t>
            </w:r>
            <w:r>
              <w:rPr>
                <w:rFonts w:hint="eastAsia"/>
                <w:color w:val="auto"/>
                <w:sz w:val="24"/>
                <w:highlight w:val="none"/>
              </w:rPr>
              <w:t>，</w:t>
            </w:r>
            <w:r>
              <w:rPr>
                <w:color w:val="auto"/>
                <w:sz w:val="24"/>
                <w:highlight w:val="none"/>
              </w:rPr>
              <w:t>油的挥发量按3%计</w:t>
            </w:r>
            <w:r>
              <w:rPr>
                <w:rFonts w:hint="eastAsia"/>
                <w:color w:val="auto"/>
                <w:sz w:val="24"/>
                <w:highlight w:val="none"/>
              </w:rPr>
              <w:t>，则油炸过程油烟废气产生量为0.5kg/d（0.15t/a）。</w:t>
            </w:r>
          </w:p>
          <w:p w14:paraId="381C59F6">
            <w:pPr>
              <w:snapToGrid w:val="0"/>
              <w:spacing w:line="360" w:lineRule="auto"/>
              <w:ind w:firstLine="482" w:firstLineChars="200"/>
              <w:rPr>
                <w:rFonts w:hint="eastAsia"/>
                <w:color w:val="auto"/>
                <w:sz w:val="24"/>
                <w:highlight w:val="none"/>
                <w:lang w:eastAsia="zh-CN"/>
              </w:rPr>
            </w:pPr>
            <w:r>
              <w:rPr>
                <w:rFonts w:hint="eastAsia"/>
                <w:b/>
                <w:bCs/>
                <w:color w:val="auto"/>
                <w:sz w:val="24"/>
                <w:highlight w:val="none"/>
              </w:rPr>
              <w:t>治理措施：</w:t>
            </w:r>
            <w:r>
              <w:rPr>
                <w:rFonts w:hint="eastAsia"/>
                <w:color w:val="auto"/>
                <w:sz w:val="24"/>
                <w:highlight w:val="none"/>
              </w:rPr>
              <w:t>企业拟在低温油炸区</w:t>
            </w:r>
            <w:r>
              <w:rPr>
                <w:rFonts w:hint="eastAsia"/>
                <w:color w:val="auto"/>
                <w:sz w:val="24"/>
                <w:highlight w:val="none"/>
                <w:lang w:eastAsia="zh-CN"/>
              </w:rPr>
              <w:t>设置灶头一个，上方配备有一套油烟处理设施（排气罩</w:t>
            </w:r>
            <w:r>
              <w:rPr>
                <w:rFonts w:hint="eastAsia"/>
                <w:color w:val="auto"/>
                <w:sz w:val="24"/>
                <w:highlight w:val="none"/>
                <w:lang w:val="en-US" w:eastAsia="zh-CN"/>
              </w:rPr>
              <w:t>+风机+静电油烟净化器</w:t>
            </w:r>
            <w:r>
              <w:rPr>
                <w:rFonts w:hint="eastAsia"/>
                <w:color w:val="auto"/>
                <w:sz w:val="24"/>
                <w:highlight w:val="none"/>
                <w:lang w:eastAsia="zh-CN"/>
              </w:rPr>
              <w:t>），排气罩投影面积约为</w:t>
            </w:r>
            <w:r>
              <w:rPr>
                <w:rFonts w:hint="eastAsia"/>
                <w:color w:val="auto"/>
                <w:sz w:val="24"/>
                <w:highlight w:val="none"/>
                <w:lang w:val="en-US" w:eastAsia="zh-CN"/>
              </w:rPr>
              <w:t>2m</w:t>
            </w:r>
            <w:r>
              <w:rPr>
                <w:rFonts w:hint="eastAsia"/>
                <w:color w:val="auto"/>
                <w:sz w:val="24"/>
                <w:highlight w:val="none"/>
                <w:vertAlign w:val="superscript"/>
                <w:lang w:val="en-US" w:eastAsia="zh-CN"/>
              </w:rPr>
              <w:t>2</w:t>
            </w:r>
            <w:r>
              <w:rPr>
                <w:rFonts w:hint="eastAsia"/>
                <w:color w:val="auto"/>
                <w:sz w:val="24"/>
                <w:highlight w:val="none"/>
                <w:vertAlign w:val="baseline"/>
                <w:lang w:val="en-US" w:eastAsia="zh-CN"/>
              </w:rPr>
              <w:t>，</w:t>
            </w:r>
            <w:r>
              <w:rPr>
                <w:rFonts w:hint="eastAsia"/>
                <w:color w:val="auto"/>
                <w:sz w:val="24"/>
                <w:highlight w:val="none"/>
                <w:lang w:eastAsia="zh-CN"/>
              </w:rPr>
              <w:t>配套风机</w:t>
            </w:r>
            <w:r>
              <w:rPr>
                <w:rFonts w:hint="eastAsia"/>
                <w:color w:val="auto"/>
                <w:sz w:val="24"/>
                <w:highlight w:val="none"/>
              </w:rPr>
              <w:t>风量为</w:t>
            </w:r>
            <w:r>
              <w:rPr>
                <w:rFonts w:hint="eastAsia"/>
                <w:color w:val="auto"/>
                <w:sz w:val="24"/>
                <w:highlight w:val="none"/>
                <w:lang w:val="en-US" w:eastAsia="zh-CN"/>
              </w:rPr>
              <w:t>10000</w:t>
            </w:r>
            <w:r>
              <w:rPr>
                <w:color w:val="auto"/>
                <w:sz w:val="24"/>
                <w:highlight w:val="none"/>
              </w:rPr>
              <w:t>m</w:t>
            </w:r>
            <w:r>
              <w:rPr>
                <w:color w:val="auto"/>
                <w:sz w:val="24"/>
                <w:highlight w:val="none"/>
                <w:vertAlign w:val="superscript"/>
              </w:rPr>
              <w:t>3</w:t>
            </w:r>
            <w:r>
              <w:rPr>
                <w:color w:val="auto"/>
                <w:sz w:val="24"/>
                <w:highlight w:val="none"/>
              </w:rPr>
              <w:t>/h</w:t>
            </w:r>
            <w:r>
              <w:rPr>
                <w:rFonts w:hint="eastAsia"/>
                <w:color w:val="auto"/>
                <w:sz w:val="24"/>
                <w:highlight w:val="none"/>
                <w:lang w:eastAsia="zh-CN"/>
              </w:rPr>
              <w:t>；经与设备方核实，其</w:t>
            </w:r>
            <w:r>
              <w:rPr>
                <w:rFonts w:hint="eastAsia"/>
                <w:color w:val="auto"/>
                <w:sz w:val="24"/>
                <w:highlight w:val="none"/>
              </w:rPr>
              <w:t>净化效率为90%</w:t>
            </w:r>
            <w:r>
              <w:rPr>
                <w:rFonts w:hint="eastAsia"/>
                <w:color w:val="auto"/>
                <w:sz w:val="24"/>
                <w:highlight w:val="none"/>
                <w:lang w:val="en-US" w:eastAsia="zh-CN"/>
              </w:rPr>
              <w:t>~95%</w:t>
            </w:r>
            <w:r>
              <w:rPr>
                <w:rFonts w:hint="eastAsia"/>
                <w:color w:val="auto"/>
                <w:sz w:val="24"/>
                <w:highlight w:val="none"/>
              </w:rPr>
              <w:t>，</w:t>
            </w:r>
            <w:r>
              <w:rPr>
                <w:rFonts w:hint="eastAsia"/>
                <w:color w:val="auto"/>
                <w:sz w:val="24"/>
                <w:highlight w:val="none"/>
                <w:lang w:eastAsia="zh-CN"/>
              </w:rPr>
              <w:t>本次按</w:t>
            </w:r>
            <w:r>
              <w:rPr>
                <w:rFonts w:hint="eastAsia"/>
                <w:color w:val="auto"/>
                <w:sz w:val="24"/>
                <w:highlight w:val="none"/>
                <w:lang w:val="en-US" w:eastAsia="zh-CN"/>
              </w:rPr>
              <w:t>90%计。</w:t>
            </w:r>
            <w:r>
              <w:rPr>
                <w:rFonts w:hint="eastAsia"/>
                <w:color w:val="auto"/>
                <w:sz w:val="24"/>
                <w:highlight w:val="none"/>
                <w:lang w:eastAsia="zh-CN"/>
              </w:rPr>
              <w:t>油炸脱水过程产生的</w:t>
            </w:r>
            <w:r>
              <w:rPr>
                <w:rFonts w:hint="eastAsia"/>
                <w:color w:val="auto"/>
                <w:sz w:val="24"/>
                <w:highlight w:val="none"/>
              </w:rPr>
              <w:t>油烟</w:t>
            </w:r>
            <w:r>
              <w:rPr>
                <w:rFonts w:hint="eastAsia"/>
                <w:color w:val="auto"/>
                <w:sz w:val="24"/>
                <w:highlight w:val="none"/>
                <w:lang w:eastAsia="zh-CN"/>
              </w:rPr>
              <w:t>经油烟净化器处理后</w:t>
            </w:r>
            <w:r>
              <w:rPr>
                <w:rFonts w:hint="eastAsia"/>
                <w:color w:val="auto"/>
                <w:sz w:val="24"/>
                <w:highlight w:val="none"/>
              </w:rPr>
              <w:t>通过专用管道</w:t>
            </w:r>
            <w:r>
              <w:rPr>
                <w:color w:val="auto"/>
                <w:sz w:val="24"/>
                <w:highlight w:val="none"/>
              </w:rPr>
              <w:t>引至</w:t>
            </w:r>
            <w:r>
              <w:rPr>
                <w:rFonts w:hint="eastAsia"/>
                <w:color w:val="auto"/>
                <w:sz w:val="24"/>
                <w:highlight w:val="none"/>
              </w:rPr>
              <w:t>厂房</w:t>
            </w:r>
            <w:r>
              <w:rPr>
                <w:color w:val="auto"/>
                <w:sz w:val="24"/>
                <w:highlight w:val="none"/>
              </w:rPr>
              <w:t>顶</w:t>
            </w:r>
            <w:r>
              <w:rPr>
                <w:rFonts w:hint="eastAsia"/>
                <w:color w:val="auto"/>
                <w:sz w:val="24"/>
                <w:highlight w:val="none"/>
              </w:rPr>
              <w:t>部</w:t>
            </w:r>
            <w:r>
              <w:rPr>
                <w:color w:val="auto"/>
                <w:sz w:val="24"/>
                <w:highlight w:val="none"/>
              </w:rPr>
              <w:t>排放</w:t>
            </w:r>
            <w:r>
              <w:rPr>
                <w:rFonts w:hint="eastAsia"/>
                <w:color w:val="auto"/>
                <w:sz w:val="24"/>
                <w:highlight w:val="none"/>
              </w:rPr>
              <w:t>。</w:t>
            </w:r>
            <w:r>
              <w:rPr>
                <w:rFonts w:hint="eastAsia"/>
                <w:color w:val="auto"/>
                <w:sz w:val="24"/>
                <w:highlight w:val="none"/>
                <w:lang w:eastAsia="zh-CN"/>
              </w:rPr>
              <w:t>参照《饮食业环境保护技术规范》（HJ544-2010）及餐饮行业中相关要求，加工区集气罩、油烟净化装置、风机及烟囱等设置具体如下：</w:t>
            </w:r>
          </w:p>
          <w:p w14:paraId="01F9AD21">
            <w:pPr>
              <w:pStyle w:val="47"/>
              <w:rPr>
                <w:rFonts w:hint="eastAsia" w:ascii="Times New Roman" w:hAnsi="Times New Roman" w:cs="Times New Roman"/>
                <w:color w:val="auto"/>
                <w:highlight w:val="none"/>
                <w:lang w:eastAsia="zh-CN"/>
              </w:rPr>
            </w:pPr>
            <w:r>
              <w:rPr>
                <w:rFonts w:hint="default" w:ascii="Times New Roman" w:hAnsi="Times New Roman" w:cs="Times New Roman"/>
                <w:color w:val="auto"/>
                <w:highlight w:val="none"/>
                <w:lang w:eastAsia="zh-CN"/>
              </w:rPr>
              <w:t>①油烟集气罩罩口投影面应大于灶台面，罩口下沿离地高度宜取1.8~1.9m，罩口面风速不应小于0.6m/s</w:t>
            </w:r>
            <w:r>
              <w:rPr>
                <w:rFonts w:hint="eastAsia" w:ascii="Times New Roman" w:hAnsi="Times New Roman" w:cs="Times New Roman"/>
                <w:color w:val="auto"/>
                <w:highlight w:val="none"/>
                <w:lang w:eastAsia="zh-CN"/>
              </w:rPr>
              <w:t>；</w:t>
            </w:r>
          </w:p>
          <w:p w14:paraId="54391F61">
            <w:pPr>
              <w:pStyle w:val="47"/>
              <w:rPr>
                <w:rFonts w:hint="eastAsia" w:ascii="Times New Roman" w:hAnsi="Times New Roman" w:eastAsia="宋体" w:cs="Times New Roman"/>
                <w:color w:val="auto"/>
                <w:highlight w:val="none"/>
                <w:lang w:eastAsia="zh-CN"/>
              </w:rPr>
            </w:pPr>
            <w:r>
              <w:rPr>
                <w:rFonts w:hint="default" w:ascii="Times New Roman" w:hAnsi="Times New Roman" w:cs="Times New Roman"/>
                <w:color w:val="auto"/>
                <w:highlight w:val="none"/>
                <w:lang w:eastAsia="zh-CN"/>
              </w:rPr>
              <w:t>②</w:t>
            </w:r>
            <w:r>
              <w:rPr>
                <w:rFonts w:hint="default" w:ascii="Times New Roman" w:hAnsi="Times New Roman" w:eastAsia="宋体" w:cs="Times New Roman"/>
                <w:color w:val="auto"/>
                <w:sz w:val="24"/>
                <w:szCs w:val="24"/>
                <w:highlight w:val="none"/>
              </w:rPr>
              <w:t>油烟气排风水平管道宜设坡度，坡向集油、放油或排凝结水处，且与楼板的间距不应小于0.1m，管道应密封无渗漏</w:t>
            </w:r>
            <w:r>
              <w:rPr>
                <w:rFonts w:hint="eastAsia" w:ascii="Times New Roman" w:hAnsi="Times New Roman" w:eastAsia="宋体" w:cs="Times New Roman"/>
                <w:color w:val="auto"/>
                <w:sz w:val="24"/>
                <w:szCs w:val="24"/>
                <w:highlight w:val="none"/>
                <w:lang w:eastAsia="zh-CN"/>
              </w:rPr>
              <w:t>；</w:t>
            </w:r>
          </w:p>
          <w:p w14:paraId="2B8C4DBA">
            <w:pPr>
              <w:pStyle w:val="47"/>
              <w:rPr>
                <w:rFonts w:hint="default" w:ascii="Times New Roman" w:hAnsi="Times New Roman" w:cs="Times New Roman"/>
                <w:color w:val="auto"/>
                <w:highlight w:val="none"/>
                <w:lang w:eastAsia="zh-CN"/>
              </w:rPr>
            </w:pPr>
            <w:r>
              <w:rPr>
                <w:rFonts w:hint="eastAsia" w:ascii="宋体" w:hAnsi="宋体" w:eastAsia="宋体" w:cs="宋体"/>
                <w:color w:val="auto"/>
                <w:highlight w:val="none"/>
                <w:lang w:eastAsia="zh-CN"/>
              </w:rPr>
              <w:t>③</w:t>
            </w:r>
            <w:r>
              <w:rPr>
                <w:rFonts w:hint="default" w:ascii="Times New Roman" w:hAnsi="Times New Roman" w:cs="Times New Roman"/>
                <w:color w:val="auto"/>
                <w:highlight w:val="none"/>
                <w:lang w:eastAsia="zh-CN"/>
              </w:rPr>
              <w:t>放置油烟净化设备的专用空间净高不宜低于1.5m，设备需要维护的一侧与其相邻的设备、墙壁、柱等间的距离不应小于0.45m</w:t>
            </w:r>
            <w:r>
              <w:rPr>
                <w:rFonts w:hint="eastAsia" w:ascii="Times New Roman" w:hAnsi="Times New Roman" w:cs="Times New Roman"/>
                <w:color w:val="auto"/>
                <w:highlight w:val="none"/>
                <w:lang w:eastAsia="zh-CN"/>
              </w:rPr>
              <w:t>；</w:t>
            </w:r>
          </w:p>
          <w:p w14:paraId="2958D167">
            <w:pPr>
              <w:pStyle w:val="47"/>
              <w:rPr>
                <w:rFonts w:hint="eastAsia" w:ascii="Times New Roman" w:hAnsi="Times New Roman" w:cs="Times New Roman"/>
                <w:color w:val="auto"/>
                <w:highlight w:val="none"/>
                <w:lang w:eastAsia="zh-CN"/>
              </w:rPr>
            </w:pPr>
            <w:r>
              <w:rPr>
                <w:rFonts w:hint="eastAsia" w:ascii="宋体" w:hAnsi="宋体" w:eastAsia="宋体" w:cs="宋体"/>
                <w:color w:val="auto"/>
                <w:highlight w:val="none"/>
                <w:lang w:eastAsia="zh-CN"/>
              </w:rPr>
              <w:t>④</w:t>
            </w:r>
            <w:r>
              <w:rPr>
                <w:rFonts w:hint="default" w:ascii="Times New Roman" w:hAnsi="Times New Roman" w:cs="Times New Roman"/>
                <w:color w:val="auto"/>
                <w:highlight w:val="none"/>
                <w:lang w:eastAsia="zh-CN"/>
              </w:rPr>
              <w:t>油烟净化装置应置于油烟排风机之前</w:t>
            </w:r>
            <w:r>
              <w:rPr>
                <w:rFonts w:hint="eastAsia" w:ascii="Times New Roman" w:hAnsi="Times New Roman" w:cs="Times New Roman"/>
                <w:color w:val="auto"/>
                <w:highlight w:val="none"/>
                <w:lang w:eastAsia="zh-CN"/>
              </w:rPr>
              <w:t>；</w:t>
            </w:r>
          </w:p>
          <w:p w14:paraId="18A7151F">
            <w:pPr>
              <w:pStyle w:val="47"/>
              <w:rPr>
                <w:rFonts w:hint="eastAsia" w:ascii="Times New Roman" w:hAnsi="Times New Roman" w:eastAsia="宋体" w:cs="Times New Roman"/>
                <w:color w:val="auto"/>
                <w:sz w:val="24"/>
                <w:szCs w:val="24"/>
                <w:highlight w:val="none"/>
                <w:lang w:eastAsia="zh-CN"/>
              </w:rPr>
            </w:pPr>
            <w:r>
              <w:rPr>
                <w:rFonts w:hint="eastAsia" w:ascii="宋体" w:hAnsi="宋体" w:eastAsia="宋体" w:cs="宋体"/>
                <w:color w:val="auto"/>
                <w:highlight w:val="none"/>
                <w:lang w:eastAsia="zh-CN"/>
              </w:rPr>
              <w:t>⑤</w:t>
            </w:r>
            <w:r>
              <w:rPr>
                <w:rFonts w:hint="default" w:ascii="Times New Roman" w:hAnsi="Times New Roman" w:cs="Times New Roman"/>
                <w:color w:val="auto"/>
                <w:highlight w:val="none"/>
                <w:lang w:eastAsia="zh-CN"/>
              </w:rPr>
              <w:t>饮食业单位所在建筑物高度小于15m的，油烟排放口应高出屋顶；</w:t>
            </w:r>
            <w:r>
              <w:rPr>
                <w:rFonts w:hint="default" w:ascii="Times New Roman" w:hAnsi="Times New Roman" w:eastAsia="宋体" w:cs="Times New Roman"/>
                <w:color w:val="auto"/>
                <w:sz w:val="24"/>
                <w:szCs w:val="24"/>
                <w:highlight w:val="none"/>
              </w:rPr>
              <w:t>建筑物高度大于15m时，油烟排放口高度应大于15m</w:t>
            </w:r>
            <w:r>
              <w:rPr>
                <w:rFonts w:hint="eastAsia" w:ascii="Times New Roman" w:hAnsi="Times New Roman" w:eastAsia="宋体" w:cs="Times New Roman"/>
                <w:color w:val="auto"/>
                <w:sz w:val="24"/>
                <w:szCs w:val="24"/>
                <w:highlight w:val="none"/>
                <w:lang w:eastAsia="zh-CN"/>
              </w:rPr>
              <w:t>；</w:t>
            </w:r>
          </w:p>
          <w:p w14:paraId="30D9ACF9">
            <w:pPr>
              <w:pStyle w:val="47"/>
              <w:rPr>
                <w:rFonts w:hint="eastAsia" w:ascii="Times New Roman" w:hAnsi="Times New Roman" w:eastAsia="宋体" w:cs="Times New Roman"/>
                <w:color w:val="auto"/>
                <w:sz w:val="24"/>
                <w:szCs w:val="24"/>
                <w:highlight w:val="none"/>
                <w:lang w:eastAsia="zh-CN"/>
              </w:rPr>
            </w:pPr>
            <w:r>
              <w:rPr>
                <w:rFonts w:hint="eastAsia" w:ascii="宋体" w:hAnsi="宋体" w:eastAsia="宋体" w:cs="宋体"/>
                <w:color w:val="auto"/>
                <w:sz w:val="24"/>
                <w:szCs w:val="24"/>
                <w:highlight w:val="none"/>
                <w:lang w:eastAsia="zh-CN"/>
              </w:rPr>
              <w:t>⑥</w:t>
            </w:r>
            <w:r>
              <w:rPr>
                <w:rFonts w:ascii="宋体" w:hAnsi="宋体" w:eastAsia="宋体" w:cs="宋体"/>
                <w:color w:val="auto"/>
                <w:sz w:val="24"/>
                <w:szCs w:val="24"/>
                <w:highlight w:val="none"/>
              </w:rPr>
              <w:t>经油烟净化后的油烟排放口与周边环境敏感目标距离不应小于</w:t>
            </w:r>
            <w:r>
              <w:rPr>
                <w:rFonts w:hint="default" w:ascii="Times New Roman" w:hAnsi="Times New Roman" w:eastAsia="宋体" w:cs="Times New Roman"/>
                <w:color w:val="auto"/>
                <w:sz w:val="24"/>
                <w:szCs w:val="24"/>
                <w:highlight w:val="none"/>
              </w:rPr>
              <w:t>20m</w:t>
            </w:r>
            <w:r>
              <w:rPr>
                <w:rFonts w:hint="eastAsia" w:ascii="Times New Roman" w:hAnsi="Times New Roman" w:eastAsia="宋体" w:cs="Times New Roman"/>
                <w:color w:val="auto"/>
                <w:sz w:val="24"/>
                <w:szCs w:val="24"/>
                <w:highlight w:val="none"/>
                <w:lang w:eastAsia="zh-CN"/>
              </w:rPr>
              <w:t>；</w:t>
            </w:r>
          </w:p>
          <w:p w14:paraId="48C80EE2">
            <w:pPr>
              <w:pStyle w:val="47"/>
              <w:rPr>
                <w:rFonts w:hint="eastAsia"/>
                <w:color w:val="auto"/>
                <w:sz w:val="24"/>
                <w:highlight w:val="none"/>
              </w:rPr>
            </w:pPr>
            <w:r>
              <w:rPr>
                <w:rFonts w:hint="eastAsia" w:ascii="宋体" w:hAnsi="宋体" w:eastAsia="宋体" w:cs="宋体"/>
                <w:color w:val="auto"/>
                <w:sz w:val="24"/>
                <w:szCs w:val="24"/>
                <w:highlight w:val="none"/>
                <w:lang w:eastAsia="zh-CN"/>
              </w:rPr>
              <w:t>⑦集排气系统和净化设施应定期维护保养，并做清洗和更换维护记录，保留台账备查</w:t>
            </w:r>
            <w:r>
              <w:rPr>
                <w:rFonts w:hint="eastAsia" w:ascii="Times New Roman" w:hAnsi="Times New Roman" w:eastAsia="宋体" w:cs="Times New Roman"/>
                <w:color w:val="auto"/>
                <w:sz w:val="24"/>
                <w:szCs w:val="24"/>
                <w:highlight w:val="none"/>
                <w:lang w:eastAsia="zh-CN"/>
              </w:rPr>
              <w:t>。</w:t>
            </w:r>
          </w:p>
          <w:p w14:paraId="6E065AEE">
            <w:pPr>
              <w:snapToGrid w:val="0"/>
              <w:spacing w:line="360" w:lineRule="auto"/>
              <w:ind w:firstLine="482" w:firstLineChars="200"/>
              <w:rPr>
                <w:b/>
                <w:bCs/>
                <w:color w:val="auto"/>
                <w:sz w:val="24"/>
                <w:highlight w:val="none"/>
              </w:rPr>
            </w:pPr>
            <w:r>
              <w:rPr>
                <w:rFonts w:hint="eastAsia"/>
                <w:b/>
                <w:bCs/>
                <w:color w:val="auto"/>
                <w:sz w:val="24"/>
                <w:highlight w:val="none"/>
              </w:rPr>
              <w:t>达标性分析：</w:t>
            </w:r>
            <w:r>
              <w:rPr>
                <w:rFonts w:hint="eastAsia"/>
                <w:color w:val="auto"/>
                <w:sz w:val="24"/>
                <w:highlight w:val="none"/>
              </w:rPr>
              <w:t>综合计算，该区域油烟废气排放量为0.0</w:t>
            </w:r>
            <w:r>
              <w:rPr>
                <w:rFonts w:hint="eastAsia"/>
                <w:color w:val="auto"/>
                <w:sz w:val="24"/>
                <w:highlight w:val="none"/>
                <w:lang w:val="en-US" w:eastAsia="zh-CN"/>
              </w:rPr>
              <w:t>15</w:t>
            </w:r>
            <w:r>
              <w:rPr>
                <w:rFonts w:hint="eastAsia"/>
                <w:color w:val="auto"/>
                <w:sz w:val="24"/>
                <w:highlight w:val="none"/>
              </w:rPr>
              <w:t>t/a、排放浓度为</w:t>
            </w:r>
            <w:r>
              <w:rPr>
                <w:rFonts w:hint="eastAsia"/>
                <w:color w:val="auto"/>
                <w:sz w:val="24"/>
                <w:highlight w:val="none"/>
                <w:lang w:val="en-US" w:eastAsia="zh-CN"/>
              </w:rPr>
              <w:t>1.25</w:t>
            </w:r>
            <w:r>
              <w:rPr>
                <w:rFonts w:hint="eastAsia"/>
                <w:color w:val="auto"/>
                <w:sz w:val="24"/>
                <w:highlight w:val="none"/>
              </w:rPr>
              <w:t>mg</w:t>
            </w:r>
            <w:r>
              <w:rPr>
                <w:color w:val="auto"/>
                <w:sz w:val="24"/>
                <w:highlight w:val="none"/>
              </w:rPr>
              <w:t>/m</w:t>
            </w:r>
            <w:r>
              <w:rPr>
                <w:color w:val="auto"/>
                <w:sz w:val="24"/>
                <w:highlight w:val="none"/>
                <w:vertAlign w:val="superscript"/>
              </w:rPr>
              <w:t>3</w:t>
            </w:r>
            <w:r>
              <w:rPr>
                <w:rFonts w:hint="eastAsia"/>
                <w:color w:val="auto"/>
                <w:sz w:val="24"/>
                <w:highlight w:val="none"/>
                <w:vertAlign w:val="baseline"/>
                <w:lang w:eastAsia="zh-CN"/>
              </w:rPr>
              <w:t>，</w:t>
            </w:r>
            <w:r>
              <w:rPr>
                <w:rFonts w:hint="eastAsia"/>
                <w:color w:val="auto"/>
                <w:sz w:val="24"/>
                <w:highlight w:val="none"/>
              </w:rPr>
              <w:t>满足</w:t>
            </w:r>
            <w:r>
              <w:rPr>
                <w:color w:val="auto"/>
                <w:sz w:val="24"/>
                <w:highlight w:val="none"/>
              </w:rPr>
              <w:t>《饮食业油烟排放标准》（GB18483-2001）表2规定的中最高允许排放浓度要求</w:t>
            </w:r>
            <w:r>
              <w:rPr>
                <w:rFonts w:hint="eastAsia"/>
                <w:color w:val="auto"/>
                <w:sz w:val="24"/>
                <w:highlight w:val="none"/>
              </w:rPr>
              <w:t>（</w:t>
            </w:r>
            <w:r>
              <w:rPr>
                <w:color w:val="auto"/>
                <w:sz w:val="24"/>
                <w:highlight w:val="none"/>
              </w:rPr>
              <w:t>2mg/m</w:t>
            </w:r>
            <w:r>
              <w:rPr>
                <w:color w:val="auto"/>
                <w:sz w:val="24"/>
                <w:highlight w:val="none"/>
                <w:vertAlign w:val="superscript"/>
              </w:rPr>
              <w:t>3</w:t>
            </w:r>
            <w:r>
              <w:rPr>
                <w:rFonts w:hint="eastAsia"/>
                <w:color w:val="auto"/>
                <w:sz w:val="24"/>
                <w:highlight w:val="none"/>
              </w:rPr>
              <w:t>），运营期可做到达标排放。</w:t>
            </w:r>
          </w:p>
          <w:p w14:paraId="767DAABD">
            <w:pPr>
              <w:snapToGrid w:val="0"/>
              <w:spacing w:line="360" w:lineRule="auto"/>
              <w:ind w:firstLine="482" w:firstLineChars="200"/>
              <w:rPr>
                <w:rFonts w:hint="eastAsia"/>
                <w:b/>
                <w:bCs/>
                <w:color w:val="auto"/>
                <w:sz w:val="24"/>
                <w:highlight w:val="none"/>
              </w:rPr>
            </w:pPr>
            <w:r>
              <w:rPr>
                <w:rFonts w:hint="eastAsia"/>
                <w:b/>
                <w:bCs/>
                <w:color w:val="auto"/>
                <w:sz w:val="24"/>
                <w:highlight w:val="none"/>
              </w:rPr>
              <w:t>可行性分析：</w:t>
            </w:r>
          </w:p>
          <w:p w14:paraId="1CB7D11A">
            <w:pPr>
              <w:snapToGrid w:val="0"/>
              <w:spacing w:line="360" w:lineRule="auto"/>
              <w:ind w:firstLine="480" w:firstLineChars="200"/>
              <w:rPr>
                <w:rFonts w:hint="eastAsia"/>
                <w:b w:val="0"/>
                <w:bCs w:val="0"/>
                <w:color w:val="auto"/>
                <w:sz w:val="24"/>
                <w:highlight w:val="none"/>
                <w:lang w:eastAsia="zh-CN"/>
              </w:rPr>
            </w:pPr>
            <w:r>
              <w:rPr>
                <w:rFonts w:hint="eastAsia" w:ascii="宋体" w:hAnsi="宋体" w:eastAsia="宋体" w:cs="宋体"/>
                <w:b w:val="0"/>
                <w:bCs w:val="0"/>
                <w:color w:val="auto"/>
                <w:sz w:val="24"/>
                <w:highlight w:val="none"/>
                <w:lang w:eastAsia="zh-CN"/>
              </w:rPr>
              <w:t>①</w:t>
            </w:r>
            <w:r>
              <w:rPr>
                <w:rFonts w:hint="eastAsia"/>
                <w:b w:val="0"/>
                <w:bCs w:val="0"/>
                <w:color w:val="auto"/>
                <w:sz w:val="24"/>
                <w:highlight w:val="none"/>
                <w:lang w:eastAsia="zh-CN"/>
              </w:rPr>
              <w:t>静电油烟净化器工作原理为：</w:t>
            </w:r>
            <w:r>
              <w:rPr>
                <w:rFonts w:hint="eastAsia"/>
                <w:b w:val="0"/>
                <w:bCs w:val="0"/>
                <w:color w:val="auto"/>
                <w:sz w:val="24"/>
                <w:highlight w:val="none"/>
              </w:rPr>
              <w:t>油烟首先被风机吸入设备内部。较大的油滴和油雾颗粒在均流板上被机械捕捉和阻留，形成油滴和油雾。气流进入高压静电场，在高压电场的作用下，油烟中的油雾颗粒带电荷，向集电极运动并被吸附。大部分油雾在电场中被降解炭化，而微小油粒则被吸附到集电极上，最终转化为二氧化碳和水，从而达到净化效果</w:t>
            </w:r>
            <w:r>
              <w:rPr>
                <w:rFonts w:hint="eastAsia"/>
                <w:b w:val="0"/>
                <w:bCs w:val="0"/>
                <w:color w:val="auto"/>
                <w:sz w:val="24"/>
                <w:highlight w:val="none"/>
                <w:lang w:eastAsia="zh-CN"/>
              </w:rPr>
              <w:t>。</w:t>
            </w:r>
          </w:p>
          <w:p w14:paraId="04DB3CAC">
            <w:pPr>
              <w:pStyle w:val="47"/>
              <w:rPr>
                <w:color w:val="auto"/>
                <w:highlight w:val="none"/>
              </w:rPr>
            </w:pPr>
            <w:r>
              <w:rPr>
                <w:rFonts w:hint="eastAsia" w:ascii="宋体" w:hAnsi="宋体" w:eastAsia="宋体" w:cs="宋体"/>
                <w:color w:val="auto"/>
                <w:highlight w:val="none"/>
                <w:lang w:eastAsia="zh-CN"/>
              </w:rPr>
              <w:t>②根据《排污许可证申请与核发技术规范</w:t>
            </w:r>
            <w:r>
              <w:rPr>
                <w:rFonts w:hint="eastAsia" w:ascii="宋体" w:hAnsi="宋体" w:eastAsia="宋体" w:cs="宋体"/>
                <w:color w:val="auto"/>
                <w:highlight w:val="none"/>
                <w:lang w:val="en-US" w:eastAsia="zh-CN"/>
              </w:rPr>
              <w:t xml:space="preserve"> </w:t>
            </w:r>
            <w:r>
              <w:rPr>
                <w:rFonts w:hint="eastAsia" w:ascii="宋体" w:hAnsi="宋体" w:eastAsia="宋体" w:cs="宋体"/>
                <w:color w:val="auto"/>
                <w:highlight w:val="none"/>
                <w:lang w:eastAsia="zh-CN"/>
              </w:rPr>
              <w:t>食品制造工业—方便食品、食品及饲料添加剂制造工</w:t>
            </w:r>
            <w:r>
              <w:rPr>
                <w:rFonts w:hint="default" w:ascii="Times New Roman" w:hAnsi="Times New Roman" w:eastAsia="宋体" w:cs="Times New Roman"/>
                <w:color w:val="auto"/>
                <w:highlight w:val="none"/>
                <w:lang w:eastAsia="zh-CN"/>
              </w:rPr>
              <w:t>业》（HJ1030.3-2019）</w:t>
            </w:r>
            <w:r>
              <w:rPr>
                <w:rFonts w:hint="eastAsia" w:ascii="Times New Roman" w:hAnsi="Times New Roman" w:eastAsia="宋体" w:cs="Times New Roman"/>
                <w:color w:val="auto"/>
                <w:highlight w:val="none"/>
                <w:lang w:eastAsia="zh-CN"/>
              </w:rPr>
              <w:t>表</w:t>
            </w:r>
            <w:r>
              <w:rPr>
                <w:rFonts w:hint="eastAsia" w:ascii="Times New Roman" w:hAnsi="Times New Roman" w:eastAsia="宋体" w:cs="Times New Roman"/>
                <w:color w:val="auto"/>
                <w:highlight w:val="none"/>
                <w:lang w:val="en-US" w:eastAsia="zh-CN"/>
              </w:rPr>
              <w:t>3-1</w:t>
            </w:r>
            <w:r>
              <w:rPr>
                <w:rFonts w:hint="default" w:ascii="Times New Roman" w:hAnsi="Times New Roman" w:eastAsia="宋体" w:cs="Times New Roman"/>
                <w:color w:val="auto"/>
                <w:highlight w:val="none"/>
                <w:lang w:eastAsia="zh-CN"/>
              </w:rPr>
              <w:t>可知</w:t>
            </w:r>
            <w:r>
              <w:rPr>
                <w:rFonts w:hint="eastAsia" w:ascii="宋体" w:hAnsi="宋体" w:eastAsia="宋体" w:cs="宋体"/>
                <w:color w:val="auto"/>
                <w:highlight w:val="none"/>
                <w:lang w:eastAsia="zh-CN"/>
              </w:rPr>
              <w:t>，油炸及炒制工序产生的油烟采用静电油烟净化器处理属于可行性技术。</w:t>
            </w:r>
          </w:p>
          <w:p w14:paraId="69B34EA6">
            <w:pPr>
              <w:snapToGrid w:val="0"/>
              <w:spacing w:line="360" w:lineRule="auto"/>
              <w:ind w:firstLine="480" w:firstLineChars="200"/>
              <w:rPr>
                <w:color w:val="auto"/>
                <w:sz w:val="24"/>
                <w:highlight w:val="none"/>
              </w:rPr>
            </w:pPr>
            <w:r>
              <w:rPr>
                <w:rFonts w:hint="eastAsia"/>
                <w:color w:val="auto"/>
                <w:sz w:val="24"/>
                <w:highlight w:val="none"/>
              </w:rPr>
              <w:t>（3）食堂油烟</w:t>
            </w:r>
          </w:p>
          <w:p w14:paraId="1EDD310A">
            <w:pPr>
              <w:adjustRightInd w:val="0"/>
              <w:snapToGrid w:val="0"/>
              <w:spacing w:line="360" w:lineRule="auto"/>
              <w:ind w:firstLine="435"/>
              <w:rPr>
                <w:color w:val="auto"/>
                <w:sz w:val="24"/>
                <w:highlight w:val="none"/>
              </w:rPr>
            </w:pPr>
            <w:r>
              <w:rPr>
                <w:color w:val="auto"/>
                <w:sz w:val="24"/>
                <w:highlight w:val="none"/>
              </w:rPr>
              <w:t>本项目劳动定员</w:t>
            </w:r>
            <w:r>
              <w:rPr>
                <w:rFonts w:hint="eastAsia"/>
                <w:color w:val="auto"/>
                <w:kern w:val="0"/>
                <w:sz w:val="24"/>
                <w:highlight w:val="none"/>
              </w:rPr>
              <w:t>10</w:t>
            </w:r>
            <w:r>
              <w:rPr>
                <w:color w:val="auto"/>
                <w:sz w:val="24"/>
                <w:highlight w:val="none"/>
              </w:rPr>
              <w:t>人，</w:t>
            </w:r>
            <w:r>
              <w:rPr>
                <w:rFonts w:hint="eastAsia"/>
                <w:color w:val="auto"/>
                <w:sz w:val="24"/>
                <w:highlight w:val="none"/>
              </w:rPr>
              <w:t>厂区内设食堂</w:t>
            </w:r>
            <w:r>
              <w:rPr>
                <w:color w:val="auto"/>
                <w:sz w:val="24"/>
                <w:highlight w:val="none"/>
              </w:rPr>
              <w:t>1个，</w:t>
            </w:r>
            <w:r>
              <w:rPr>
                <w:rFonts w:hint="eastAsia"/>
                <w:color w:val="auto"/>
                <w:sz w:val="24"/>
                <w:highlight w:val="none"/>
              </w:rPr>
              <w:t>仅</w:t>
            </w:r>
            <w:r>
              <w:rPr>
                <w:color w:val="auto"/>
                <w:sz w:val="24"/>
                <w:highlight w:val="none"/>
              </w:rPr>
              <w:t>向</w:t>
            </w:r>
            <w:r>
              <w:rPr>
                <w:rFonts w:hint="eastAsia"/>
                <w:color w:val="auto"/>
                <w:sz w:val="24"/>
                <w:highlight w:val="none"/>
              </w:rPr>
              <w:t>员工提供午餐</w:t>
            </w:r>
            <w:r>
              <w:rPr>
                <w:color w:val="auto"/>
                <w:sz w:val="24"/>
                <w:highlight w:val="none"/>
              </w:rPr>
              <w:t>。</w:t>
            </w:r>
            <w:r>
              <w:rPr>
                <w:rFonts w:hint="eastAsia"/>
                <w:color w:val="auto"/>
                <w:sz w:val="24"/>
                <w:highlight w:val="none"/>
              </w:rPr>
              <w:t>食堂</w:t>
            </w:r>
            <w:r>
              <w:rPr>
                <w:color w:val="auto"/>
                <w:sz w:val="24"/>
                <w:highlight w:val="none"/>
              </w:rPr>
              <w:t>使用电能，设1个灶头，每人每天耗食用油量约为30g，每日烹饪时间按</w:t>
            </w:r>
            <w:r>
              <w:rPr>
                <w:rFonts w:hint="eastAsia"/>
                <w:color w:val="auto"/>
                <w:kern w:val="0"/>
                <w:sz w:val="24"/>
                <w:highlight w:val="none"/>
              </w:rPr>
              <w:t>2.5</w:t>
            </w:r>
            <w:r>
              <w:rPr>
                <w:color w:val="auto"/>
                <w:sz w:val="24"/>
                <w:highlight w:val="none"/>
              </w:rPr>
              <w:t>小时计，烹饪过程中食用油挥发率按3%计，则油烟产生量为</w:t>
            </w:r>
            <w:r>
              <w:rPr>
                <w:rFonts w:hint="eastAsia"/>
                <w:color w:val="auto"/>
                <w:kern w:val="0"/>
                <w:sz w:val="24"/>
                <w:highlight w:val="none"/>
              </w:rPr>
              <w:t>9</w:t>
            </w:r>
            <w:r>
              <w:rPr>
                <w:color w:val="auto"/>
                <w:sz w:val="24"/>
                <w:highlight w:val="none"/>
              </w:rPr>
              <w:t>g/d。</w:t>
            </w:r>
            <w:r>
              <w:rPr>
                <w:rFonts w:hint="eastAsia"/>
                <w:color w:val="auto"/>
                <w:sz w:val="24"/>
                <w:highlight w:val="none"/>
              </w:rPr>
              <w:t>食堂</w:t>
            </w:r>
            <w:r>
              <w:rPr>
                <w:color w:val="auto"/>
                <w:sz w:val="24"/>
                <w:highlight w:val="none"/>
              </w:rPr>
              <w:t>安装抽油烟机，风机风量为</w:t>
            </w:r>
            <w:r>
              <w:rPr>
                <w:rFonts w:hint="eastAsia"/>
                <w:color w:val="auto"/>
                <w:kern w:val="0"/>
                <w:sz w:val="24"/>
                <w:highlight w:val="none"/>
              </w:rPr>
              <w:t>20</w:t>
            </w:r>
            <w:r>
              <w:rPr>
                <w:color w:val="auto"/>
                <w:kern w:val="0"/>
                <w:sz w:val="24"/>
                <w:highlight w:val="none"/>
              </w:rPr>
              <w:t>00</w:t>
            </w:r>
            <w:r>
              <w:rPr>
                <w:color w:val="auto"/>
                <w:sz w:val="24"/>
                <w:highlight w:val="none"/>
              </w:rPr>
              <w:t>m</w:t>
            </w:r>
            <w:r>
              <w:rPr>
                <w:color w:val="auto"/>
                <w:sz w:val="24"/>
                <w:highlight w:val="none"/>
                <w:vertAlign w:val="superscript"/>
              </w:rPr>
              <w:t>3</w:t>
            </w:r>
            <w:r>
              <w:rPr>
                <w:color w:val="auto"/>
                <w:sz w:val="24"/>
                <w:highlight w:val="none"/>
              </w:rPr>
              <w:t>/h，油烟产生浓度为</w:t>
            </w:r>
            <w:r>
              <w:rPr>
                <w:rFonts w:hint="eastAsia"/>
                <w:color w:val="auto"/>
                <w:sz w:val="24"/>
                <w:highlight w:val="none"/>
              </w:rPr>
              <w:t>1.8</w:t>
            </w:r>
            <w:r>
              <w:rPr>
                <w:color w:val="auto"/>
                <w:sz w:val="24"/>
                <w:highlight w:val="none"/>
              </w:rPr>
              <w:t>mg/m</w:t>
            </w:r>
            <w:r>
              <w:rPr>
                <w:color w:val="auto"/>
                <w:sz w:val="24"/>
                <w:highlight w:val="none"/>
                <w:vertAlign w:val="superscript"/>
              </w:rPr>
              <w:t>3</w:t>
            </w:r>
            <w:r>
              <w:rPr>
                <w:color w:val="auto"/>
                <w:sz w:val="24"/>
                <w:highlight w:val="none"/>
              </w:rPr>
              <w:t>，</w:t>
            </w:r>
            <w:r>
              <w:rPr>
                <w:rFonts w:hint="eastAsia"/>
                <w:color w:val="auto"/>
                <w:sz w:val="24"/>
                <w:highlight w:val="none"/>
              </w:rPr>
              <w:t>满足</w:t>
            </w:r>
            <w:r>
              <w:rPr>
                <w:color w:val="auto"/>
                <w:sz w:val="24"/>
                <w:highlight w:val="none"/>
              </w:rPr>
              <w:t>《饮食业油烟排放标准》（GB18483-2001）中的要求</w:t>
            </w:r>
            <w:r>
              <w:rPr>
                <w:rFonts w:hint="eastAsia"/>
                <w:color w:val="auto"/>
                <w:sz w:val="24"/>
                <w:highlight w:val="none"/>
              </w:rPr>
              <w:t>（</w:t>
            </w:r>
            <w:r>
              <w:rPr>
                <w:color w:val="auto"/>
                <w:sz w:val="24"/>
                <w:highlight w:val="none"/>
              </w:rPr>
              <w:t>2mg/m</w:t>
            </w:r>
            <w:r>
              <w:rPr>
                <w:color w:val="auto"/>
                <w:sz w:val="24"/>
                <w:highlight w:val="none"/>
                <w:vertAlign w:val="superscript"/>
              </w:rPr>
              <w:t>3</w:t>
            </w:r>
            <w:r>
              <w:rPr>
                <w:rFonts w:hint="eastAsia"/>
                <w:color w:val="auto"/>
                <w:sz w:val="24"/>
                <w:highlight w:val="none"/>
              </w:rPr>
              <w:t>）</w:t>
            </w:r>
            <w:r>
              <w:rPr>
                <w:color w:val="auto"/>
                <w:sz w:val="24"/>
                <w:highlight w:val="none"/>
              </w:rPr>
              <w:t>。</w:t>
            </w:r>
          </w:p>
          <w:p w14:paraId="26AF1457">
            <w:pPr>
              <w:snapToGrid w:val="0"/>
              <w:spacing w:line="360" w:lineRule="auto"/>
              <w:ind w:firstLine="480" w:firstLineChars="200"/>
              <w:rPr>
                <w:b/>
                <w:bCs/>
                <w:color w:val="auto"/>
                <w:sz w:val="24"/>
                <w:highlight w:val="none"/>
              </w:rPr>
            </w:pPr>
            <w:r>
              <w:rPr>
                <w:rFonts w:hint="eastAsia"/>
                <w:color w:val="auto"/>
                <w:sz w:val="24"/>
                <w:highlight w:val="none"/>
              </w:rPr>
              <w:t>（4）污水处理站恶臭</w:t>
            </w:r>
          </w:p>
          <w:p w14:paraId="25AC20ED">
            <w:pPr>
              <w:snapToGrid w:val="0"/>
              <w:spacing w:line="360" w:lineRule="auto"/>
              <w:ind w:firstLine="480" w:firstLineChars="200"/>
              <w:rPr>
                <w:b/>
                <w:bCs/>
                <w:color w:val="auto"/>
                <w:sz w:val="24"/>
                <w:highlight w:val="none"/>
              </w:rPr>
            </w:pPr>
            <w:r>
              <w:rPr>
                <w:rFonts w:hint="eastAsia"/>
                <w:color w:val="auto"/>
                <w:kern w:val="0"/>
                <w:sz w:val="24"/>
                <w:szCs w:val="22"/>
                <w:highlight w:val="none"/>
                <w:lang w:val="zh-CN"/>
              </w:rPr>
              <w:t>本项目自建的污水处理站，</w:t>
            </w:r>
            <w:r>
              <w:rPr>
                <w:color w:val="auto"/>
                <w:kern w:val="0"/>
                <w:sz w:val="24"/>
                <w:szCs w:val="22"/>
                <w:highlight w:val="none"/>
                <w:lang w:val="zh-CN"/>
              </w:rPr>
              <w:t>运行时会产生少量恶臭气体，主要来自</w:t>
            </w:r>
            <w:r>
              <w:rPr>
                <w:rFonts w:hint="eastAsia"/>
                <w:color w:val="auto"/>
                <w:kern w:val="0"/>
                <w:sz w:val="24"/>
                <w:szCs w:val="22"/>
                <w:highlight w:val="none"/>
                <w:lang w:val="zh-CN"/>
              </w:rPr>
              <w:t>调节池、生化池、沉淀池</w:t>
            </w:r>
            <w:r>
              <w:rPr>
                <w:color w:val="auto"/>
                <w:kern w:val="0"/>
                <w:sz w:val="24"/>
                <w:szCs w:val="22"/>
                <w:highlight w:val="none"/>
                <w:lang w:val="zh-CN"/>
              </w:rPr>
              <w:t>等装置，产生的恶臭气体主要成分为H</w:t>
            </w:r>
            <w:r>
              <w:rPr>
                <w:color w:val="auto"/>
                <w:kern w:val="0"/>
                <w:sz w:val="24"/>
                <w:szCs w:val="22"/>
                <w:highlight w:val="none"/>
                <w:vertAlign w:val="subscript"/>
                <w:lang w:val="zh-CN"/>
              </w:rPr>
              <w:t>2</w:t>
            </w:r>
            <w:r>
              <w:rPr>
                <w:color w:val="auto"/>
                <w:kern w:val="0"/>
                <w:sz w:val="24"/>
                <w:szCs w:val="22"/>
                <w:highlight w:val="none"/>
                <w:lang w:val="zh-CN"/>
              </w:rPr>
              <w:t>S、NH</w:t>
            </w:r>
            <w:r>
              <w:rPr>
                <w:color w:val="auto"/>
                <w:kern w:val="0"/>
                <w:sz w:val="24"/>
                <w:szCs w:val="22"/>
                <w:highlight w:val="none"/>
                <w:vertAlign w:val="subscript"/>
                <w:lang w:val="zh-CN"/>
              </w:rPr>
              <w:t>3</w:t>
            </w:r>
            <w:r>
              <w:rPr>
                <w:rFonts w:hint="eastAsia"/>
                <w:color w:val="auto"/>
                <w:kern w:val="0"/>
                <w:sz w:val="24"/>
                <w:szCs w:val="22"/>
                <w:highlight w:val="none"/>
                <w:lang w:val="zh-CN"/>
              </w:rPr>
              <w:t>。根据美国EPA对污水处理恶臭污染物产生情况的研究，每处理1gBOD</w:t>
            </w:r>
            <w:r>
              <w:rPr>
                <w:rFonts w:hint="eastAsia"/>
                <w:color w:val="auto"/>
                <w:kern w:val="0"/>
                <w:sz w:val="24"/>
                <w:szCs w:val="22"/>
                <w:highlight w:val="none"/>
                <w:vertAlign w:val="subscript"/>
                <w:lang w:val="zh-CN"/>
              </w:rPr>
              <w:t>5</w:t>
            </w:r>
            <w:r>
              <w:rPr>
                <w:rFonts w:hint="eastAsia"/>
                <w:color w:val="auto"/>
                <w:kern w:val="0"/>
                <w:sz w:val="24"/>
                <w:szCs w:val="22"/>
                <w:highlight w:val="none"/>
                <w:lang w:val="zh-CN"/>
              </w:rPr>
              <w:t>可产生0.0031g的NH</w:t>
            </w:r>
            <w:r>
              <w:rPr>
                <w:rFonts w:hint="eastAsia"/>
                <w:color w:val="auto"/>
                <w:kern w:val="0"/>
                <w:sz w:val="24"/>
                <w:szCs w:val="22"/>
                <w:highlight w:val="none"/>
                <w:vertAlign w:val="subscript"/>
                <w:lang w:val="zh-CN"/>
              </w:rPr>
              <w:t>3</w:t>
            </w:r>
            <w:r>
              <w:rPr>
                <w:rFonts w:hint="eastAsia"/>
                <w:color w:val="auto"/>
                <w:kern w:val="0"/>
                <w:sz w:val="24"/>
                <w:szCs w:val="22"/>
                <w:highlight w:val="none"/>
                <w:lang w:val="zh-CN"/>
              </w:rPr>
              <w:t>、0.00012g的H</w:t>
            </w:r>
            <w:r>
              <w:rPr>
                <w:rFonts w:hint="eastAsia"/>
                <w:color w:val="auto"/>
                <w:kern w:val="0"/>
                <w:sz w:val="24"/>
                <w:szCs w:val="22"/>
                <w:highlight w:val="none"/>
                <w:vertAlign w:val="subscript"/>
                <w:lang w:val="zh-CN"/>
              </w:rPr>
              <w:t>2</w:t>
            </w:r>
            <w:r>
              <w:rPr>
                <w:rFonts w:hint="eastAsia"/>
                <w:color w:val="auto"/>
                <w:kern w:val="0"/>
                <w:sz w:val="24"/>
                <w:szCs w:val="22"/>
                <w:highlight w:val="none"/>
                <w:lang w:val="zh-CN"/>
              </w:rPr>
              <w:t>S。根据建设单位提供的废水处理设计方案</w:t>
            </w:r>
            <w:r>
              <w:rPr>
                <w:rFonts w:hint="eastAsia"/>
                <w:color w:val="auto"/>
                <w:kern w:val="0"/>
                <w:sz w:val="24"/>
                <w:szCs w:val="22"/>
                <w:highlight w:val="none"/>
              </w:rPr>
              <w:t>，进水BOD</w:t>
            </w:r>
            <w:r>
              <w:rPr>
                <w:rFonts w:hint="eastAsia"/>
                <w:color w:val="auto"/>
                <w:kern w:val="0"/>
                <w:sz w:val="24"/>
                <w:szCs w:val="22"/>
                <w:highlight w:val="none"/>
                <w:vertAlign w:val="subscript"/>
              </w:rPr>
              <w:t>5</w:t>
            </w:r>
            <w:r>
              <w:rPr>
                <w:rFonts w:hint="eastAsia"/>
                <w:color w:val="auto"/>
                <w:kern w:val="0"/>
                <w:sz w:val="24"/>
                <w:szCs w:val="22"/>
                <w:highlight w:val="none"/>
              </w:rPr>
              <w:t>浓度为1500mg/L计、出水BOD</w:t>
            </w:r>
            <w:r>
              <w:rPr>
                <w:rFonts w:hint="eastAsia"/>
                <w:color w:val="auto"/>
                <w:kern w:val="0"/>
                <w:sz w:val="24"/>
                <w:szCs w:val="22"/>
                <w:highlight w:val="none"/>
                <w:vertAlign w:val="subscript"/>
              </w:rPr>
              <w:t>5</w:t>
            </w:r>
            <w:r>
              <w:rPr>
                <w:rFonts w:hint="eastAsia"/>
                <w:color w:val="auto"/>
                <w:kern w:val="0"/>
                <w:sz w:val="24"/>
                <w:szCs w:val="22"/>
                <w:highlight w:val="none"/>
              </w:rPr>
              <w:t>浓度为100mg/L；项目日处理废水量为4.93m</w:t>
            </w:r>
            <w:r>
              <w:rPr>
                <w:rFonts w:hint="eastAsia"/>
                <w:color w:val="auto"/>
                <w:kern w:val="0"/>
                <w:sz w:val="24"/>
                <w:szCs w:val="22"/>
                <w:highlight w:val="none"/>
                <w:vertAlign w:val="superscript"/>
              </w:rPr>
              <w:t>3</w:t>
            </w:r>
            <w:r>
              <w:rPr>
                <w:rFonts w:hint="eastAsia"/>
                <w:color w:val="auto"/>
                <w:kern w:val="0"/>
                <w:sz w:val="24"/>
                <w:szCs w:val="22"/>
                <w:highlight w:val="none"/>
              </w:rPr>
              <w:t>，则BOD</w:t>
            </w:r>
            <w:r>
              <w:rPr>
                <w:rFonts w:hint="eastAsia"/>
                <w:color w:val="auto"/>
                <w:kern w:val="0"/>
                <w:sz w:val="24"/>
                <w:szCs w:val="22"/>
                <w:highlight w:val="none"/>
                <w:vertAlign w:val="subscript"/>
              </w:rPr>
              <w:t>5</w:t>
            </w:r>
            <w:r>
              <w:rPr>
                <w:rFonts w:hint="eastAsia"/>
                <w:color w:val="auto"/>
                <w:kern w:val="0"/>
                <w:sz w:val="24"/>
                <w:szCs w:val="22"/>
                <w:highlight w:val="none"/>
              </w:rPr>
              <w:t>削减量为2.7t/a。综合计算可知，NH</w:t>
            </w:r>
            <w:r>
              <w:rPr>
                <w:rFonts w:hint="eastAsia"/>
                <w:color w:val="auto"/>
                <w:kern w:val="0"/>
                <w:sz w:val="24"/>
                <w:szCs w:val="22"/>
                <w:highlight w:val="none"/>
                <w:vertAlign w:val="subscript"/>
              </w:rPr>
              <w:t>3</w:t>
            </w:r>
            <w:r>
              <w:rPr>
                <w:rFonts w:hint="eastAsia"/>
                <w:color w:val="auto"/>
                <w:kern w:val="0"/>
                <w:sz w:val="24"/>
                <w:szCs w:val="22"/>
                <w:highlight w:val="none"/>
              </w:rPr>
              <w:t>产生量为0.00837t/a、</w:t>
            </w:r>
            <w:r>
              <w:rPr>
                <w:rFonts w:hint="eastAsia"/>
                <w:color w:val="auto"/>
                <w:kern w:val="0"/>
                <w:sz w:val="24"/>
                <w:szCs w:val="22"/>
                <w:highlight w:val="none"/>
                <w:lang w:val="zh-CN"/>
              </w:rPr>
              <w:t>H</w:t>
            </w:r>
            <w:r>
              <w:rPr>
                <w:rFonts w:hint="eastAsia"/>
                <w:color w:val="auto"/>
                <w:kern w:val="0"/>
                <w:sz w:val="24"/>
                <w:szCs w:val="22"/>
                <w:highlight w:val="none"/>
                <w:vertAlign w:val="subscript"/>
                <w:lang w:val="zh-CN"/>
              </w:rPr>
              <w:t>2</w:t>
            </w:r>
            <w:r>
              <w:rPr>
                <w:rFonts w:hint="eastAsia"/>
                <w:color w:val="auto"/>
                <w:kern w:val="0"/>
                <w:sz w:val="24"/>
                <w:szCs w:val="22"/>
                <w:highlight w:val="none"/>
                <w:lang w:val="zh-CN"/>
              </w:rPr>
              <w:t>S产生量为</w:t>
            </w:r>
            <w:r>
              <w:rPr>
                <w:rFonts w:hint="eastAsia"/>
                <w:color w:val="auto"/>
                <w:kern w:val="0"/>
                <w:sz w:val="24"/>
                <w:szCs w:val="22"/>
                <w:highlight w:val="none"/>
              </w:rPr>
              <w:t>0.000324t/a。</w:t>
            </w:r>
          </w:p>
          <w:p w14:paraId="5777FD56">
            <w:pPr>
              <w:adjustRightInd w:val="0"/>
              <w:snapToGrid w:val="0"/>
              <w:spacing w:line="360" w:lineRule="auto"/>
              <w:ind w:firstLine="482" w:firstLineChars="200"/>
              <w:rPr>
                <w:b/>
                <w:color w:val="auto"/>
                <w:szCs w:val="21"/>
                <w:highlight w:val="none"/>
              </w:rPr>
            </w:pPr>
            <w:r>
              <w:rPr>
                <w:b/>
                <w:bCs/>
                <w:color w:val="auto"/>
                <w:sz w:val="24"/>
                <w:highlight w:val="none"/>
              </w:rPr>
              <w:t>达标性分析：</w:t>
            </w:r>
            <w:r>
              <w:rPr>
                <w:color w:val="auto"/>
                <w:kern w:val="0"/>
                <w:sz w:val="24"/>
                <w:highlight w:val="none"/>
              </w:rPr>
              <w:t>按照《环境影响评价技术导则 大气环境》</w:t>
            </w:r>
            <w:r>
              <w:rPr>
                <w:rFonts w:hint="eastAsia"/>
                <w:color w:val="auto"/>
                <w:kern w:val="0"/>
                <w:sz w:val="24"/>
                <w:highlight w:val="none"/>
              </w:rPr>
              <w:t>（</w:t>
            </w:r>
            <w:r>
              <w:rPr>
                <w:color w:val="auto"/>
                <w:kern w:val="0"/>
                <w:sz w:val="24"/>
                <w:highlight w:val="none"/>
              </w:rPr>
              <w:t>HJ2.2-2018</w:t>
            </w:r>
            <w:r>
              <w:rPr>
                <w:rFonts w:hint="eastAsia"/>
                <w:color w:val="auto"/>
                <w:kern w:val="0"/>
                <w:sz w:val="24"/>
                <w:highlight w:val="none"/>
              </w:rPr>
              <w:t>）</w:t>
            </w:r>
            <w:r>
              <w:rPr>
                <w:color w:val="auto"/>
                <w:kern w:val="0"/>
                <w:sz w:val="24"/>
                <w:highlight w:val="none"/>
              </w:rPr>
              <w:t>要求，评价采用推荐的AERSCREEN估算模式对</w:t>
            </w:r>
            <w:r>
              <w:rPr>
                <w:rFonts w:hint="eastAsia"/>
                <w:color w:val="auto"/>
                <w:kern w:val="0"/>
                <w:sz w:val="24"/>
                <w:highlight w:val="none"/>
              </w:rPr>
              <w:t>厂区污水处理站恶臭</w:t>
            </w:r>
            <w:r>
              <w:rPr>
                <w:color w:val="auto"/>
                <w:kern w:val="0"/>
                <w:sz w:val="24"/>
                <w:highlight w:val="none"/>
              </w:rPr>
              <w:t>排放进行估算，估算结果如下：</w:t>
            </w:r>
          </w:p>
          <w:p w14:paraId="313EB2E5">
            <w:pPr>
              <w:snapToGrid w:val="0"/>
              <w:jc w:val="center"/>
              <w:rPr>
                <w:b/>
                <w:color w:val="auto"/>
                <w:szCs w:val="21"/>
                <w:highlight w:val="none"/>
              </w:rPr>
            </w:pPr>
            <w:r>
              <w:rPr>
                <w:b/>
                <w:color w:val="auto"/>
                <w:szCs w:val="21"/>
                <w:highlight w:val="none"/>
              </w:rPr>
              <w:t>表4-</w:t>
            </w:r>
            <w:r>
              <w:rPr>
                <w:rFonts w:hint="eastAsia"/>
                <w:b/>
                <w:color w:val="auto"/>
                <w:szCs w:val="21"/>
                <w:highlight w:val="none"/>
              </w:rPr>
              <w:t>3</w:t>
            </w:r>
            <w:r>
              <w:rPr>
                <w:b/>
                <w:color w:val="auto"/>
                <w:szCs w:val="21"/>
                <w:highlight w:val="none"/>
              </w:rPr>
              <w:t xml:space="preserve">  </w:t>
            </w:r>
            <w:r>
              <w:rPr>
                <w:rFonts w:hint="eastAsia"/>
                <w:b/>
                <w:color w:val="auto"/>
                <w:szCs w:val="21"/>
                <w:highlight w:val="none"/>
              </w:rPr>
              <w:t>厂区污水处理站恶臭</w:t>
            </w:r>
            <w:r>
              <w:rPr>
                <w:b/>
                <w:color w:val="auto"/>
                <w:szCs w:val="21"/>
                <w:highlight w:val="none"/>
              </w:rPr>
              <w:t>排放参数</w:t>
            </w:r>
          </w:p>
          <w:tbl>
            <w:tblPr>
              <w:tblStyle w:val="35"/>
              <w:tblW w:w="8495" w:type="dxa"/>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0" w:type="dxa"/>
                <w:bottom w:w="0" w:type="dxa"/>
                <w:right w:w="0" w:type="dxa"/>
              </w:tblCellMar>
            </w:tblPr>
            <w:tblGrid>
              <w:gridCol w:w="934"/>
              <w:gridCol w:w="760"/>
              <w:gridCol w:w="832"/>
              <w:gridCol w:w="830"/>
              <w:gridCol w:w="561"/>
              <w:gridCol w:w="561"/>
              <w:gridCol w:w="744"/>
              <w:gridCol w:w="752"/>
              <w:gridCol w:w="723"/>
              <w:gridCol w:w="618"/>
              <w:gridCol w:w="611"/>
              <w:gridCol w:w="569"/>
            </w:tblGrid>
            <w:tr w14:paraId="582B6EC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659" w:hRule="atLeast"/>
              </w:trPr>
              <w:tc>
                <w:tcPr>
                  <w:tcW w:w="934" w:type="dxa"/>
                  <w:vMerge w:val="restart"/>
                  <w:vAlign w:val="center"/>
                </w:tcPr>
                <w:p w14:paraId="4D61CF2F">
                  <w:pPr>
                    <w:widowControl/>
                    <w:adjustRightInd w:val="0"/>
                    <w:snapToGrid w:val="0"/>
                    <w:spacing w:before="48" w:beforeLines="20" w:after="48" w:afterLines="20"/>
                    <w:jc w:val="center"/>
                    <w:rPr>
                      <w:color w:val="auto"/>
                      <w:kern w:val="0"/>
                      <w:szCs w:val="21"/>
                      <w:highlight w:val="none"/>
                    </w:rPr>
                  </w:pPr>
                  <w:r>
                    <w:rPr>
                      <w:rFonts w:hint="eastAsia"/>
                      <w:color w:val="auto"/>
                      <w:kern w:val="0"/>
                      <w:szCs w:val="21"/>
                      <w:highlight w:val="none"/>
                    </w:rPr>
                    <w:t>面源</w:t>
                  </w:r>
                </w:p>
              </w:tc>
              <w:tc>
                <w:tcPr>
                  <w:tcW w:w="1592" w:type="dxa"/>
                  <w:gridSpan w:val="2"/>
                  <w:vAlign w:val="center"/>
                </w:tcPr>
                <w:p w14:paraId="3C562FAB">
                  <w:pPr>
                    <w:widowControl/>
                    <w:adjustRightInd w:val="0"/>
                    <w:snapToGrid w:val="0"/>
                    <w:spacing w:before="48" w:beforeLines="20" w:after="48" w:afterLines="20"/>
                    <w:jc w:val="center"/>
                    <w:rPr>
                      <w:color w:val="auto"/>
                      <w:kern w:val="0"/>
                      <w:szCs w:val="21"/>
                      <w:highlight w:val="none"/>
                    </w:rPr>
                  </w:pPr>
                  <w:r>
                    <w:rPr>
                      <w:color w:val="auto"/>
                      <w:kern w:val="0"/>
                      <w:szCs w:val="21"/>
                      <w:highlight w:val="none"/>
                    </w:rPr>
                    <w:t>面源起点坐标/m</w:t>
                  </w:r>
                </w:p>
              </w:tc>
              <w:tc>
                <w:tcPr>
                  <w:tcW w:w="830" w:type="dxa"/>
                  <w:vMerge w:val="restart"/>
                  <w:vAlign w:val="center"/>
                </w:tcPr>
                <w:p w14:paraId="516F74AF">
                  <w:pPr>
                    <w:widowControl/>
                    <w:adjustRightInd w:val="0"/>
                    <w:snapToGrid w:val="0"/>
                    <w:spacing w:before="48" w:beforeLines="20" w:after="48" w:afterLines="20"/>
                    <w:jc w:val="center"/>
                    <w:rPr>
                      <w:color w:val="auto"/>
                      <w:kern w:val="0"/>
                      <w:szCs w:val="21"/>
                      <w:highlight w:val="none"/>
                    </w:rPr>
                  </w:pPr>
                  <w:r>
                    <w:rPr>
                      <w:color w:val="auto"/>
                      <w:kern w:val="0"/>
                      <w:szCs w:val="21"/>
                      <w:highlight w:val="none"/>
                    </w:rPr>
                    <w:t>面源</w:t>
                  </w:r>
                  <w:r>
                    <w:rPr>
                      <w:rFonts w:hint="eastAsia"/>
                      <w:color w:val="auto"/>
                      <w:kern w:val="0"/>
                      <w:szCs w:val="21"/>
                      <w:highlight w:val="none"/>
                    </w:rPr>
                    <w:t>海拔</w:t>
                  </w:r>
                  <w:r>
                    <w:rPr>
                      <w:color w:val="auto"/>
                      <w:kern w:val="0"/>
                      <w:szCs w:val="21"/>
                      <w:highlight w:val="none"/>
                    </w:rPr>
                    <w:t>/m</w:t>
                  </w:r>
                </w:p>
              </w:tc>
              <w:tc>
                <w:tcPr>
                  <w:tcW w:w="561" w:type="dxa"/>
                  <w:vMerge w:val="restart"/>
                  <w:vAlign w:val="center"/>
                </w:tcPr>
                <w:p w14:paraId="3BDC34F1">
                  <w:pPr>
                    <w:widowControl/>
                    <w:adjustRightInd w:val="0"/>
                    <w:snapToGrid w:val="0"/>
                    <w:spacing w:before="48" w:beforeLines="20" w:after="48" w:afterLines="20"/>
                    <w:jc w:val="center"/>
                    <w:rPr>
                      <w:color w:val="auto"/>
                      <w:kern w:val="0"/>
                      <w:szCs w:val="21"/>
                      <w:highlight w:val="none"/>
                    </w:rPr>
                  </w:pPr>
                  <w:r>
                    <w:rPr>
                      <w:rFonts w:hint="eastAsia"/>
                      <w:color w:val="auto"/>
                      <w:kern w:val="0"/>
                      <w:szCs w:val="21"/>
                      <w:highlight w:val="none"/>
                    </w:rPr>
                    <w:t>与正北方向夹角</w:t>
                  </w:r>
                </w:p>
              </w:tc>
              <w:tc>
                <w:tcPr>
                  <w:tcW w:w="561" w:type="dxa"/>
                  <w:vMerge w:val="restart"/>
                  <w:vAlign w:val="center"/>
                </w:tcPr>
                <w:p w14:paraId="09E7D373">
                  <w:pPr>
                    <w:widowControl/>
                    <w:adjustRightInd w:val="0"/>
                    <w:snapToGrid w:val="0"/>
                    <w:spacing w:before="48" w:beforeLines="20" w:after="48" w:afterLines="20"/>
                    <w:jc w:val="center"/>
                    <w:rPr>
                      <w:color w:val="auto"/>
                      <w:kern w:val="0"/>
                      <w:szCs w:val="21"/>
                      <w:highlight w:val="none"/>
                    </w:rPr>
                  </w:pPr>
                  <w:r>
                    <w:rPr>
                      <w:color w:val="auto"/>
                      <w:kern w:val="0"/>
                      <w:szCs w:val="21"/>
                      <w:highlight w:val="none"/>
                    </w:rPr>
                    <w:t>面源长度/m</w:t>
                  </w:r>
                </w:p>
              </w:tc>
              <w:tc>
                <w:tcPr>
                  <w:tcW w:w="744" w:type="dxa"/>
                  <w:vMerge w:val="restart"/>
                  <w:vAlign w:val="center"/>
                </w:tcPr>
                <w:p w14:paraId="1DA7AAB6">
                  <w:pPr>
                    <w:widowControl/>
                    <w:adjustRightInd w:val="0"/>
                    <w:snapToGrid w:val="0"/>
                    <w:spacing w:before="48" w:beforeLines="20" w:after="48" w:afterLines="20"/>
                    <w:jc w:val="center"/>
                    <w:rPr>
                      <w:color w:val="auto"/>
                      <w:kern w:val="0"/>
                      <w:szCs w:val="21"/>
                      <w:highlight w:val="none"/>
                    </w:rPr>
                  </w:pPr>
                  <w:r>
                    <w:rPr>
                      <w:color w:val="auto"/>
                      <w:kern w:val="0"/>
                      <w:szCs w:val="21"/>
                      <w:highlight w:val="none"/>
                    </w:rPr>
                    <w:t>面源宽度/m</w:t>
                  </w:r>
                </w:p>
              </w:tc>
              <w:tc>
                <w:tcPr>
                  <w:tcW w:w="752" w:type="dxa"/>
                  <w:vMerge w:val="restart"/>
                  <w:vAlign w:val="center"/>
                </w:tcPr>
                <w:p w14:paraId="444CC9FB">
                  <w:pPr>
                    <w:widowControl/>
                    <w:adjustRightInd w:val="0"/>
                    <w:snapToGrid w:val="0"/>
                    <w:spacing w:before="48" w:beforeLines="20" w:after="48" w:afterLines="20"/>
                    <w:jc w:val="center"/>
                    <w:rPr>
                      <w:color w:val="auto"/>
                      <w:kern w:val="0"/>
                      <w:szCs w:val="21"/>
                      <w:highlight w:val="none"/>
                    </w:rPr>
                  </w:pPr>
                  <w:r>
                    <w:rPr>
                      <w:color w:val="auto"/>
                      <w:kern w:val="0"/>
                      <w:szCs w:val="21"/>
                      <w:highlight w:val="none"/>
                    </w:rPr>
                    <w:t>面源有效排放高度/m</w:t>
                  </w:r>
                </w:p>
              </w:tc>
              <w:tc>
                <w:tcPr>
                  <w:tcW w:w="723" w:type="dxa"/>
                  <w:vMerge w:val="restart"/>
                  <w:vAlign w:val="center"/>
                </w:tcPr>
                <w:p w14:paraId="50ED6F0F">
                  <w:pPr>
                    <w:widowControl/>
                    <w:adjustRightInd w:val="0"/>
                    <w:snapToGrid w:val="0"/>
                    <w:spacing w:before="48" w:beforeLines="20" w:after="48" w:afterLines="20"/>
                    <w:jc w:val="center"/>
                    <w:rPr>
                      <w:color w:val="auto"/>
                      <w:kern w:val="0"/>
                      <w:szCs w:val="21"/>
                      <w:highlight w:val="none"/>
                    </w:rPr>
                  </w:pPr>
                  <w:r>
                    <w:rPr>
                      <w:color w:val="auto"/>
                      <w:kern w:val="0"/>
                      <w:szCs w:val="21"/>
                      <w:highlight w:val="none"/>
                    </w:rPr>
                    <w:t>年排放小时数/h</w:t>
                  </w:r>
                </w:p>
              </w:tc>
              <w:tc>
                <w:tcPr>
                  <w:tcW w:w="618" w:type="dxa"/>
                  <w:vMerge w:val="restart"/>
                  <w:vAlign w:val="center"/>
                </w:tcPr>
                <w:p w14:paraId="3FCA7A3A">
                  <w:pPr>
                    <w:widowControl/>
                    <w:adjustRightInd w:val="0"/>
                    <w:snapToGrid w:val="0"/>
                    <w:spacing w:before="48" w:beforeLines="20" w:after="48" w:afterLines="20"/>
                    <w:jc w:val="center"/>
                    <w:rPr>
                      <w:color w:val="auto"/>
                      <w:kern w:val="0"/>
                      <w:szCs w:val="21"/>
                      <w:highlight w:val="none"/>
                    </w:rPr>
                  </w:pPr>
                  <w:r>
                    <w:rPr>
                      <w:color w:val="auto"/>
                      <w:kern w:val="0"/>
                      <w:szCs w:val="21"/>
                      <w:highlight w:val="none"/>
                    </w:rPr>
                    <w:t>排放</w:t>
                  </w:r>
                </w:p>
                <w:p w14:paraId="55BFCC80">
                  <w:pPr>
                    <w:widowControl/>
                    <w:adjustRightInd w:val="0"/>
                    <w:snapToGrid w:val="0"/>
                    <w:spacing w:before="48" w:beforeLines="20" w:after="48" w:afterLines="20"/>
                    <w:jc w:val="center"/>
                    <w:rPr>
                      <w:color w:val="auto"/>
                      <w:kern w:val="0"/>
                      <w:szCs w:val="21"/>
                      <w:highlight w:val="none"/>
                    </w:rPr>
                  </w:pPr>
                  <w:r>
                    <w:rPr>
                      <w:color w:val="auto"/>
                      <w:kern w:val="0"/>
                      <w:szCs w:val="21"/>
                      <w:highlight w:val="none"/>
                    </w:rPr>
                    <w:t>工况</w:t>
                  </w:r>
                </w:p>
              </w:tc>
              <w:tc>
                <w:tcPr>
                  <w:tcW w:w="1180" w:type="dxa"/>
                  <w:gridSpan w:val="2"/>
                  <w:vAlign w:val="center"/>
                </w:tcPr>
                <w:p w14:paraId="3A1524A4">
                  <w:pPr>
                    <w:widowControl/>
                    <w:adjustRightInd w:val="0"/>
                    <w:snapToGrid w:val="0"/>
                    <w:spacing w:before="48" w:beforeLines="20" w:after="48" w:afterLines="20"/>
                    <w:jc w:val="center"/>
                    <w:rPr>
                      <w:color w:val="auto"/>
                      <w:kern w:val="0"/>
                      <w:szCs w:val="21"/>
                      <w:highlight w:val="none"/>
                    </w:rPr>
                  </w:pPr>
                  <w:r>
                    <w:rPr>
                      <w:color w:val="auto"/>
                      <w:kern w:val="0"/>
                      <w:szCs w:val="21"/>
                      <w:highlight w:val="none"/>
                    </w:rPr>
                    <w:t>污染物排放速率/（kg/h)</w:t>
                  </w:r>
                </w:p>
              </w:tc>
            </w:tr>
            <w:tr w14:paraId="2C206BE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406" w:hRule="atLeast"/>
              </w:trPr>
              <w:tc>
                <w:tcPr>
                  <w:tcW w:w="934" w:type="dxa"/>
                  <w:vMerge w:val="continue"/>
                  <w:vAlign w:val="center"/>
                </w:tcPr>
                <w:p w14:paraId="1544F7BF">
                  <w:pPr>
                    <w:widowControl/>
                    <w:adjustRightInd w:val="0"/>
                    <w:snapToGrid w:val="0"/>
                    <w:spacing w:before="48" w:beforeLines="20" w:after="48" w:afterLines="20"/>
                    <w:jc w:val="center"/>
                    <w:rPr>
                      <w:color w:val="auto"/>
                      <w:kern w:val="0"/>
                      <w:szCs w:val="21"/>
                      <w:highlight w:val="none"/>
                    </w:rPr>
                  </w:pPr>
                </w:p>
              </w:tc>
              <w:tc>
                <w:tcPr>
                  <w:tcW w:w="760" w:type="dxa"/>
                  <w:vAlign w:val="center"/>
                </w:tcPr>
                <w:p w14:paraId="11E12A1D">
                  <w:pPr>
                    <w:widowControl/>
                    <w:adjustRightInd w:val="0"/>
                    <w:snapToGrid w:val="0"/>
                    <w:spacing w:before="48" w:beforeLines="20" w:after="48" w:afterLines="20"/>
                    <w:jc w:val="center"/>
                    <w:rPr>
                      <w:color w:val="auto"/>
                      <w:kern w:val="0"/>
                      <w:szCs w:val="21"/>
                      <w:highlight w:val="none"/>
                    </w:rPr>
                  </w:pPr>
                  <w:r>
                    <w:rPr>
                      <w:color w:val="auto"/>
                      <w:kern w:val="0"/>
                      <w:szCs w:val="21"/>
                      <w:highlight w:val="none"/>
                    </w:rPr>
                    <w:t>X</w:t>
                  </w:r>
                </w:p>
              </w:tc>
              <w:tc>
                <w:tcPr>
                  <w:tcW w:w="832" w:type="dxa"/>
                  <w:vAlign w:val="center"/>
                </w:tcPr>
                <w:p w14:paraId="06195834">
                  <w:pPr>
                    <w:widowControl/>
                    <w:adjustRightInd w:val="0"/>
                    <w:snapToGrid w:val="0"/>
                    <w:spacing w:before="48" w:beforeLines="20" w:after="48" w:afterLines="20"/>
                    <w:jc w:val="center"/>
                    <w:rPr>
                      <w:color w:val="auto"/>
                      <w:kern w:val="0"/>
                      <w:szCs w:val="21"/>
                      <w:highlight w:val="none"/>
                    </w:rPr>
                  </w:pPr>
                  <w:r>
                    <w:rPr>
                      <w:color w:val="auto"/>
                      <w:kern w:val="0"/>
                      <w:szCs w:val="21"/>
                      <w:highlight w:val="none"/>
                    </w:rPr>
                    <w:t>Y</w:t>
                  </w:r>
                </w:p>
              </w:tc>
              <w:tc>
                <w:tcPr>
                  <w:tcW w:w="830" w:type="dxa"/>
                  <w:vMerge w:val="continue"/>
                  <w:vAlign w:val="center"/>
                </w:tcPr>
                <w:p w14:paraId="1559892D">
                  <w:pPr>
                    <w:widowControl/>
                    <w:adjustRightInd w:val="0"/>
                    <w:snapToGrid w:val="0"/>
                    <w:spacing w:before="48" w:beforeLines="20" w:after="48" w:afterLines="20"/>
                    <w:jc w:val="left"/>
                    <w:rPr>
                      <w:color w:val="auto"/>
                      <w:kern w:val="0"/>
                      <w:szCs w:val="21"/>
                      <w:highlight w:val="none"/>
                    </w:rPr>
                  </w:pPr>
                </w:p>
              </w:tc>
              <w:tc>
                <w:tcPr>
                  <w:tcW w:w="561" w:type="dxa"/>
                  <w:vMerge w:val="continue"/>
                  <w:vAlign w:val="center"/>
                </w:tcPr>
                <w:p w14:paraId="26F0455D">
                  <w:pPr>
                    <w:widowControl/>
                    <w:adjustRightInd w:val="0"/>
                    <w:snapToGrid w:val="0"/>
                    <w:spacing w:before="48" w:beforeLines="20" w:after="48" w:afterLines="20"/>
                    <w:jc w:val="left"/>
                    <w:rPr>
                      <w:color w:val="auto"/>
                      <w:kern w:val="0"/>
                      <w:szCs w:val="21"/>
                      <w:highlight w:val="none"/>
                    </w:rPr>
                  </w:pPr>
                </w:p>
              </w:tc>
              <w:tc>
                <w:tcPr>
                  <w:tcW w:w="561" w:type="dxa"/>
                  <w:vMerge w:val="continue"/>
                  <w:vAlign w:val="center"/>
                </w:tcPr>
                <w:p w14:paraId="6AA1B53C">
                  <w:pPr>
                    <w:widowControl/>
                    <w:adjustRightInd w:val="0"/>
                    <w:snapToGrid w:val="0"/>
                    <w:spacing w:before="48" w:beforeLines="20" w:after="48" w:afterLines="20"/>
                    <w:jc w:val="left"/>
                    <w:rPr>
                      <w:color w:val="auto"/>
                      <w:kern w:val="0"/>
                      <w:szCs w:val="21"/>
                      <w:highlight w:val="none"/>
                    </w:rPr>
                  </w:pPr>
                </w:p>
              </w:tc>
              <w:tc>
                <w:tcPr>
                  <w:tcW w:w="744" w:type="dxa"/>
                  <w:vMerge w:val="continue"/>
                  <w:vAlign w:val="center"/>
                </w:tcPr>
                <w:p w14:paraId="58B29E54">
                  <w:pPr>
                    <w:widowControl/>
                    <w:adjustRightInd w:val="0"/>
                    <w:snapToGrid w:val="0"/>
                    <w:spacing w:before="48" w:beforeLines="20" w:after="48" w:afterLines="20"/>
                    <w:jc w:val="left"/>
                    <w:rPr>
                      <w:color w:val="auto"/>
                      <w:kern w:val="0"/>
                      <w:szCs w:val="21"/>
                      <w:highlight w:val="none"/>
                    </w:rPr>
                  </w:pPr>
                </w:p>
              </w:tc>
              <w:tc>
                <w:tcPr>
                  <w:tcW w:w="752" w:type="dxa"/>
                  <w:vMerge w:val="continue"/>
                  <w:vAlign w:val="center"/>
                </w:tcPr>
                <w:p w14:paraId="5770ED0F">
                  <w:pPr>
                    <w:widowControl/>
                    <w:adjustRightInd w:val="0"/>
                    <w:snapToGrid w:val="0"/>
                    <w:spacing w:before="48" w:beforeLines="20" w:after="48" w:afterLines="20"/>
                    <w:jc w:val="left"/>
                    <w:rPr>
                      <w:color w:val="auto"/>
                      <w:kern w:val="0"/>
                      <w:szCs w:val="21"/>
                      <w:highlight w:val="none"/>
                    </w:rPr>
                  </w:pPr>
                </w:p>
              </w:tc>
              <w:tc>
                <w:tcPr>
                  <w:tcW w:w="723" w:type="dxa"/>
                  <w:vMerge w:val="continue"/>
                  <w:vAlign w:val="center"/>
                </w:tcPr>
                <w:p w14:paraId="22432B8C">
                  <w:pPr>
                    <w:widowControl/>
                    <w:adjustRightInd w:val="0"/>
                    <w:snapToGrid w:val="0"/>
                    <w:spacing w:before="48" w:beforeLines="20" w:after="48" w:afterLines="20"/>
                    <w:jc w:val="left"/>
                    <w:rPr>
                      <w:color w:val="auto"/>
                      <w:kern w:val="0"/>
                      <w:szCs w:val="21"/>
                      <w:highlight w:val="none"/>
                    </w:rPr>
                  </w:pPr>
                </w:p>
              </w:tc>
              <w:tc>
                <w:tcPr>
                  <w:tcW w:w="618" w:type="dxa"/>
                  <w:vMerge w:val="continue"/>
                  <w:vAlign w:val="center"/>
                </w:tcPr>
                <w:p w14:paraId="05EA5E33">
                  <w:pPr>
                    <w:widowControl/>
                    <w:adjustRightInd w:val="0"/>
                    <w:snapToGrid w:val="0"/>
                    <w:spacing w:before="48" w:beforeLines="20" w:after="48" w:afterLines="20"/>
                    <w:jc w:val="left"/>
                    <w:rPr>
                      <w:color w:val="auto"/>
                      <w:kern w:val="0"/>
                      <w:szCs w:val="21"/>
                      <w:highlight w:val="none"/>
                    </w:rPr>
                  </w:pPr>
                </w:p>
              </w:tc>
              <w:tc>
                <w:tcPr>
                  <w:tcW w:w="611" w:type="dxa"/>
                  <w:tcBorders>
                    <w:right w:val="single" w:color="auto" w:sz="4" w:space="0"/>
                  </w:tcBorders>
                  <w:vAlign w:val="center"/>
                </w:tcPr>
                <w:p w14:paraId="0B2C70D2">
                  <w:pPr>
                    <w:widowControl/>
                    <w:adjustRightInd w:val="0"/>
                    <w:snapToGrid w:val="0"/>
                    <w:spacing w:before="48" w:beforeLines="20" w:after="48" w:afterLines="20"/>
                    <w:jc w:val="center"/>
                    <w:rPr>
                      <w:color w:val="auto"/>
                      <w:kern w:val="0"/>
                      <w:szCs w:val="21"/>
                      <w:highlight w:val="none"/>
                    </w:rPr>
                  </w:pPr>
                  <w:r>
                    <w:rPr>
                      <w:color w:val="auto"/>
                      <w:szCs w:val="21"/>
                      <w:highlight w:val="none"/>
                    </w:rPr>
                    <w:t>NH</w:t>
                  </w:r>
                  <w:r>
                    <w:rPr>
                      <w:color w:val="auto"/>
                      <w:szCs w:val="21"/>
                      <w:highlight w:val="none"/>
                      <w:vertAlign w:val="subscript"/>
                    </w:rPr>
                    <w:t>3</w:t>
                  </w:r>
                </w:p>
              </w:tc>
              <w:tc>
                <w:tcPr>
                  <w:tcW w:w="569" w:type="dxa"/>
                  <w:tcBorders>
                    <w:left w:val="single" w:color="auto" w:sz="4" w:space="0"/>
                  </w:tcBorders>
                  <w:vAlign w:val="center"/>
                </w:tcPr>
                <w:p w14:paraId="42F0D4CC">
                  <w:pPr>
                    <w:widowControl/>
                    <w:adjustRightInd w:val="0"/>
                    <w:snapToGrid w:val="0"/>
                    <w:spacing w:before="48" w:beforeLines="20" w:after="48" w:afterLines="20"/>
                    <w:jc w:val="center"/>
                    <w:rPr>
                      <w:color w:val="auto"/>
                      <w:kern w:val="0"/>
                      <w:szCs w:val="21"/>
                      <w:highlight w:val="none"/>
                    </w:rPr>
                  </w:pPr>
                  <w:r>
                    <w:rPr>
                      <w:color w:val="auto"/>
                      <w:kern w:val="0"/>
                      <w:szCs w:val="21"/>
                      <w:highlight w:val="none"/>
                    </w:rPr>
                    <w:t>H</w:t>
                  </w:r>
                  <w:r>
                    <w:rPr>
                      <w:color w:val="auto"/>
                      <w:kern w:val="0"/>
                      <w:szCs w:val="21"/>
                      <w:highlight w:val="none"/>
                      <w:vertAlign w:val="subscript"/>
                    </w:rPr>
                    <w:t>2</w:t>
                  </w:r>
                  <w:r>
                    <w:rPr>
                      <w:color w:val="auto"/>
                      <w:kern w:val="0"/>
                      <w:szCs w:val="21"/>
                      <w:highlight w:val="none"/>
                    </w:rPr>
                    <w:t>S</w:t>
                  </w:r>
                </w:p>
              </w:tc>
            </w:tr>
            <w:tr w14:paraId="1018868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674" w:hRule="atLeast"/>
              </w:trPr>
              <w:tc>
                <w:tcPr>
                  <w:tcW w:w="934" w:type="dxa"/>
                  <w:vAlign w:val="center"/>
                </w:tcPr>
                <w:p w14:paraId="72D855EE">
                  <w:pPr>
                    <w:pStyle w:val="46"/>
                    <w:snapToGrid w:val="0"/>
                    <w:spacing w:before="48" w:beforeLines="20" w:after="48" w:afterLines="20"/>
                    <w:jc w:val="center"/>
                    <w:rPr>
                      <w:rFonts w:ascii="Times New Roman" w:cs="Times New Roman"/>
                      <w:color w:val="auto"/>
                      <w:sz w:val="21"/>
                      <w:szCs w:val="21"/>
                      <w:highlight w:val="none"/>
                    </w:rPr>
                  </w:pPr>
                  <w:r>
                    <w:rPr>
                      <w:rFonts w:hint="eastAsia" w:ascii="Times New Roman" w:cs="Times New Roman"/>
                      <w:color w:val="auto"/>
                      <w:sz w:val="21"/>
                      <w:szCs w:val="21"/>
                      <w:highlight w:val="none"/>
                    </w:rPr>
                    <w:t>污水</w:t>
                  </w:r>
                </w:p>
                <w:p w14:paraId="70658392">
                  <w:pPr>
                    <w:pStyle w:val="46"/>
                    <w:snapToGrid w:val="0"/>
                    <w:spacing w:before="48" w:beforeLines="20" w:after="48" w:afterLines="20"/>
                    <w:jc w:val="center"/>
                    <w:rPr>
                      <w:rFonts w:ascii="Times New Roman" w:cs="Times New Roman"/>
                      <w:color w:val="auto"/>
                      <w:sz w:val="21"/>
                      <w:szCs w:val="21"/>
                      <w:highlight w:val="none"/>
                    </w:rPr>
                  </w:pPr>
                  <w:r>
                    <w:rPr>
                      <w:rFonts w:hint="eastAsia" w:ascii="Times New Roman" w:cs="Times New Roman"/>
                      <w:color w:val="auto"/>
                      <w:sz w:val="21"/>
                      <w:szCs w:val="21"/>
                      <w:highlight w:val="none"/>
                    </w:rPr>
                    <w:t>处理站</w:t>
                  </w:r>
                </w:p>
              </w:tc>
              <w:tc>
                <w:tcPr>
                  <w:tcW w:w="760" w:type="dxa"/>
                  <w:vAlign w:val="center"/>
                </w:tcPr>
                <w:p w14:paraId="0175587A">
                  <w:pPr>
                    <w:pStyle w:val="46"/>
                    <w:snapToGrid w:val="0"/>
                    <w:spacing w:before="48" w:beforeLines="20" w:after="48" w:afterLines="20"/>
                    <w:jc w:val="center"/>
                    <w:rPr>
                      <w:rFonts w:ascii="Times New Roman" w:cs="Times New Roman"/>
                      <w:color w:val="auto"/>
                      <w:sz w:val="21"/>
                      <w:szCs w:val="21"/>
                      <w:highlight w:val="none"/>
                    </w:rPr>
                  </w:pPr>
                  <w:r>
                    <w:rPr>
                      <w:rFonts w:hint="eastAsia" w:ascii="Times New Roman" w:cs="Times New Roman"/>
                      <w:color w:val="auto"/>
                      <w:sz w:val="21"/>
                      <w:szCs w:val="21"/>
                      <w:highlight w:val="none"/>
                    </w:rPr>
                    <w:t>744545</w:t>
                  </w:r>
                </w:p>
              </w:tc>
              <w:tc>
                <w:tcPr>
                  <w:tcW w:w="832" w:type="dxa"/>
                  <w:vAlign w:val="center"/>
                </w:tcPr>
                <w:p w14:paraId="0DCFEB1C">
                  <w:pPr>
                    <w:pStyle w:val="46"/>
                    <w:snapToGrid w:val="0"/>
                    <w:spacing w:before="48" w:beforeLines="20" w:after="48" w:afterLines="20"/>
                    <w:jc w:val="center"/>
                    <w:rPr>
                      <w:rFonts w:ascii="Times New Roman" w:cs="Times New Roman"/>
                      <w:color w:val="auto"/>
                      <w:sz w:val="21"/>
                      <w:szCs w:val="21"/>
                      <w:highlight w:val="none"/>
                    </w:rPr>
                  </w:pPr>
                  <w:r>
                    <w:rPr>
                      <w:rFonts w:hint="eastAsia" w:ascii="Times New Roman" w:cs="Times New Roman"/>
                      <w:color w:val="auto"/>
                      <w:sz w:val="21"/>
                      <w:szCs w:val="21"/>
                      <w:highlight w:val="none"/>
                    </w:rPr>
                    <w:t>3677681</w:t>
                  </w:r>
                </w:p>
              </w:tc>
              <w:tc>
                <w:tcPr>
                  <w:tcW w:w="830" w:type="dxa"/>
                  <w:vAlign w:val="center"/>
                </w:tcPr>
                <w:p w14:paraId="7C7B39C8">
                  <w:pPr>
                    <w:widowControl/>
                    <w:adjustRightInd w:val="0"/>
                    <w:snapToGrid w:val="0"/>
                    <w:spacing w:before="48" w:beforeLines="20" w:after="48" w:afterLines="20"/>
                    <w:jc w:val="center"/>
                    <w:rPr>
                      <w:color w:val="auto"/>
                      <w:kern w:val="0"/>
                      <w:szCs w:val="21"/>
                      <w:highlight w:val="none"/>
                    </w:rPr>
                  </w:pPr>
                  <w:r>
                    <w:rPr>
                      <w:rFonts w:hint="eastAsia"/>
                      <w:color w:val="auto"/>
                      <w:kern w:val="0"/>
                      <w:szCs w:val="21"/>
                      <w:highlight w:val="none"/>
                    </w:rPr>
                    <w:t>458</w:t>
                  </w:r>
                </w:p>
              </w:tc>
              <w:tc>
                <w:tcPr>
                  <w:tcW w:w="561" w:type="dxa"/>
                  <w:vAlign w:val="center"/>
                </w:tcPr>
                <w:p w14:paraId="1E64A43C">
                  <w:pPr>
                    <w:widowControl/>
                    <w:adjustRightInd w:val="0"/>
                    <w:snapToGrid w:val="0"/>
                    <w:spacing w:before="48" w:beforeLines="20" w:after="48" w:afterLines="20"/>
                    <w:jc w:val="center"/>
                    <w:rPr>
                      <w:color w:val="auto"/>
                      <w:kern w:val="0"/>
                      <w:szCs w:val="21"/>
                      <w:highlight w:val="none"/>
                    </w:rPr>
                  </w:pPr>
                  <w:r>
                    <w:rPr>
                      <w:rFonts w:hint="eastAsia"/>
                      <w:color w:val="auto"/>
                      <w:kern w:val="0"/>
                      <w:szCs w:val="21"/>
                      <w:highlight w:val="none"/>
                    </w:rPr>
                    <w:t>90</w:t>
                  </w:r>
                </w:p>
              </w:tc>
              <w:tc>
                <w:tcPr>
                  <w:tcW w:w="561" w:type="dxa"/>
                  <w:vAlign w:val="center"/>
                </w:tcPr>
                <w:p w14:paraId="15FD4354">
                  <w:pPr>
                    <w:widowControl/>
                    <w:adjustRightInd w:val="0"/>
                    <w:snapToGrid w:val="0"/>
                    <w:spacing w:before="48" w:beforeLines="20" w:after="48" w:afterLines="20"/>
                    <w:jc w:val="center"/>
                    <w:rPr>
                      <w:color w:val="auto"/>
                      <w:kern w:val="0"/>
                      <w:szCs w:val="21"/>
                      <w:highlight w:val="none"/>
                    </w:rPr>
                  </w:pPr>
                  <w:r>
                    <w:rPr>
                      <w:rFonts w:hint="eastAsia"/>
                      <w:color w:val="auto"/>
                      <w:kern w:val="0"/>
                      <w:szCs w:val="21"/>
                      <w:highlight w:val="none"/>
                    </w:rPr>
                    <w:t>10</w:t>
                  </w:r>
                </w:p>
              </w:tc>
              <w:tc>
                <w:tcPr>
                  <w:tcW w:w="744" w:type="dxa"/>
                  <w:vAlign w:val="center"/>
                </w:tcPr>
                <w:p w14:paraId="300CA377">
                  <w:pPr>
                    <w:widowControl/>
                    <w:adjustRightInd w:val="0"/>
                    <w:snapToGrid w:val="0"/>
                    <w:spacing w:before="48" w:beforeLines="20" w:after="48" w:afterLines="20"/>
                    <w:jc w:val="center"/>
                    <w:rPr>
                      <w:color w:val="auto"/>
                      <w:kern w:val="0"/>
                      <w:szCs w:val="21"/>
                      <w:highlight w:val="none"/>
                    </w:rPr>
                  </w:pPr>
                  <w:r>
                    <w:rPr>
                      <w:rFonts w:hint="eastAsia"/>
                      <w:color w:val="auto"/>
                      <w:kern w:val="0"/>
                      <w:szCs w:val="21"/>
                      <w:highlight w:val="none"/>
                    </w:rPr>
                    <w:t>5</w:t>
                  </w:r>
                </w:p>
              </w:tc>
              <w:tc>
                <w:tcPr>
                  <w:tcW w:w="752" w:type="dxa"/>
                  <w:vAlign w:val="center"/>
                </w:tcPr>
                <w:p w14:paraId="6FE7DDAD">
                  <w:pPr>
                    <w:widowControl/>
                    <w:adjustRightInd w:val="0"/>
                    <w:snapToGrid w:val="0"/>
                    <w:spacing w:before="48" w:beforeLines="20" w:after="48" w:afterLines="20"/>
                    <w:jc w:val="center"/>
                    <w:rPr>
                      <w:color w:val="auto"/>
                      <w:kern w:val="0"/>
                      <w:szCs w:val="21"/>
                      <w:highlight w:val="none"/>
                    </w:rPr>
                  </w:pPr>
                  <w:r>
                    <w:rPr>
                      <w:rFonts w:hint="eastAsia"/>
                      <w:color w:val="auto"/>
                      <w:kern w:val="0"/>
                      <w:szCs w:val="21"/>
                      <w:highlight w:val="none"/>
                      <w:lang w:val="en-US" w:eastAsia="zh-CN"/>
                    </w:rPr>
                    <w:t>2</w:t>
                  </w:r>
                </w:p>
              </w:tc>
              <w:tc>
                <w:tcPr>
                  <w:tcW w:w="723" w:type="dxa"/>
                  <w:vAlign w:val="center"/>
                </w:tcPr>
                <w:p w14:paraId="2D3020B2">
                  <w:pPr>
                    <w:widowControl/>
                    <w:adjustRightInd w:val="0"/>
                    <w:snapToGrid w:val="0"/>
                    <w:spacing w:before="48" w:beforeLines="20" w:after="48" w:afterLines="20"/>
                    <w:jc w:val="center"/>
                    <w:rPr>
                      <w:color w:val="auto"/>
                      <w:kern w:val="0"/>
                      <w:szCs w:val="21"/>
                      <w:highlight w:val="none"/>
                    </w:rPr>
                  </w:pPr>
                  <w:r>
                    <w:rPr>
                      <w:rFonts w:hint="eastAsia"/>
                      <w:color w:val="auto"/>
                      <w:kern w:val="0"/>
                      <w:szCs w:val="21"/>
                      <w:highlight w:val="none"/>
                    </w:rPr>
                    <w:t>7200</w:t>
                  </w:r>
                </w:p>
              </w:tc>
              <w:tc>
                <w:tcPr>
                  <w:tcW w:w="618" w:type="dxa"/>
                  <w:vAlign w:val="center"/>
                </w:tcPr>
                <w:p w14:paraId="2A632767">
                  <w:pPr>
                    <w:widowControl/>
                    <w:adjustRightInd w:val="0"/>
                    <w:snapToGrid w:val="0"/>
                    <w:spacing w:before="48" w:beforeLines="20" w:after="48" w:afterLines="20"/>
                    <w:jc w:val="center"/>
                    <w:rPr>
                      <w:color w:val="auto"/>
                      <w:kern w:val="0"/>
                      <w:szCs w:val="21"/>
                      <w:highlight w:val="none"/>
                    </w:rPr>
                  </w:pPr>
                  <w:r>
                    <w:rPr>
                      <w:color w:val="auto"/>
                      <w:kern w:val="0"/>
                      <w:szCs w:val="21"/>
                      <w:highlight w:val="none"/>
                    </w:rPr>
                    <w:t>正常</w:t>
                  </w:r>
                </w:p>
              </w:tc>
              <w:tc>
                <w:tcPr>
                  <w:tcW w:w="611" w:type="dxa"/>
                  <w:tcBorders>
                    <w:right w:val="single" w:color="auto" w:sz="4" w:space="0"/>
                  </w:tcBorders>
                  <w:vAlign w:val="center"/>
                </w:tcPr>
                <w:p w14:paraId="38EB72FC">
                  <w:pPr>
                    <w:widowControl/>
                    <w:adjustRightInd w:val="0"/>
                    <w:snapToGrid w:val="0"/>
                    <w:spacing w:before="48" w:beforeLines="20" w:after="48" w:afterLines="20"/>
                    <w:jc w:val="center"/>
                    <w:rPr>
                      <w:color w:val="auto"/>
                      <w:kern w:val="0"/>
                      <w:szCs w:val="21"/>
                      <w:highlight w:val="none"/>
                    </w:rPr>
                  </w:pPr>
                  <w:r>
                    <w:rPr>
                      <w:rFonts w:hint="eastAsia"/>
                      <w:color w:val="auto"/>
                      <w:kern w:val="0"/>
                      <w:szCs w:val="21"/>
                      <w:highlight w:val="none"/>
                    </w:rPr>
                    <w:t>0.0011625</w:t>
                  </w:r>
                </w:p>
              </w:tc>
              <w:tc>
                <w:tcPr>
                  <w:tcW w:w="569" w:type="dxa"/>
                  <w:tcBorders>
                    <w:left w:val="single" w:color="auto" w:sz="4" w:space="0"/>
                  </w:tcBorders>
                  <w:vAlign w:val="center"/>
                </w:tcPr>
                <w:p w14:paraId="3BA6FBD9">
                  <w:pPr>
                    <w:widowControl/>
                    <w:adjustRightInd w:val="0"/>
                    <w:snapToGrid w:val="0"/>
                    <w:spacing w:before="48" w:beforeLines="20" w:after="48" w:afterLines="20"/>
                    <w:jc w:val="center"/>
                    <w:rPr>
                      <w:color w:val="auto"/>
                      <w:kern w:val="0"/>
                      <w:szCs w:val="21"/>
                      <w:highlight w:val="none"/>
                    </w:rPr>
                  </w:pPr>
                  <w:r>
                    <w:rPr>
                      <w:rFonts w:hint="eastAsia"/>
                      <w:color w:val="auto"/>
                      <w:kern w:val="0"/>
                      <w:szCs w:val="21"/>
                      <w:highlight w:val="none"/>
                    </w:rPr>
                    <w:t>0.0000045</w:t>
                  </w:r>
                </w:p>
              </w:tc>
            </w:tr>
          </w:tbl>
          <w:p w14:paraId="17EEBD72">
            <w:pPr>
              <w:snapToGrid w:val="0"/>
              <w:spacing w:line="360" w:lineRule="auto"/>
              <w:ind w:firstLine="480" w:firstLineChars="200"/>
              <w:rPr>
                <w:b/>
                <w:color w:val="auto"/>
                <w:szCs w:val="21"/>
                <w:highlight w:val="none"/>
              </w:rPr>
            </w:pPr>
            <w:r>
              <w:rPr>
                <w:bCs/>
                <w:color w:val="auto"/>
                <w:sz w:val="24"/>
                <w:highlight w:val="none"/>
              </w:rPr>
              <w:t>估算结果如下表所示：</w:t>
            </w:r>
          </w:p>
          <w:p w14:paraId="3CE6794F">
            <w:pPr>
              <w:snapToGrid w:val="0"/>
              <w:jc w:val="center"/>
              <w:rPr>
                <w:b/>
                <w:color w:val="auto"/>
                <w:szCs w:val="21"/>
                <w:highlight w:val="none"/>
              </w:rPr>
            </w:pPr>
            <w:r>
              <w:rPr>
                <w:b/>
                <w:color w:val="auto"/>
                <w:szCs w:val="21"/>
                <w:highlight w:val="none"/>
              </w:rPr>
              <w:t>表4-</w:t>
            </w:r>
            <w:r>
              <w:rPr>
                <w:rFonts w:hint="eastAsia"/>
                <w:b/>
                <w:color w:val="auto"/>
                <w:szCs w:val="21"/>
                <w:highlight w:val="none"/>
              </w:rPr>
              <w:t>4</w:t>
            </w:r>
            <w:r>
              <w:rPr>
                <w:b/>
                <w:color w:val="auto"/>
                <w:szCs w:val="21"/>
                <w:highlight w:val="none"/>
              </w:rPr>
              <w:t xml:space="preserve">  </w:t>
            </w:r>
            <w:r>
              <w:rPr>
                <w:rFonts w:hint="eastAsia"/>
                <w:b/>
                <w:color w:val="auto"/>
                <w:szCs w:val="21"/>
                <w:highlight w:val="none"/>
              </w:rPr>
              <w:t>厂区污水处理站恶臭</w:t>
            </w:r>
            <w:r>
              <w:rPr>
                <w:b/>
                <w:color w:val="auto"/>
                <w:szCs w:val="21"/>
                <w:highlight w:val="none"/>
              </w:rPr>
              <w:t>排放源估算模型计算结果表</w:t>
            </w:r>
          </w:p>
          <w:tbl>
            <w:tblPr>
              <w:tblStyle w:val="35"/>
              <w:tblW w:w="8491"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 w:type="dxa"/>
                <w:bottom w:w="0" w:type="dxa"/>
                <w:right w:w="10" w:type="dxa"/>
              </w:tblCellMar>
            </w:tblPr>
            <w:tblGrid>
              <w:gridCol w:w="2416"/>
              <w:gridCol w:w="1129"/>
              <w:gridCol w:w="2490"/>
              <w:gridCol w:w="2456"/>
            </w:tblGrid>
            <w:tr w14:paraId="46DAB4D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 w:type="dxa"/>
                  <w:bottom w:w="0" w:type="dxa"/>
                  <w:right w:w="10" w:type="dxa"/>
                </w:tblCellMar>
              </w:tblPrEx>
              <w:trPr>
                <w:trHeight w:val="436" w:hRule="exact"/>
                <w:jc w:val="center"/>
              </w:trPr>
              <w:tc>
                <w:tcPr>
                  <w:tcW w:w="2416" w:type="dxa"/>
                  <w:vAlign w:val="center"/>
                </w:tcPr>
                <w:p w14:paraId="70C89CB2">
                  <w:pPr>
                    <w:snapToGrid w:val="0"/>
                    <w:spacing w:before="48" w:beforeLines="20" w:after="48" w:afterLines="20"/>
                    <w:jc w:val="center"/>
                    <w:rPr>
                      <w:color w:val="auto"/>
                      <w:szCs w:val="21"/>
                      <w:highlight w:val="none"/>
                    </w:rPr>
                  </w:pPr>
                  <w:r>
                    <w:rPr>
                      <w:color w:val="auto"/>
                      <w:szCs w:val="21"/>
                      <w:highlight w:val="none"/>
                    </w:rPr>
                    <w:t>污染源</w:t>
                  </w:r>
                </w:p>
              </w:tc>
              <w:tc>
                <w:tcPr>
                  <w:tcW w:w="1129" w:type="dxa"/>
                  <w:vAlign w:val="center"/>
                </w:tcPr>
                <w:p w14:paraId="5B304010">
                  <w:pPr>
                    <w:snapToGrid w:val="0"/>
                    <w:spacing w:before="48" w:beforeLines="20" w:after="48" w:afterLines="20"/>
                    <w:jc w:val="center"/>
                    <w:rPr>
                      <w:color w:val="auto"/>
                      <w:szCs w:val="21"/>
                      <w:highlight w:val="none"/>
                    </w:rPr>
                  </w:pPr>
                  <w:r>
                    <w:rPr>
                      <w:color w:val="auto"/>
                      <w:szCs w:val="21"/>
                      <w:highlight w:val="none"/>
                    </w:rPr>
                    <w:t>污染物</w:t>
                  </w:r>
                </w:p>
              </w:tc>
              <w:tc>
                <w:tcPr>
                  <w:tcW w:w="2490" w:type="dxa"/>
                  <w:vAlign w:val="center"/>
                </w:tcPr>
                <w:p w14:paraId="65169920">
                  <w:pPr>
                    <w:snapToGrid w:val="0"/>
                    <w:spacing w:before="48" w:beforeLines="20" w:after="48" w:afterLines="20"/>
                    <w:jc w:val="center"/>
                    <w:rPr>
                      <w:color w:val="auto"/>
                      <w:szCs w:val="21"/>
                      <w:highlight w:val="none"/>
                    </w:rPr>
                  </w:pPr>
                  <w:r>
                    <w:rPr>
                      <w:color w:val="auto"/>
                      <w:szCs w:val="21"/>
                      <w:highlight w:val="none"/>
                    </w:rPr>
                    <w:t>最大落地浓度距离（m）</w:t>
                  </w:r>
                </w:p>
              </w:tc>
              <w:tc>
                <w:tcPr>
                  <w:tcW w:w="2456" w:type="dxa"/>
                  <w:vAlign w:val="center"/>
                </w:tcPr>
                <w:p w14:paraId="2EFD4F5F">
                  <w:pPr>
                    <w:snapToGrid w:val="0"/>
                    <w:spacing w:before="48" w:beforeLines="20" w:after="48" w:afterLines="20"/>
                    <w:jc w:val="center"/>
                    <w:rPr>
                      <w:color w:val="auto"/>
                      <w:szCs w:val="21"/>
                      <w:highlight w:val="none"/>
                    </w:rPr>
                  </w:pPr>
                  <w:r>
                    <w:rPr>
                      <w:color w:val="auto"/>
                      <w:szCs w:val="21"/>
                      <w:highlight w:val="none"/>
                    </w:rPr>
                    <w:t>最大落地浓度（μ</w:t>
                  </w:r>
                  <w:r>
                    <w:rPr>
                      <w:rFonts w:hint="eastAsia"/>
                      <w:color w:val="auto"/>
                      <w:szCs w:val="21"/>
                      <w:highlight w:val="none"/>
                    </w:rPr>
                    <w:t>g/m</w:t>
                  </w:r>
                  <w:r>
                    <w:rPr>
                      <w:rFonts w:hint="eastAsia"/>
                      <w:color w:val="auto"/>
                      <w:szCs w:val="21"/>
                      <w:highlight w:val="none"/>
                      <w:vertAlign w:val="superscript"/>
                    </w:rPr>
                    <w:t>3</w:t>
                  </w:r>
                  <w:r>
                    <w:rPr>
                      <w:color w:val="auto"/>
                      <w:szCs w:val="21"/>
                      <w:highlight w:val="none"/>
                    </w:rPr>
                    <w:t>）</w:t>
                  </w:r>
                </w:p>
              </w:tc>
            </w:tr>
            <w:tr w14:paraId="598498B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 w:type="dxa"/>
                  <w:bottom w:w="0" w:type="dxa"/>
                  <w:right w:w="10" w:type="dxa"/>
                </w:tblCellMar>
              </w:tblPrEx>
              <w:trPr>
                <w:trHeight w:val="340" w:hRule="exact"/>
                <w:jc w:val="center"/>
              </w:trPr>
              <w:tc>
                <w:tcPr>
                  <w:tcW w:w="2416" w:type="dxa"/>
                  <w:vMerge w:val="restart"/>
                  <w:vAlign w:val="center"/>
                </w:tcPr>
                <w:p w14:paraId="4F57B6CD">
                  <w:pPr>
                    <w:pStyle w:val="46"/>
                    <w:snapToGrid w:val="0"/>
                    <w:spacing w:before="48" w:beforeLines="20" w:after="48" w:afterLines="20"/>
                    <w:jc w:val="center"/>
                    <w:rPr>
                      <w:rFonts w:ascii="Times New Roman" w:cs="Times New Roman"/>
                      <w:color w:val="auto"/>
                      <w:szCs w:val="21"/>
                      <w:highlight w:val="none"/>
                    </w:rPr>
                  </w:pPr>
                  <w:r>
                    <w:rPr>
                      <w:rFonts w:hint="eastAsia" w:ascii="Times New Roman" w:cs="Times New Roman"/>
                      <w:color w:val="auto"/>
                      <w:sz w:val="21"/>
                      <w:szCs w:val="21"/>
                      <w:highlight w:val="none"/>
                    </w:rPr>
                    <w:t>污水处理站</w:t>
                  </w:r>
                </w:p>
              </w:tc>
              <w:tc>
                <w:tcPr>
                  <w:tcW w:w="1129" w:type="dxa"/>
                  <w:vAlign w:val="center"/>
                </w:tcPr>
                <w:p w14:paraId="730CC07E">
                  <w:pPr>
                    <w:snapToGrid w:val="0"/>
                    <w:spacing w:before="48" w:beforeLines="20" w:after="48" w:afterLines="20"/>
                    <w:jc w:val="center"/>
                    <w:rPr>
                      <w:color w:val="auto"/>
                      <w:szCs w:val="21"/>
                      <w:highlight w:val="none"/>
                    </w:rPr>
                  </w:pPr>
                  <w:r>
                    <w:rPr>
                      <w:color w:val="auto"/>
                      <w:szCs w:val="21"/>
                      <w:highlight w:val="none"/>
                    </w:rPr>
                    <w:t>NH</w:t>
                  </w:r>
                  <w:r>
                    <w:rPr>
                      <w:color w:val="auto"/>
                      <w:szCs w:val="21"/>
                      <w:highlight w:val="none"/>
                      <w:vertAlign w:val="subscript"/>
                    </w:rPr>
                    <w:t>3</w:t>
                  </w:r>
                </w:p>
              </w:tc>
              <w:tc>
                <w:tcPr>
                  <w:tcW w:w="2490" w:type="dxa"/>
                  <w:vAlign w:val="center"/>
                </w:tcPr>
                <w:p w14:paraId="4B41A2CD">
                  <w:pPr>
                    <w:widowControl/>
                    <w:spacing w:before="48" w:beforeLines="20" w:after="48" w:afterLines="20"/>
                    <w:jc w:val="center"/>
                    <w:textAlignment w:val="center"/>
                    <w:rPr>
                      <w:color w:val="auto"/>
                      <w:szCs w:val="21"/>
                      <w:highlight w:val="none"/>
                    </w:rPr>
                  </w:pPr>
                  <w:r>
                    <w:rPr>
                      <w:rFonts w:hint="eastAsia"/>
                      <w:color w:val="auto"/>
                      <w:szCs w:val="21"/>
                      <w:highlight w:val="none"/>
                    </w:rPr>
                    <w:t>10</w:t>
                  </w:r>
                </w:p>
              </w:tc>
              <w:tc>
                <w:tcPr>
                  <w:tcW w:w="2456" w:type="dxa"/>
                  <w:vAlign w:val="center"/>
                </w:tcPr>
                <w:p w14:paraId="300F6439">
                  <w:pPr>
                    <w:adjustRightInd w:val="0"/>
                    <w:snapToGrid w:val="0"/>
                    <w:spacing w:before="48" w:beforeLines="20" w:after="48" w:afterLines="20"/>
                    <w:jc w:val="center"/>
                    <w:rPr>
                      <w:color w:val="auto"/>
                      <w:szCs w:val="21"/>
                      <w:highlight w:val="none"/>
                    </w:rPr>
                  </w:pPr>
                  <w:r>
                    <w:rPr>
                      <w:rFonts w:hint="eastAsia"/>
                      <w:color w:val="auto"/>
                      <w:szCs w:val="21"/>
                      <w:highlight w:val="none"/>
                    </w:rPr>
                    <w:t>13.335</w:t>
                  </w:r>
                </w:p>
              </w:tc>
            </w:tr>
            <w:tr w14:paraId="7E276B5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 w:type="dxa"/>
                  <w:bottom w:w="0" w:type="dxa"/>
                  <w:right w:w="10" w:type="dxa"/>
                </w:tblCellMar>
              </w:tblPrEx>
              <w:trPr>
                <w:trHeight w:val="340" w:hRule="exact"/>
                <w:jc w:val="center"/>
              </w:trPr>
              <w:tc>
                <w:tcPr>
                  <w:tcW w:w="2416" w:type="dxa"/>
                  <w:vMerge w:val="continue"/>
                  <w:vAlign w:val="center"/>
                </w:tcPr>
                <w:p w14:paraId="4EE2FB7E">
                  <w:pPr>
                    <w:pStyle w:val="46"/>
                    <w:snapToGrid w:val="0"/>
                    <w:spacing w:before="48" w:beforeLines="20" w:after="48" w:afterLines="20"/>
                    <w:jc w:val="center"/>
                    <w:rPr>
                      <w:rFonts w:ascii="Times New Roman" w:cs="Times New Roman"/>
                      <w:color w:val="auto"/>
                      <w:sz w:val="21"/>
                      <w:szCs w:val="21"/>
                      <w:highlight w:val="none"/>
                    </w:rPr>
                  </w:pPr>
                </w:p>
              </w:tc>
              <w:tc>
                <w:tcPr>
                  <w:tcW w:w="1129" w:type="dxa"/>
                  <w:vAlign w:val="center"/>
                </w:tcPr>
                <w:p w14:paraId="74D70343">
                  <w:pPr>
                    <w:snapToGrid w:val="0"/>
                    <w:spacing w:before="48" w:beforeLines="20" w:after="48" w:afterLines="20"/>
                    <w:jc w:val="center"/>
                    <w:rPr>
                      <w:color w:val="auto"/>
                      <w:szCs w:val="21"/>
                      <w:highlight w:val="none"/>
                    </w:rPr>
                  </w:pPr>
                  <w:r>
                    <w:rPr>
                      <w:color w:val="auto"/>
                      <w:szCs w:val="21"/>
                      <w:highlight w:val="none"/>
                    </w:rPr>
                    <w:t>H</w:t>
                  </w:r>
                  <w:r>
                    <w:rPr>
                      <w:color w:val="auto"/>
                      <w:szCs w:val="21"/>
                      <w:highlight w:val="none"/>
                      <w:vertAlign w:val="subscript"/>
                    </w:rPr>
                    <w:t>2</w:t>
                  </w:r>
                  <w:r>
                    <w:rPr>
                      <w:color w:val="auto"/>
                      <w:szCs w:val="21"/>
                      <w:highlight w:val="none"/>
                    </w:rPr>
                    <w:t>S</w:t>
                  </w:r>
                </w:p>
              </w:tc>
              <w:tc>
                <w:tcPr>
                  <w:tcW w:w="2490" w:type="dxa"/>
                  <w:vAlign w:val="center"/>
                </w:tcPr>
                <w:p w14:paraId="77A51028">
                  <w:pPr>
                    <w:widowControl/>
                    <w:spacing w:before="48" w:beforeLines="20" w:after="48" w:afterLines="20"/>
                    <w:jc w:val="center"/>
                    <w:textAlignment w:val="center"/>
                    <w:rPr>
                      <w:color w:val="auto"/>
                      <w:szCs w:val="21"/>
                      <w:highlight w:val="none"/>
                    </w:rPr>
                  </w:pPr>
                  <w:r>
                    <w:rPr>
                      <w:rFonts w:hint="eastAsia"/>
                      <w:color w:val="auto"/>
                      <w:szCs w:val="21"/>
                      <w:highlight w:val="none"/>
                    </w:rPr>
                    <w:t>10</w:t>
                  </w:r>
                </w:p>
              </w:tc>
              <w:tc>
                <w:tcPr>
                  <w:tcW w:w="2456" w:type="dxa"/>
                  <w:vAlign w:val="center"/>
                </w:tcPr>
                <w:p w14:paraId="1269C140">
                  <w:pPr>
                    <w:adjustRightInd w:val="0"/>
                    <w:snapToGrid w:val="0"/>
                    <w:spacing w:before="48" w:beforeLines="20" w:after="48" w:afterLines="20"/>
                    <w:jc w:val="center"/>
                    <w:rPr>
                      <w:color w:val="auto"/>
                      <w:szCs w:val="21"/>
                      <w:highlight w:val="none"/>
                    </w:rPr>
                  </w:pPr>
                  <w:r>
                    <w:rPr>
                      <w:rFonts w:hint="eastAsia"/>
                      <w:color w:val="auto"/>
                      <w:szCs w:val="21"/>
                      <w:highlight w:val="none"/>
                    </w:rPr>
                    <w:t>0.0516</w:t>
                  </w:r>
                </w:p>
              </w:tc>
            </w:tr>
          </w:tbl>
          <w:p w14:paraId="494D1609">
            <w:pPr>
              <w:spacing w:line="360" w:lineRule="auto"/>
              <w:ind w:firstLine="480" w:firstLineChars="200"/>
              <w:rPr>
                <w:b/>
                <w:bCs/>
                <w:color w:val="auto"/>
                <w:sz w:val="24"/>
                <w:highlight w:val="none"/>
              </w:rPr>
            </w:pPr>
            <w:r>
              <w:rPr>
                <w:color w:val="auto"/>
                <w:sz w:val="24"/>
                <w:highlight w:val="none"/>
              </w:rPr>
              <w:t>经过估算，</w:t>
            </w:r>
            <w:r>
              <w:rPr>
                <w:rFonts w:hint="eastAsia"/>
                <w:color w:val="auto"/>
                <w:sz w:val="24"/>
                <w:highlight w:val="none"/>
              </w:rPr>
              <w:t>项目</w:t>
            </w:r>
            <w:r>
              <w:rPr>
                <w:color w:val="auto"/>
                <w:sz w:val="24"/>
                <w:highlight w:val="none"/>
              </w:rPr>
              <w:t>污水处理站NH</w:t>
            </w:r>
            <w:r>
              <w:rPr>
                <w:color w:val="auto"/>
                <w:sz w:val="24"/>
                <w:highlight w:val="none"/>
                <w:vertAlign w:val="subscript"/>
              </w:rPr>
              <w:t>3</w:t>
            </w:r>
            <w:r>
              <w:rPr>
                <w:color w:val="auto"/>
                <w:sz w:val="24"/>
                <w:highlight w:val="none"/>
              </w:rPr>
              <w:t>最大落地浓度为</w:t>
            </w:r>
            <w:r>
              <w:rPr>
                <w:rFonts w:hint="eastAsia"/>
                <w:color w:val="auto"/>
                <w:sz w:val="24"/>
                <w:highlight w:val="none"/>
              </w:rPr>
              <w:t>13.335</w:t>
            </w:r>
            <w:r>
              <w:rPr>
                <w:color w:val="auto"/>
                <w:sz w:val="24"/>
                <w:highlight w:val="none"/>
              </w:rPr>
              <w:t>μg/m</w:t>
            </w:r>
            <w:r>
              <w:rPr>
                <w:color w:val="auto"/>
                <w:sz w:val="24"/>
                <w:highlight w:val="none"/>
                <w:vertAlign w:val="superscript"/>
              </w:rPr>
              <w:t>3</w:t>
            </w:r>
            <w:r>
              <w:rPr>
                <w:color w:val="auto"/>
                <w:sz w:val="24"/>
                <w:highlight w:val="none"/>
              </w:rPr>
              <w:t>，H</w:t>
            </w:r>
            <w:r>
              <w:rPr>
                <w:color w:val="auto"/>
                <w:sz w:val="24"/>
                <w:highlight w:val="none"/>
                <w:vertAlign w:val="subscript"/>
              </w:rPr>
              <w:t>2</w:t>
            </w:r>
            <w:r>
              <w:rPr>
                <w:color w:val="auto"/>
                <w:sz w:val="24"/>
                <w:highlight w:val="none"/>
              </w:rPr>
              <w:t>S最大落地浓度为</w:t>
            </w:r>
            <w:r>
              <w:rPr>
                <w:rFonts w:hint="eastAsia"/>
                <w:color w:val="auto"/>
                <w:sz w:val="24"/>
                <w:highlight w:val="none"/>
              </w:rPr>
              <w:t>0.0516</w:t>
            </w:r>
            <w:r>
              <w:rPr>
                <w:color w:val="auto"/>
                <w:sz w:val="24"/>
                <w:highlight w:val="none"/>
              </w:rPr>
              <w:t>μg/m</w:t>
            </w:r>
            <w:r>
              <w:rPr>
                <w:color w:val="auto"/>
                <w:sz w:val="24"/>
                <w:highlight w:val="none"/>
                <w:vertAlign w:val="superscript"/>
              </w:rPr>
              <w:t>3</w:t>
            </w:r>
            <w:r>
              <w:rPr>
                <w:color w:val="auto"/>
                <w:sz w:val="24"/>
                <w:highlight w:val="none"/>
              </w:rPr>
              <w:t>，均能够满足《恶臭污染物排放标准》（GB14554-93）中恶臭无组织排放厂界二级标准限值要求</w:t>
            </w:r>
            <w:r>
              <w:rPr>
                <w:rFonts w:hint="eastAsia"/>
                <w:color w:val="auto"/>
                <w:sz w:val="24"/>
                <w:highlight w:val="none"/>
              </w:rPr>
              <w:t>（</w:t>
            </w:r>
            <w:r>
              <w:rPr>
                <w:color w:val="auto"/>
                <w:sz w:val="24"/>
                <w:highlight w:val="none"/>
              </w:rPr>
              <w:t>NH</w:t>
            </w:r>
            <w:r>
              <w:rPr>
                <w:color w:val="auto"/>
                <w:sz w:val="24"/>
                <w:highlight w:val="none"/>
                <w:vertAlign w:val="subscript"/>
              </w:rPr>
              <w:t>3</w:t>
            </w:r>
            <w:r>
              <w:rPr>
                <w:rFonts w:hint="eastAsia"/>
                <w:color w:val="auto"/>
                <w:sz w:val="24"/>
                <w:highlight w:val="none"/>
              </w:rPr>
              <w:t>：1.5mg/m</w:t>
            </w:r>
            <w:r>
              <w:rPr>
                <w:rFonts w:hint="eastAsia"/>
                <w:color w:val="auto"/>
                <w:sz w:val="24"/>
                <w:highlight w:val="none"/>
                <w:vertAlign w:val="superscript"/>
              </w:rPr>
              <w:t>3</w:t>
            </w:r>
            <w:r>
              <w:rPr>
                <w:rFonts w:hint="eastAsia"/>
                <w:color w:val="auto"/>
                <w:sz w:val="24"/>
                <w:highlight w:val="none"/>
              </w:rPr>
              <w:t>、</w:t>
            </w:r>
            <w:r>
              <w:rPr>
                <w:color w:val="auto"/>
                <w:sz w:val="24"/>
                <w:highlight w:val="none"/>
              </w:rPr>
              <w:t>H</w:t>
            </w:r>
            <w:r>
              <w:rPr>
                <w:color w:val="auto"/>
                <w:sz w:val="24"/>
                <w:highlight w:val="none"/>
                <w:vertAlign w:val="subscript"/>
              </w:rPr>
              <w:t>2</w:t>
            </w:r>
            <w:r>
              <w:rPr>
                <w:color w:val="auto"/>
                <w:sz w:val="24"/>
                <w:highlight w:val="none"/>
              </w:rPr>
              <w:t>S</w:t>
            </w:r>
            <w:r>
              <w:rPr>
                <w:rFonts w:hint="eastAsia"/>
                <w:color w:val="auto"/>
                <w:sz w:val="24"/>
                <w:highlight w:val="none"/>
              </w:rPr>
              <w:t>：0.06mg/m</w:t>
            </w:r>
            <w:r>
              <w:rPr>
                <w:rFonts w:hint="eastAsia"/>
                <w:color w:val="auto"/>
                <w:sz w:val="24"/>
                <w:highlight w:val="none"/>
                <w:vertAlign w:val="superscript"/>
              </w:rPr>
              <w:t>3</w:t>
            </w:r>
            <w:r>
              <w:rPr>
                <w:rFonts w:hint="eastAsia"/>
                <w:color w:val="auto"/>
                <w:sz w:val="24"/>
                <w:highlight w:val="none"/>
              </w:rPr>
              <w:t>），可做到达标排放</w:t>
            </w:r>
            <w:r>
              <w:rPr>
                <w:color w:val="auto"/>
                <w:sz w:val="24"/>
                <w:highlight w:val="none"/>
              </w:rPr>
              <w:t>。</w:t>
            </w:r>
          </w:p>
          <w:p w14:paraId="2D532AD1">
            <w:pPr>
              <w:snapToGrid w:val="0"/>
              <w:spacing w:line="360" w:lineRule="auto"/>
              <w:ind w:firstLine="482" w:firstLineChars="200"/>
              <w:rPr>
                <w:b/>
                <w:bCs/>
                <w:color w:val="auto"/>
                <w:sz w:val="24"/>
                <w:highlight w:val="none"/>
              </w:rPr>
            </w:pPr>
            <w:r>
              <w:rPr>
                <w:rFonts w:hint="eastAsia"/>
                <w:b/>
                <w:bCs/>
                <w:color w:val="auto"/>
                <w:sz w:val="24"/>
                <w:highlight w:val="none"/>
              </w:rPr>
              <w:t>2</w:t>
            </w:r>
            <w:r>
              <w:rPr>
                <w:b/>
                <w:bCs/>
                <w:color w:val="auto"/>
                <w:sz w:val="24"/>
                <w:highlight w:val="none"/>
              </w:rPr>
              <w:t>、废气监测要求</w:t>
            </w:r>
          </w:p>
          <w:p w14:paraId="1C9D47B5">
            <w:pPr>
              <w:adjustRightInd w:val="0"/>
              <w:snapToGrid w:val="0"/>
              <w:spacing w:line="360" w:lineRule="auto"/>
              <w:ind w:firstLine="480" w:firstLineChars="200"/>
              <w:rPr>
                <w:bCs/>
                <w:color w:val="auto"/>
                <w:sz w:val="24"/>
                <w:highlight w:val="none"/>
              </w:rPr>
            </w:pPr>
            <w:r>
              <w:rPr>
                <w:bCs/>
                <w:color w:val="auto"/>
                <w:sz w:val="24"/>
                <w:highlight w:val="none"/>
              </w:rPr>
              <w:t>按照</w:t>
            </w:r>
            <w:r>
              <w:rPr>
                <w:rFonts w:hint="eastAsia"/>
                <w:bCs/>
                <w:color w:val="auto"/>
                <w:sz w:val="24"/>
                <w:highlight w:val="none"/>
              </w:rPr>
              <w:t>《排污单位自行监测技术指南—食品制造》（HJ1084-2020）表</w:t>
            </w:r>
            <w:r>
              <w:rPr>
                <w:rFonts w:hint="eastAsia"/>
                <w:bCs/>
                <w:color w:val="auto"/>
                <w:sz w:val="24"/>
                <w:highlight w:val="none"/>
                <w:lang w:val="en-US" w:eastAsia="zh-CN"/>
              </w:rPr>
              <w:t>2和表3</w:t>
            </w:r>
            <w:r>
              <w:rPr>
                <w:rFonts w:hint="eastAsia"/>
                <w:bCs/>
                <w:color w:val="auto"/>
                <w:sz w:val="24"/>
                <w:highlight w:val="none"/>
              </w:rPr>
              <w:t>中相关</w:t>
            </w:r>
            <w:r>
              <w:rPr>
                <w:bCs/>
                <w:color w:val="auto"/>
                <w:sz w:val="24"/>
                <w:highlight w:val="none"/>
              </w:rPr>
              <w:t>要求，制定如下监测计划：</w:t>
            </w:r>
          </w:p>
          <w:p w14:paraId="5831090B">
            <w:pPr>
              <w:jc w:val="center"/>
              <w:rPr>
                <w:b/>
                <w:bCs/>
                <w:color w:val="auto"/>
                <w:szCs w:val="21"/>
                <w:highlight w:val="none"/>
              </w:rPr>
            </w:pPr>
            <w:r>
              <w:rPr>
                <w:rFonts w:hint="eastAsia"/>
                <w:b/>
                <w:bCs/>
                <w:color w:val="auto"/>
                <w:szCs w:val="21"/>
                <w:highlight w:val="none"/>
              </w:rPr>
              <w:t>表4</w:t>
            </w:r>
            <w:r>
              <w:rPr>
                <w:b/>
                <w:bCs/>
                <w:color w:val="auto"/>
                <w:szCs w:val="21"/>
                <w:highlight w:val="none"/>
              </w:rPr>
              <w:t>-</w:t>
            </w:r>
            <w:r>
              <w:rPr>
                <w:rFonts w:hint="eastAsia"/>
                <w:b/>
                <w:bCs/>
                <w:color w:val="auto"/>
                <w:szCs w:val="21"/>
                <w:highlight w:val="none"/>
              </w:rPr>
              <w:t>5  大气排放口基本信息表</w:t>
            </w:r>
          </w:p>
          <w:tbl>
            <w:tblPr>
              <w:tblStyle w:val="35"/>
              <w:tblW w:w="8466"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07"/>
              <w:gridCol w:w="1392"/>
              <w:gridCol w:w="1241"/>
              <w:gridCol w:w="1193"/>
              <w:gridCol w:w="794"/>
              <w:gridCol w:w="850"/>
              <w:gridCol w:w="729"/>
              <w:gridCol w:w="1260"/>
            </w:tblGrid>
            <w:tr w14:paraId="20E9270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007" w:type="dxa"/>
                  <w:vMerge w:val="restart"/>
                  <w:vAlign w:val="center"/>
                </w:tcPr>
                <w:p w14:paraId="6C34C01D">
                  <w:pPr>
                    <w:snapToGrid w:val="0"/>
                    <w:jc w:val="center"/>
                    <w:rPr>
                      <w:b/>
                      <w:bCs/>
                      <w:color w:val="auto"/>
                      <w:szCs w:val="21"/>
                      <w:highlight w:val="none"/>
                    </w:rPr>
                  </w:pPr>
                  <w:r>
                    <w:rPr>
                      <w:rFonts w:hint="eastAsia"/>
                      <w:b/>
                      <w:bCs/>
                      <w:color w:val="auto"/>
                      <w:szCs w:val="21"/>
                      <w:highlight w:val="none"/>
                    </w:rPr>
                    <w:t>排放口</w:t>
                  </w:r>
                </w:p>
                <w:p w14:paraId="3EBAFF90">
                  <w:pPr>
                    <w:snapToGrid w:val="0"/>
                    <w:jc w:val="center"/>
                    <w:rPr>
                      <w:b/>
                      <w:bCs/>
                      <w:color w:val="auto"/>
                      <w:szCs w:val="21"/>
                      <w:highlight w:val="none"/>
                    </w:rPr>
                  </w:pPr>
                  <w:r>
                    <w:rPr>
                      <w:rFonts w:hint="eastAsia"/>
                      <w:b/>
                      <w:bCs/>
                      <w:color w:val="auto"/>
                      <w:szCs w:val="21"/>
                      <w:highlight w:val="none"/>
                    </w:rPr>
                    <w:t>名称</w:t>
                  </w:r>
                </w:p>
              </w:tc>
              <w:tc>
                <w:tcPr>
                  <w:tcW w:w="1392" w:type="dxa"/>
                  <w:vMerge w:val="restart"/>
                  <w:vAlign w:val="center"/>
                </w:tcPr>
                <w:p w14:paraId="26EB07DD">
                  <w:pPr>
                    <w:snapToGrid w:val="0"/>
                    <w:jc w:val="center"/>
                    <w:rPr>
                      <w:b/>
                      <w:bCs/>
                      <w:color w:val="auto"/>
                      <w:szCs w:val="21"/>
                      <w:highlight w:val="none"/>
                    </w:rPr>
                  </w:pPr>
                  <w:r>
                    <w:rPr>
                      <w:rFonts w:hint="eastAsia"/>
                      <w:b/>
                      <w:bCs/>
                      <w:color w:val="auto"/>
                      <w:szCs w:val="21"/>
                      <w:highlight w:val="none"/>
                    </w:rPr>
                    <w:t>污染物</w:t>
                  </w:r>
                </w:p>
                <w:p w14:paraId="219966E1">
                  <w:pPr>
                    <w:snapToGrid w:val="0"/>
                    <w:jc w:val="center"/>
                    <w:rPr>
                      <w:b/>
                      <w:bCs/>
                      <w:color w:val="auto"/>
                      <w:szCs w:val="21"/>
                      <w:highlight w:val="none"/>
                    </w:rPr>
                  </w:pPr>
                  <w:r>
                    <w:rPr>
                      <w:rFonts w:hint="eastAsia"/>
                      <w:b/>
                      <w:bCs/>
                      <w:color w:val="auto"/>
                      <w:szCs w:val="21"/>
                      <w:highlight w:val="none"/>
                    </w:rPr>
                    <w:t>种类</w:t>
                  </w:r>
                </w:p>
              </w:tc>
              <w:tc>
                <w:tcPr>
                  <w:tcW w:w="2434" w:type="dxa"/>
                  <w:gridSpan w:val="2"/>
                  <w:vAlign w:val="center"/>
                </w:tcPr>
                <w:p w14:paraId="150C850E">
                  <w:pPr>
                    <w:snapToGrid w:val="0"/>
                    <w:jc w:val="center"/>
                    <w:rPr>
                      <w:b/>
                      <w:bCs/>
                      <w:color w:val="auto"/>
                      <w:szCs w:val="21"/>
                      <w:highlight w:val="none"/>
                    </w:rPr>
                  </w:pPr>
                  <w:r>
                    <w:rPr>
                      <w:rFonts w:hint="eastAsia"/>
                      <w:b/>
                      <w:bCs/>
                      <w:color w:val="auto"/>
                      <w:szCs w:val="21"/>
                      <w:highlight w:val="none"/>
                    </w:rPr>
                    <w:t>排放口地理坐标/m</w:t>
                  </w:r>
                </w:p>
              </w:tc>
              <w:tc>
                <w:tcPr>
                  <w:tcW w:w="794" w:type="dxa"/>
                  <w:vMerge w:val="restart"/>
                  <w:vAlign w:val="center"/>
                </w:tcPr>
                <w:p w14:paraId="1C593039">
                  <w:pPr>
                    <w:snapToGrid w:val="0"/>
                    <w:jc w:val="center"/>
                    <w:rPr>
                      <w:b/>
                      <w:bCs/>
                      <w:color w:val="auto"/>
                      <w:szCs w:val="21"/>
                      <w:highlight w:val="none"/>
                    </w:rPr>
                  </w:pPr>
                  <w:r>
                    <w:rPr>
                      <w:rFonts w:hint="eastAsia"/>
                      <w:b/>
                      <w:bCs/>
                      <w:color w:val="auto"/>
                      <w:szCs w:val="21"/>
                      <w:highlight w:val="none"/>
                    </w:rPr>
                    <w:t>排气筒高度/m</w:t>
                  </w:r>
                </w:p>
              </w:tc>
              <w:tc>
                <w:tcPr>
                  <w:tcW w:w="850" w:type="dxa"/>
                  <w:vMerge w:val="restart"/>
                  <w:vAlign w:val="center"/>
                </w:tcPr>
                <w:p w14:paraId="249BAEC9">
                  <w:pPr>
                    <w:snapToGrid w:val="0"/>
                    <w:jc w:val="center"/>
                    <w:rPr>
                      <w:b/>
                      <w:bCs/>
                      <w:color w:val="auto"/>
                      <w:szCs w:val="21"/>
                      <w:highlight w:val="none"/>
                    </w:rPr>
                  </w:pPr>
                  <w:r>
                    <w:rPr>
                      <w:rFonts w:hint="eastAsia"/>
                      <w:b/>
                      <w:bCs/>
                      <w:color w:val="auto"/>
                      <w:szCs w:val="21"/>
                      <w:highlight w:val="none"/>
                    </w:rPr>
                    <w:t>排气筒出口内径/m</w:t>
                  </w:r>
                </w:p>
              </w:tc>
              <w:tc>
                <w:tcPr>
                  <w:tcW w:w="729" w:type="dxa"/>
                  <w:vMerge w:val="restart"/>
                  <w:vAlign w:val="center"/>
                </w:tcPr>
                <w:p w14:paraId="038D11B7">
                  <w:pPr>
                    <w:snapToGrid w:val="0"/>
                    <w:jc w:val="center"/>
                    <w:rPr>
                      <w:b/>
                      <w:bCs/>
                      <w:color w:val="auto"/>
                      <w:szCs w:val="21"/>
                      <w:highlight w:val="none"/>
                    </w:rPr>
                  </w:pPr>
                  <w:r>
                    <w:rPr>
                      <w:rFonts w:hint="eastAsia"/>
                      <w:b/>
                      <w:bCs/>
                      <w:color w:val="auto"/>
                      <w:szCs w:val="21"/>
                      <w:highlight w:val="none"/>
                    </w:rPr>
                    <w:t>排气温度/℃</w:t>
                  </w:r>
                </w:p>
              </w:tc>
              <w:tc>
                <w:tcPr>
                  <w:tcW w:w="1260" w:type="dxa"/>
                  <w:vMerge w:val="restart"/>
                  <w:vAlign w:val="center"/>
                </w:tcPr>
                <w:p w14:paraId="55ED51E7">
                  <w:pPr>
                    <w:snapToGrid w:val="0"/>
                    <w:jc w:val="center"/>
                    <w:rPr>
                      <w:b/>
                      <w:bCs/>
                      <w:color w:val="auto"/>
                      <w:szCs w:val="21"/>
                      <w:highlight w:val="none"/>
                    </w:rPr>
                  </w:pPr>
                  <w:r>
                    <w:rPr>
                      <w:rFonts w:hint="eastAsia"/>
                      <w:b/>
                      <w:bCs/>
                      <w:color w:val="auto"/>
                      <w:szCs w:val="21"/>
                      <w:highlight w:val="none"/>
                    </w:rPr>
                    <w:t>排放口</w:t>
                  </w:r>
                </w:p>
                <w:p w14:paraId="0C6BDC25">
                  <w:pPr>
                    <w:snapToGrid w:val="0"/>
                    <w:jc w:val="center"/>
                    <w:rPr>
                      <w:b/>
                      <w:bCs/>
                      <w:color w:val="auto"/>
                      <w:szCs w:val="21"/>
                      <w:highlight w:val="none"/>
                    </w:rPr>
                  </w:pPr>
                  <w:r>
                    <w:rPr>
                      <w:rFonts w:hint="eastAsia"/>
                      <w:b/>
                      <w:bCs/>
                      <w:color w:val="auto"/>
                      <w:szCs w:val="21"/>
                      <w:highlight w:val="none"/>
                    </w:rPr>
                    <w:t>类型</w:t>
                  </w:r>
                </w:p>
              </w:tc>
            </w:tr>
            <w:tr w14:paraId="442748B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3" w:hRule="exact"/>
                <w:jc w:val="center"/>
              </w:trPr>
              <w:tc>
                <w:tcPr>
                  <w:tcW w:w="1007" w:type="dxa"/>
                  <w:vMerge w:val="continue"/>
                  <w:vAlign w:val="center"/>
                </w:tcPr>
                <w:p w14:paraId="2B8AD1C5">
                  <w:pPr>
                    <w:snapToGrid w:val="0"/>
                    <w:jc w:val="center"/>
                    <w:rPr>
                      <w:color w:val="auto"/>
                      <w:sz w:val="20"/>
                      <w:szCs w:val="20"/>
                      <w:highlight w:val="none"/>
                    </w:rPr>
                  </w:pPr>
                </w:p>
              </w:tc>
              <w:tc>
                <w:tcPr>
                  <w:tcW w:w="1392" w:type="dxa"/>
                  <w:vMerge w:val="continue"/>
                  <w:vAlign w:val="center"/>
                </w:tcPr>
                <w:p w14:paraId="079E3C13">
                  <w:pPr>
                    <w:snapToGrid w:val="0"/>
                    <w:jc w:val="center"/>
                    <w:rPr>
                      <w:color w:val="auto"/>
                      <w:sz w:val="20"/>
                      <w:szCs w:val="20"/>
                      <w:highlight w:val="none"/>
                    </w:rPr>
                  </w:pPr>
                </w:p>
              </w:tc>
              <w:tc>
                <w:tcPr>
                  <w:tcW w:w="1241" w:type="dxa"/>
                  <w:vAlign w:val="center"/>
                </w:tcPr>
                <w:p w14:paraId="5C735FA5">
                  <w:pPr>
                    <w:snapToGrid w:val="0"/>
                    <w:jc w:val="center"/>
                    <w:rPr>
                      <w:b/>
                      <w:bCs/>
                      <w:color w:val="auto"/>
                      <w:szCs w:val="21"/>
                      <w:highlight w:val="none"/>
                    </w:rPr>
                  </w:pPr>
                  <w:r>
                    <w:rPr>
                      <w:rFonts w:hint="eastAsia"/>
                      <w:b/>
                      <w:bCs/>
                      <w:color w:val="auto"/>
                      <w:szCs w:val="21"/>
                      <w:highlight w:val="none"/>
                    </w:rPr>
                    <w:t>X</w:t>
                  </w:r>
                </w:p>
              </w:tc>
              <w:tc>
                <w:tcPr>
                  <w:tcW w:w="1193" w:type="dxa"/>
                  <w:vAlign w:val="center"/>
                </w:tcPr>
                <w:p w14:paraId="5129265D">
                  <w:pPr>
                    <w:snapToGrid w:val="0"/>
                    <w:jc w:val="center"/>
                    <w:rPr>
                      <w:b/>
                      <w:bCs/>
                      <w:color w:val="auto"/>
                      <w:szCs w:val="21"/>
                      <w:highlight w:val="none"/>
                    </w:rPr>
                  </w:pPr>
                  <w:r>
                    <w:rPr>
                      <w:rFonts w:hint="eastAsia"/>
                      <w:b/>
                      <w:bCs/>
                      <w:color w:val="auto"/>
                      <w:szCs w:val="21"/>
                      <w:highlight w:val="none"/>
                    </w:rPr>
                    <w:t>Y</w:t>
                  </w:r>
                </w:p>
              </w:tc>
              <w:tc>
                <w:tcPr>
                  <w:tcW w:w="794" w:type="dxa"/>
                  <w:vMerge w:val="continue"/>
                  <w:vAlign w:val="center"/>
                </w:tcPr>
                <w:p w14:paraId="32B1AD6E">
                  <w:pPr>
                    <w:snapToGrid w:val="0"/>
                    <w:jc w:val="center"/>
                    <w:rPr>
                      <w:color w:val="auto"/>
                      <w:sz w:val="20"/>
                      <w:szCs w:val="20"/>
                      <w:highlight w:val="none"/>
                    </w:rPr>
                  </w:pPr>
                </w:p>
              </w:tc>
              <w:tc>
                <w:tcPr>
                  <w:tcW w:w="850" w:type="dxa"/>
                  <w:vMerge w:val="continue"/>
                </w:tcPr>
                <w:p w14:paraId="65572129">
                  <w:pPr>
                    <w:snapToGrid w:val="0"/>
                    <w:jc w:val="center"/>
                    <w:rPr>
                      <w:color w:val="auto"/>
                      <w:sz w:val="20"/>
                      <w:szCs w:val="20"/>
                      <w:highlight w:val="none"/>
                    </w:rPr>
                  </w:pPr>
                </w:p>
              </w:tc>
              <w:tc>
                <w:tcPr>
                  <w:tcW w:w="729" w:type="dxa"/>
                  <w:vMerge w:val="continue"/>
                </w:tcPr>
                <w:p w14:paraId="5AA017AE">
                  <w:pPr>
                    <w:snapToGrid w:val="0"/>
                    <w:jc w:val="center"/>
                    <w:rPr>
                      <w:color w:val="auto"/>
                      <w:sz w:val="20"/>
                      <w:szCs w:val="20"/>
                      <w:highlight w:val="none"/>
                    </w:rPr>
                  </w:pPr>
                </w:p>
              </w:tc>
              <w:tc>
                <w:tcPr>
                  <w:tcW w:w="1260" w:type="dxa"/>
                  <w:vMerge w:val="continue"/>
                </w:tcPr>
                <w:p w14:paraId="4AB95CBB">
                  <w:pPr>
                    <w:snapToGrid w:val="0"/>
                    <w:jc w:val="center"/>
                    <w:rPr>
                      <w:color w:val="auto"/>
                      <w:sz w:val="20"/>
                      <w:szCs w:val="20"/>
                      <w:highlight w:val="none"/>
                    </w:rPr>
                  </w:pPr>
                </w:p>
              </w:tc>
            </w:tr>
            <w:tr w14:paraId="29ACDEF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21" w:hRule="exact"/>
                <w:jc w:val="center"/>
              </w:trPr>
              <w:tc>
                <w:tcPr>
                  <w:tcW w:w="1007" w:type="dxa"/>
                  <w:vAlign w:val="center"/>
                </w:tcPr>
                <w:p w14:paraId="321CE1E8">
                  <w:pPr>
                    <w:widowControl/>
                    <w:ind w:left="-105" w:leftChars="-50" w:right="-105" w:rightChars="-50"/>
                    <w:jc w:val="center"/>
                    <w:textAlignment w:val="center"/>
                    <w:rPr>
                      <w:color w:val="auto"/>
                      <w:szCs w:val="21"/>
                      <w:highlight w:val="none"/>
                    </w:rPr>
                  </w:pPr>
                  <w:r>
                    <w:rPr>
                      <w:rFonts w:hint="eastAsia"/>
                      <w:color w:val="auto"/>
                      <w:szCs w:val="21"/>
                      <w:highlight w:val="none"/>
                    </w:rPr>
                    <w:t>DA001</w:t>
                  </w:r>
                </w:p>
              </w:tc>
              <w:tc>
                <w:tcPr>
                  <w:tcW w:w="1392" w:type="dxa"/>
                  <w:vAlign w:val="center"/>
                </w:tcPr>
                <w:p w14:paraId="191343D2">
                  <w:pPr>
                    <w:widowControl/>
                    <w:ind w:left="-105" w:leftChars="-50" w:right="-105" w:rightChars="-50"/>
                    <w:jc w:val="center"/>
                    <w:textAlignment w:val="center"/>
                    <w:rPr>
                      <w:color w:val="auto"/>
                      <w:szCs w:val="21"/>
                      <w:highlight w:val="none"/>
                    </w:rPr>
                  </w:pPr>
                  <w:r>
                    <w:rPr>
                      <w:color w:val="auto"/>
                      <w:szCs w:val="21"/>
                      <w:highlight w:val="none"/>
                    </w:rPr>
                    <w:t>颗粒物</w:t>
                  </w:r>
                  <w:r>
                    <w:rPr>
                      <w:rFonts w:hint="eastAsia"/>
                      <w:color w:val="auto"/>
                      <w:szCs w:val="21"/>
                      <w:highlight w:val="none"/>
                    </w:rPr>
                    <w:t>、</w:t>
                  </w:r>
                  <w:r>
                    <w:rPr>
                      <w:rFonts w:hint="eastAsia"/>
                      <w:color w:val="auto"/>
                      <w:kern w:val="0"/>
                      <w:szCs w:val="21"/>
                      <w:highlight w:val="none"/>
                    </w:rPr>
                    <w:t>SO</w:t>
                  </w:r>
                  <w:r>
                    <w:rPr>
                      <w:rFonts w:hint="eastAsia"/>
                      <w:color w:val="auto"/>
                      <w:kern w:val="0"/>
                      <w:szCs w:val="21"/>
                      <w:highlight w:val="none"/>
                      <w:vertAlign w:val="subscript"/>
                    </w:rPr>
                    <w:t>2</w:t>
                  </w:r>
                  <w:r>
                    <w:rPr>
                      <w:rFonts w:hint="eastAsia"/>
                      <w:color w:val="auto"/>
                      <w:kern w:val="0"/>
                      <w:szCs w:val="21"/>
                      <w:highlight w:val="none"/>
                    </w:rPr>
                    <w:t>、NO</w:t>
                  </w:r>
                  <w:r>
                    <w:rPr>
                      <w:rFonts w:hint="eastAsia"/>
                      <w:color w:val="auto"/>
                      <w:kern w:val="0"/>
                      <w:szCs w:val="21"/>
                      <w:highlight w:val="none"/>
                      <w:vertAlign w:val="subscript"/>
                    </w:rPr>
                    <w:t>X</w:t>
                  </w:r>
                </w:p>
              </w:tc>
              <w:tc>
                <w:tcPr>
                  <w:tcW w:w="1241" w:type="dxa"/>
                  <w:vAlign w:val="center"/>
                </w:tcPr>
                <w:p w14:paraId="131D8E28">
                  <w:pPr>
                    <w:widowControl/>
                    <w:ind w:left="-63" w:leftChars="-30" w:right="-63" w:rightChars="-30"/>
                    <w:jc w:val="center"/>
                    <w:textAlignment w:val="center"/>
                    <w:rPr>
                      <w:color w:val="auto"/>
                      <w:szCs w:val="21"/>
                      <w:highlight w:val="none"/>
                    </w:rPr>
                  </w:pPr>
                  <w:r>
                    <w:rPr>
                      <w:rFonts w:hint="eastAsia"/>
                      <w:color w:val="auto"/>
                      <w:szCs w:val="21"/>
                      <w:highlight w:val="none"/>
                    </w:rPr>
                    <w:t>744559</w:t>
                  </w:r>
                </w:p>
              </w:tc>
              <w:tc>
                <w:tcPr>
                  <w:tcW w:w="1193" w:type="dxa"/>
                  <w:vAlign w:val="center"/>
                </w:tcPr>
                <w:p w14:paraId="6FE35737">
                  <w:pPr>
                    <w:widowControl/>
                    <w:ind w:left="-63" w:leftChars="-30" w:right="-63" w:rightChars="-30"/>
                    <w:jc w:val="center"/>
                    <w:textAlignment w:val="center"/>
                    <w:rPr>
                      <w:color w:val="auto"/>
                      <w:szCs w:val="21"/>
                      <w:highlight w:val="none"/>
                    </w:rPr>
                  </w:pPr>
                  <w:r>
                    <w:rPr>
                      <w:rFonts w:hint="eastAsia"/>
                      <w:color w:val="auto"/>
                      <w:szCs w:val="21"/>
                      <w:highlight w:val="none"/>
                    </w:rPr>
                    <w:t>3677634</w:t>
                  </w:r>
                </w:p>
              </w:tc>
              <w:tc>
                <w:tcPr>
                  <w:tcW w:w="794" w:type="dxa"/>
                  <w:vAlign w:val="center"/>
                </w:tcPr>
                <w:p w14:paraId="7F95CC24">
                  <w:pPr>
                    <w:snapToGrid w:val="0"/>
                    <w:jc w:val="center"/>
                    <w:rPr>
                      <w:color w:val="auto"/>
                      <w:szCs w:val="21"/>
                      <w:highlight w:val="none"/>
                    </w:rPr>
                  </w:pPr>
                  <w:r>
                    <w:rPr>
                      <w:rFonts w:hint="eastAsia"/>
                      <w:color w:val="auto"/>
                      <w:szCs w:val="21"/>
                      <w:highlight w:val="none"/>
                    </w:rPr>
                    <w:t>35</w:t>
                  </w:r>
                </w:p>
              </w:tc>
              <w:tc>
                <w:tcPr>
                  <w:tcW w:w="850" w:type="dxa"/>
                  <w:vAlign w:val="center"/>
                </w:tcPr>
                <w:p w14:paraId="30C58853">
                  <w:pPr>
                    <w:widowControl/>
                    <w:ind w:left="-105" w:leftChars="-50"/>
                    <w:jc w:val="center"/>
                    <w:rPr>
                      <w:color w:val="auto"/>
                      <w:szCs w:val="21"/>
                      <w:highlight w:val="none"/>
                    </w:rPr>
                  </w:pPr>
                  <w:r>
                    <w:rPr>
                      <w:rFonts w:hint="eastAsia"/>
                      <w:color w:val="auto"/>
                      <w:szCs w:val="21"/>
                      <w:highlight w:val="none"/>
                    </w:rPr>
                    <w:t>0.3</w:t>
                  </w:r>
                </w:p>
              </w:tc>
              <w:tc>
                <w:tcPr>
                  <w:tcW w:w="729" w:type="dxa"/>
                  <w:vAlign w:val="center"/>
                </w:tcPr>
                <w:p w14:paraId="250BACC0">
                  <w:pPr>
                    <w:widowControl/>
                    <w:ind w:left="-105" w:leftChars="-50"/>
                    <w:jc w:val="center"/>
                    <w:rPr>
                      <w:rFonts w:hint="default"/>
                      <w:color w:val="auto"/>
                      <w:szCs w:val="21"/>
                      <w:highlight w:val="none"/>
                      <w:lang w:val="en-US"/>
                    </w:rPr>
                  </w:pPr>
                  <w:r>
                    <w:rPr>
                      <w:rFonts w:hint="eastAsia"/>
                      <w:color w:val="auto"/>
                      <w:szCs w:val="21"/>
                      <w:highlight w:val="none"/>
                      <w:lang w:val="en-US" w:eastAsia="zh-CN"/>
                    </w:rPr>
                    <w:t>50</w:t>
                  </w:r>
                </w:p>
              </w:tc>
              <w:tc>
                <w:tcPr>
                  <w:tcW w:w="1260" w:type="dxa"/>
                  <w:shd w:val="clear" w:color="auto" w:fill="auto"/>
                  <w:vAlign w:val="center"/>
                </w:tcPr>
                <w:p w14:paraId="4BEEF7FF">
                  <w:pPr>
                    <w:snapToGrid w:val="0"/>
                    <w:ind w:left="-105" w:leftChars="-50" w:right="-105" w:rightChars="-50"/>
                    <w:jc w:val="center"/>
                    <w:rPr>
                      <w:color w:val="auto"/>
                      <w:sz w:val="21"/>
                      <w:szCs w:val="21"/>
                      <w:highlight w:val="none"/>
                    </w:rPr>
                  </w:pPr>
                  <w:r>
                    <w:rPr>
                      <w:rFonts w:hint="eastAsia"/>
                      <w:color w:val="auto"/>
                      <w:sz w:val="21"/>
                      <w:szCs w:val="21"/>
                      <w:highlight w:val="none"/>
                    </w:rPr>
                    <w:t>一般排放口</w:t>
                  </w:r>
                </w:p>
              </w:tc>
            </w:tr>
            <w:tr w14:paraId="15E8A23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007" w:type="dxa"/>
                  <w:vAlign w:val="center"/>
                </w:tcPr>
                <w:p w14:paraId="67F2375E">
                  <w:pPr>
                    <w:spacing w:before="72" w:beforeLines="30"/>
                    <w:jc w:val="center"/>
                    <w:rPr>
                      <w:color w:val="auto"/>
                      <w:szCs w:val="21"/>
                      <w:highlight w:val="none"/>
                    </w:rPr>
                  </w:pPr>
                  <w:r>
                    <w:rPr>
                      <w:rFonts w:hint="eastAsia"/>
                      <w:color w:val="auto"/>
                      <w:szCs w:val="21"/>
                      <w:highlight w:val="none"/>
                    </w:rPr>
                    <w:t>DA002</w:t>
                  </w:r>
                </w:p>
              </w:tc>
              <w:tc>
                <w:tcPr>
                  <w:tcW w:w="1392" w:type="dxa"/>
                  <w:vAlign w:val="center"/>
                </w:tcPr>
                <w:p w14:paraId="5242ED3C">
                  <w:pPr>
                    <w:widowControl/>
                    <w:ind w:left="-105" w:leftChars="-50" w:right="-105" w:rightChars="-50"/>
                    <w:jc w:val="center"/>
                    <w:textAlignment w:val="center"/>
                    <w:rPr>
                      <w:color w:val="auto"/>
                      <w:szCs w:val="21"/>
                      <w:highlight w:val="none"/>
                    </w:rPr>
                  </w:pPr>
                  <w:r>
                    <w:rPr>
                      <w:rFonts w:hint="eastAsia"/>
                      <w:color w:val="auto"/>
                      <w:szCs w:val="21"/>
                      <w:highlight w:val="none"/>
                    </w:rPr>
                    <w:t>油炸脱水油烟</w:t>
                  </w:r>
                </w:p>
              </w:tc>
              <w:tc>
                <w:tcPr>
                  <w:tcW w:w="1241" w:type="dxa"/>
                  <w:vAlign w:val="center"/>
                </w:tcPr>
                <w:p w14:paraId="6C93F9B3">
                  <w:pPr>
                    <w:widowControl/>
                    <w:ind w:left="-105" w:leftChars="-50" w:right="-105" w:rightChars="-50"/>
                    <w:jc w:val="center"/>
                    <w:textAlignment w:val="center"/>
                    <w:rPr>
                      <w:color w:val="auto"/>
                      <w:szCs w:val="21"/>
                      <w:highlight w:val="none"/>
                    </w:rPr>
                  </w:pPr>
                  <w:r>
                    <w:rPr>
                      <w:rFonts w:hint="eastAsia"/>
                      <w:color w:val="auto"/>
                      <w:szCs w:val="21"/>
                      <w:highlight w:val="none"/>
                    </w:rPr>
                    <w:t>744539</w:t>
                  </w:r>
                </w:p>
              </w:tc>
              <w:tc>
                <w:tcPr>
                  <w:tcW w:w="1193" w:type="dxa"/>
                  <w:vAlign w:val="center"/>
                </w:tcPr>
                <w:p w14:paraId="03DF3F3E">
                  <w:pPr>
                    <w:widowControl/>
                    <w:ind w:left="-63" w:leftChars="-30" w:right="-63" w:rightChars="-30"/>
                    <w:jc w:val="center"/>
                    <w:textAlignment w:val="center"/>
                    <w:rPr>
                      <w:color w:val="auto"/>
                      <w:szCs w:val="21"/>
                      <w:highlight w:val="none"/>
                    </w:rPr>
                  </w:pPr>
                  <w:r>
                    <w:rPr>
                      <w:rFonts w:hint="eastAsia"/>
                      <w:color w:val="auto"/>
                      <w:szCs w:val="21"/>
                      <w:highlight w:val="none"/>
                    </w:rPr>
                    <w:t>3677641</w:t>
                  </w:r>
                </w:p>
              </w:tc>
              <w:tc>
                <w:tcPr>
                  <w:tcW w:w="794" w:type="dxa"/>
                  <w:vAlign w:val="center"/>
                </w:tcPr>
                <w:p w14:paraId="2689E0B4">
                  <w:pPr>
                    <w:widowControl/>
                    <w:ind w:left="-63" w:leftChars="-30" w:right="-63" w:rightChars="-30"/>
                    <w:jc w:val="center"/>
                    <w:textAlignment w:val="center"/>
                    <w:rPr>
                      <w:color w:val="auto"/>
                      <w:szCs w:val="21"/>
                      <w:highlight w:val="none"/>
                    </w:rPr>
                  </w:pPr>
                  <w:r>
                    <w:rPr>
                      <w:rFonts w:hint="eastAsia"/>
                      <w:color w:val="auto"/>
                      <w:szCs w:val="21"/>
                      <w:highlight w:val="none"/>
                    </w:rPr>
                    <w:t>12</w:t>
                  </w:r>
                </w:p>
              </w:tc>
              <w:tc>
                <w:tcPr>
                  <w:tcW w:w="850" w:type="dxa"/>
                  <w:vAlign w:val="center"/>
                </w:tcPr>
                <w:p w14:paraId="127E0F31">
                  <w:pPr>
                    <w:snapToGrid w:val="0"/>
                    <w:jc w:val="center"/>
                    <w:rPr>
                      <w:color w:val="auto"/>
                      <w:szCs w:val="21"/>
                      <w:highlight w:val="none"/>
                    </w:rPr>
                  </w:pPr>
                  <w:r>
                    <w:rPr>
                      <w:rFonts w:hint="eastAsia"/>
                      <w:color w:val="auto"/>
                      <w:szCs w:val="21"/>
                      <w:highlight w:val="none"/>
                    </w:rPr>
                    <w:t>/</w:t>
                  </w:r>
                </w:p>
              </w:tc>
              <w:tc>
                <w:tcPr>
                  <w:tcW w:w="729" w:type="dxa"/>
                  <w:vAlign w:val="center"/>
                </w:tcPr>
                <w:p w14:paraId="09198E51">
                  <w:pPr>
                    <w:widowControl/>
                    <w:ind w:left="-105" w:leftChars="-50"/>
                    <w:jc w:val="center"/>
                    <w:rPr>
                      <w:rFonts w:hint="default" w:eastAsia="宋体"/>
                      <w:color w:val="auto"/>
                      <w:szCs w:val="21"/>
                      <w:highlight w:val="none"/>
                      <w:lang w:val="en-US" w:eastAsia="zh-CN"/>
                    </w:rPr>
                  </w:pPr>
                  <w:r>
                    <w:rPr>
                      <w:rFonts w:hint="eastAsia"/>
                      <w:color w:val="auto"/>
                      <w:szCs w:val="21"/>
                      <w:highlight w:val="none"/>
                      <w:lang w:val="en-US" w:eastAsia="zh-CN"/>
                    </w:rPr>
                    <w:t>40</w:t>
                  </w:r>
                </w:p>
              </w:tc>
              <w:tc>
                <w:tcPr>
                  <w:tcW w:w="1260" w:type="dxa"/>
                  <w:shd w:val="clear" w:color="auto" w:fill="auto"/>
                  <w:vAlign w:val="center"/>
                </w:tcPr>
                <w:p w14:paraId="34755FCA">
                  <w:pPr>
                    <w:widowControl/>
                    <w:ind w:left="-105" w:leftChars="-50"/>
                    <w:jc w:val="center"/>
                    <w:rPr>
                      <w:color w:val="auto"/>
                      <w:sz w:val="21"/>
                      <w:szCs w:val="21"/>
                      <w:highlight w:val="none"/>
                    </w:rPr>
                  </w:pPr>
                  <w:r>
                    <w:rPr>
                      <w:rFonts w:hint="eastAsia"/>
                      <w:color w:val="auto"/>
                      <w:sz w:val="21"/>
                      <w:szCs w:val="21"/>
                      <w:highlight w:val="none"/>
                    </w:rPr>
                    <w:t>一般排放口</w:t>
                  </w:r>
                </w:p>
              </w:tc>
            </w:tr>
            <w:tr w14:paraId="553A628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007" w:type="dxa"/>
                  <w:vAlign w:val="center"/>
                </w:tcPr>
                <w:p w14:paraId="18A43662">
                  <w:pPr>
                    <w:spacing w:before="72" w:beforeLines="30"/>
                    <w:jc w:val="center"/>
                    <w:rPr>
                      <w:color w:val="auto"/>
                      <w:szCs w:val="21"/>
                      <w:highlight w:val="none"/>
                    </w:rPr>
                  </w:pPr>
                  <w:r>
                    <w:rPr>
                      <w:rFonts w:hint="eastAsia"/>
                      <w:color w:val="auto"/>
                      <w:szCs w:val="21"/>
                      <w:highlight w:val="none"/>
                    </w:rPr>
                    <w:t>DA003</w:t>
                  </w:r>
                </w:p>
              </w:tc>
              <w:tc>
                <w:tcPr>
                  <w:tcW w:w="1392" w:type="dxa"/>
                  <w:vAlign w:val="center"/>
                </w:tcPr>
                <w:p w14:paraId="6EC700A0">
                  <w:pPr>
                    <w:widowControl/>
                    <w:ind w:left="-105" w:leftChars="-50" w:right="-105" w:rightChars="-50"/>
                    <w:jc w:val="center"/>
                    <w:textAlignment w:val="center"/>
                    <w:rPr>
                      <w:color w:val="auto"/>
                      <w:szCs w:val="21"/>
                      <w:highlight w:val="none"/>
                    </w:rPr>
                  </w:pPr>
                  <w:r>
                    <w:rPr>
                      <w:rFonts w:hint="eastAsia"/>
                      <w:color w:val="auto"/>
                      <w:szCs w:val="21"/>
                      <w:highlight w:val="none"/>
                    </w:rPr>
                    <w:t>食堂油烟</w:t>
                  </w:r>
                </w:p>
              </w:tc>
              <w:tc>
                <w:tcPr>
                  <w:tcW w:w="1241" w:type="dxa"/>
                  <w:vAlign w:val="center"/>
                </w:tcPr>
                <w:p w14:paraId="636FEEB6">
                  <w:pPr>
                    <w:widowControl/>
                    <w:ind w:left="-105" w:leftChars="-50" w:right="-105" w:rightChars="-50"/>
                    <w:jc w:val="center"/>
                    <w:textAlignment w:val="center"/>
                    <w:rPr>
                      <w:color w:val="auto"/>
                      <w:szCs w:val="21"/>
                      <w:highlight w:val="none"/>
                    </w:rPr>
                  </w:pPr>
                  <w:r>
                    <w:rPr>
                      <w:rFonts w:hint="eastAsia"/>
                      <w:color w:val="auto"/>
                      <w:szCs w:val="21"/>
                      <w:highlight w:val="none"/>
                    </w:rPr>
                    <w:t>744569</w:t>
                  </w:r>
                </w:p>
              </w:tc>
              <w:tc>
                <w:tcPr>
                  <w:tcW w:w="1193" w:type="dxa"/>
                  <w:vAlign w:val="center"/>
                </w:tcPr>
                <w:p w14:paraId="5825AE3B">
                  <w:pPr>
                    <w:widowControl/>
                    <w:ind w:left="-63" w:leftChars="-30" w:right="-63" w:rightChars="-30"/>
                    <w:jc w:val="center"/>
                    <w:textAlignment w:val="center"/>
                    <w:rPr>
                      <w:color w:val="auto"/>
                      <w:szCs w:val="21"/>
                      <w:highlight w:val="none"/>
                    </w:rPr>
                  </w:pPr>
                  <w:r>
                    <w:rPr>
                      <w:rFonts w:hint="eastAsia"/>
                      <w:color w:val="auto"/>
                      <w:szCs w:val="21"/>
                      <w:highlight w:val="none"/>
                    </w:rPr>
                    <w:t>3677686</w:t>
                  </w:r>
                </w:p>
              </w:tc>
              <w:tc>
                <w:tcPr>
                  <w:tcW w:w="794" w:type="dxa"/>
                  <w:vAlign w:val="center"/>
                </w:tcPr>
                <w:p w14:paraId="3899FFC6">
                  <w:pPr>
                    <w:widowControl/>
                    <w:ind w:left="-63" w:leftChars="-30" w:right="-63" w:rightChars="-30"/>
                    <w:jc w:val="center"/>
                    <w:textAlignment w:val="center"/>
                    <w:rPr>
                      <w:color w:val="auto"/>
                      <w:szCs w:val="21"/>
                      <w:highlight w:val="none"/>
                    </w:rPr>
                  </w:pPr>
                  <w:r>
                    <w:rPr>
                      <w:rFonts w:hint="eastAsia"/>
                      <w:color w:val="auto"/>
                      <w:szCs w:val="21"/>
                      <w:highlight w:val="none"/>
                    </w:rPr>
                    <w:t>8</w:t>
                  </w:r>
                </w:p>
              </w:tc>
              <w:tc>
                <w:tcPr>
                  <w:tcW w:w="850" w:type="dxa"/>
                  <w:vAlign w:val="center"/>
                </w:tcPr>
                <w:p w14:paraId="06F62FD1">
                  <w:pPr>
                    <w:snapToGrid w:val="0"/>
                    <w:jc w:val="center"/>
                    <w:rPr>
                      <w:color w:val="auto"/>
                      <w:szCs w:val="21"/>
                      <w:highlight w:val="none"/>
                    </w:rPr>
                  </w:pPr>
                  <w:r>
                    <w:rPr>
                      <w:rFonts w:hint="eastAsia"/>
                      <w:color w:val="auto"/>
                      <w:szCs w:val="21"/>
                      <w:highlight w:val="none"/>
                    </w:rPr>
                    <w:t>/</w:t>
                  </w:r>
                </w:p>
              </w:tc>
              <w:tc>
                <w:tcPr>
                  <w:tcW w:w="729" w:type="dxa"/>
                  <w:vAlign w:val="center"/>
                </w:tcPr>
                <w:p w14:paraId="2D951315">
                  <w:pPr>
                    <w:widowControl/>
                    <w:ind w:left="-105" w:leftChars="-50"/>
                    <w:jc w:val="center"/>
                    <w:rPr>
                      <w:color w:val="auto"/>
                      <w:szCs w:val="21"/>
                      <w:highlight w:val="none"/>
                    </w:rPr>
                  </w:pPr>
                  <w:r>
                    <w:rPr>
                      <w:rFonts w:hint="eastAsia"/>
                      <w:color w:val="auto"/>
                      <w:szCs w:val="21"/>
                      <w:highlight w:val="none"/>
                      <w:lang w:val="en-US" w:eastAsia="zh-CN"/>
                    </w:rPr>
                    <w:t>30</w:t>
                  </w:r>
                </w:p>
              </w:tc>
              <w:tc>
                <w:tcPr>
                  <w:tcW w:w="1260" w:type="dxa"/>
                  <w:shd w:val="clear" w:color="auto" w:fill="auto"/>
                  <w:vAlign w:val="center"/>
                </w:tcPr>
                <w:p w14:paraId="4B09E246">
                  <w:pPr>
                    <w:widowControl/>
                    <w:ind w:left="-105" w:leftChars="-50"/>
                    <w:jc w:val="center"/>
                    <w:rPr>
                      <w:color w:val="auto"/>
                      <w:sz w:val="21"/>
                      <w:szCs w:val="21"/>
                      <w:highlight w:val="none"/>
                    </w:rPr>
                  </w:pPr>
                  <w:r>
                    <w:rPr>
                      <w:rFonts w:hint="eastAsia"/>
                      <w:color w:val="auto"/>
                      <w:sz w:val="21"/>
                      <w:szCs w:val="21"/>
                      <w:highlight w:val="none"/>
                    </w:rPr>
                    <w:t>一般排放口</w:t>
                  </w:r>
                </w:p>
              </w:tc>
            </w:tr>
          </w:tbl>
          <w:p w14:paraId="3BE1EF37">
            <w:pPr>
              <w:adjustRightInd w:val="0"/>
              <w:snapToGrid w:val="0"/>
              <w:jc w:val="center"/>
              <w:rPr>
                <w:b/>
                <w:bCs/>
                <w:color w:val="auto"/>
                <w:highlight w:val="none"/>
              </w:rPr>
            </w:pPr>
            <w:r>
              <w:rPr>
                <w:b/>
                <w:bCs/>
                <w:color w:val="auto"/>
                <w:highlight w:val="none"/>
              </w:rPr>
              <w:t>表4-</w:t>
            </w:r>
            <w:r>
              <w:rPr>
                <w:rFonts w:hint="eastAsia"/>
                <w:b/>
                <w:bCs/>
                <w:color w:val="auto"/>
                <w:highlight w:val="none"/>
              </w:rPr>
              <w:t xml:space="preserve">6  </w:t>
            </w:r>
            <w:r>
              <w:rPr>
                <w:b/>
                <w:bCs/>
                <w:color w:val="auto"/>
                <w:highlight w:val="none"/>
              </w:rPr>
              <w:t>项目废气监测计划一览表</w:t>
            </w:r>
          </w:p>
          <w:tbl>
            <w:tblPr>
              <w:tblStyle w:val="35"/>
              <w:tblW w:w="8558"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1084"/>
              <w:gridCol w:w="1796"/>
              <w:gridCol w:w="1849"/>
              <w:gridCol w:w="1333"/>
              <w:gridCol w:w="2496"/>
            </w:tblGrid>
            <w:tr w14:paraId="4D1FB13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79" w:hRule="atLeast"/>
                <w:jc w:val="center"/>
              </w:trPr>
              <w:tc>
                <w:tcPr>
                  <w:tcW w:w="633" w:type="pct"/>
                  <w:vAlign w:val="center"/>
                </w:tcPr>
                <w:p w14:paraId="65A2F096">
                  <w:pPr>
                    <w:adjustRightInd w:val="0"/>
                    <w:snapToGrid w:val="0"/>
                    <w:jc w:val="center"/>
                    <w:rPr>
                      <w:color w:val="auto"/>
                      <w:szCs w:val="21"/>
                      <w:highlight w:val="none"/>
                    </w:rPr>
                  </w:pPr>
                  <w:r>
                    <w:rPr>
                      <w:rFonts w:hint="eastAsia"/>
                      <w:color w:val="auto"/>
                      <w:szCs w:val="21"/>
                      <w:highlight w:val="none"/>
                    </w:rPr>
                    <w:t>废气形式</w:t>
                  </w:r>
                </w:p>
              </w:tc>
              <w:tc>
                <w:tcPr>
                  <w:tcW w:w="1049" w:type="pct"/>
                  <w:vAlign w:val="center"/>
                </w:tcPr>
                <w:p w14:paraId="36F4A201">
                  <w:pPr>
                    <w:adjustRightInd w:val="0"/>
                    <w:snapToGrid w:val="0"/>
                    <w:jc w:val="center"/>
                    <w:rPr>
                      <w:color w:val="auto"/>
                      <w:szCs w:val="21"/>
                      <w:highlight w:val="none"/>
                    </w:rPr>
                  </w:pPr>
                  <w:r>
                    <w:rPr>
                      <w:color w:val="auto"/>
                      <w:szCs w:val="21"/>
                      <w:highlight w:val="none"/>
                    </w:rPr>
                    <w:t>监测点位</w:t>
                  </w:r>
                </w:p>
              </w:tc>
              <w:tc>
                <w:tcPr>
                  <w:tcW w:w="1080" w:type="pct"/>
                  <w:vAlign w:val="center"/>
                </w:tcPr>
                <w:p w14:paraId="61F7CF56">
                  <w:pPr>
                    <w:adjustRightInd w:val="0"/>
                    <w:snapToGrid w:val="0"/>
                    <w:jc w:val="center"/>
                    <w:rPr>
                      <w:color w:val="auto"/>
                      <w:szCs w:val="21"/>
                      <w:highlight w:val="none"/>
                    </w:rPr>
                  </w:pPr>
                  <w:r>
                    <w:rPr>
                      <w:color w:val="auto"/>
                      <w:szCs w:val="21"/>
                      <w:highlight w:val="none"/>
                    </w:rPr>
                    <w:t>监测</w:t>
                  </w:r>
                  <w:r>
                    <w:rPr>
                      <w:rFonts w:hint="eastAsia"/>
                      <w:color w:val="auto"/>
                      <w:szCs w:val="21"/>
                      <w:highlight w:val="none"/>
                    </w:rPr>
                    <w:t>指标</w:t>
                  </w:r>
                </w:p>
              </w:tc>
              <w:tc>
                <w:tcPr>
                  <w:tcW w:w="779" w:type="pct"/>
                  <w:vAlign w:val="center"/>
                </w:tcPr>
                <w:p w14:paraId="7ADA0150">
                  <w:pPr>
                    <w:adjustRightInd w:val="0"/>
                    <w:snapToGrid w:val="0"/>
                    <w:jc w:val="center"/>
                    <w:rPr>
                      <w:color w:val="auto"/>
                      <w:szCs w:val="21"/>
                      <w:highlight w:val="none"/>
                    </w:rPr>
                  </w:pPr>
                  <w:r>
                    <w:rPr>
                      <w:color w:val="auto"/>
                      <w:szCs w:val="21"/>
                      <w:highlight w:val="none"/>
                    </w:rPr>
                    <w:t>监测频率</w:t>
                  </w:r>
                </w:p>
              </w:tc>
              <w:tc>
                <w:tcPr>
                  <w:tcW w:w="1457" w:type="pct"/>
                  <w:vAlign w:val="center"/>
                </w:tcPr>
                <w:p w14:paraId="1871498F">
                  <w:pPr>
                    <w:adjustRightInd w:val="0"/>
                    <w:snapToGrid w:val="0"/>
                    <w:jc w:val="center"/>
                    <w:rPr>
                      <w:color w:val="auto"/>
                      <w:szCs w:val="21"/>
                      <w:highlight w:val="none"/>
                    </w:rPr>
                  </w:pPr>
                  <w:r>
                    <w:rPr>
                      <w:rFonts w:hint="eastAsia"/>
                      <w:color w:val="auto"/>
                      <w:szCs w:val="21"/>
                      <w:highlight w:val="none"/>
                    </w:rPr>
                    <w:t>执行标准</w:t>
                  </w:r>
                </w:p>
              </w:tc>
            </w:tr>
            <w:tr w14:paraId="796FEF2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1" w:hRule="atLeast"/>
                <w:jc w:val="center"/>
              </w:trPr>
              <w:tc>
                <w:tcPr>
                  <w:tcW w:w="633" w:type="pct"/>
                  <w:vMerge w:val="restart"/>
                  <w:vAlign w:val="center"/>
                </w:tcPr>
                <w:p w14:paraId="53DE62A5">
                  <w:pPr>
                    <w:adjustRightInd w:val="0"/>
                    <w:snapToGrid w:val="0"/>
                    <w:jc w:val="center"/>
                    <w:rPr>
                      <w:color w:val="auto"/>
                      <w:szCs w:val="21"/>
                      <w:highlight w:val="none"/>
                    </w:rPr>
                  </w:pPr>
                  <w:r>
                    <w:rPr>
                      <w:rFonts w:hint="eastAsia"/>
                      <w:color w:val="auto"/>
                      <w:szCs w:val="21"/>
                      <w:highlight w:val="none"/>
                    </w:rPr>
                    <w:t>有组织</w:t>
                  </w:r>
                </w:p>
              </w:tc>
              <w:tc>
                <w:tcPr>
                  <w:tcW w:w="1049" w:type="pct"/>
                  <w:vAlign w:val="center"/>
                </w:tcPr>
                <w:p w14:paraId="157B41B7">
                  <w:pPr>
                    <w:widowControl/>
                    <w:ind w:left="-105" w:leftChars="-50" w:right="-105" w:rightChars="-50"/>
                    <w:jc w:val="center"/>
                    <w:textAlignment w:val="center"/>
                    <w:rPr>
                      <w:color w:val="auto"/>
                      <w:szCs w:val="21"/>
                      <w:highlight w:val="none"/>
                    </w:rPr>
                  </w:pPr>
                  <w:r>
                    <w:rPr>
                      <w:rFonts w:hint="eastAsia"/>
                      <w:color w:val="auto"/>
                      <w:szCs w:val="21"/>
                      <w:highlight w:val="none"/>
                    </w:rPr>
                    <w:t>DA001</w:t>
                  </w:r>
                </w:p>
              </w:tc>
              <w:tc>
                <w:tcPr>
                  <w:tcW w:w="1080" w:type="pct"/>
                  <w:vAlign w:val="center"/>
                </w:tcPr>
                <w:p w14:paraId="3494C0EE">
                  <w:pPr>
                    <w:adjustRightInd w:val="0"/>
                    <w:snapToGrid w:val="0"/>
                    <w:jc w:val="center"/>
                    <w:rPr>
                      <w:color w:val="auto"/>
                      <w:szCs w:val="21"/>
                      <w:highlight w:val="none"/>
                    </w:rPr>
                  </w:pPr>
                  <w:r>
                    <w:rPr>
                      <w:color w:val="auto"/>
                      <w:szCs w:val="21"/>
                      <w:highlight w:val="none"/>
                    </w:rPr>
                    <w:t>颗粒物</w:t>
                  </w:r>
                  <w:r>
                    <w:rPr>
                      <w:rFonts w:hint="eastAsia"/>
                      <w:color w:val="auto"/>
                      <w:szCs w:val="21"/>
                      <w:highlight w:val="none"/>
                    </w:rPr>
                    <w:t>、</w:t>
                  </w:r>
                  <w:r>
                    <w:rPr>
                      <w:rFonts w:hint="eastAsia"/>
                      <w:color w:val="auto"/>
                      <w:kern w:val="0"/>
                      <w:szCs w:val="21"/>
                      <w:highlight w:val="none"/>
                    </w:rPr>
                    <w:t>SO</w:t>
                  </w:r>
                  <w:r>
                    <w:rPr>
                      <w:rFonts w:hint="eastAsia"/>
                      <w:color w:val="auto"/>
                      <w:kern w:val="0"/>
                      <w:szCs w:val="21"/>
                      <w:highlight w:val="none"/>
                      <w:vertAlign w:val="subscript"/>
                    </w:rPr>
                    <w:t>2</w:t>
                  </w:r>
                  <w:r>
                    <w:rPr>
                      <w:rFonts w:hint="eastAsia"/>
                      <w:color w:val="auto"/>
                      <w:kern w:val="0"/>
                      <w:szCs w:val="21"/>
                      <w:highlight w:val="none"/>
                    </w:rPr>
                    <w:t>、NO</w:t>
                  </w:r>
                  <w:r>
                    <w:rPr>
                      <w:rFonts w:hint="eastAsia"/>
                      <w:color w:val="auto"/>
                      <w:kern w:val="0"/>
                      <w:szCs w:val="21"/>
                      <w:highlight w:val="none"/>
                      <w:vertAlign w:val="subscript"/>
                    </w:rPr>
                    <w:t>X</w:t>
                  </w:r>
                </w:p>
              </w:tc>
              <w:tc>
                <w:tcPr>
                  <w:tcW w:w="779" w:type="pct"/>
                  <w:vAlign w:val="center"/>
                </w:tcPr>
                <w:p w14:paraId="49BA2DD2">
                  <w:pPr>
                    <w:adjustRightInd w:val="0"/>
                    <w:snapToGrid w:val="0"/>
                    <w:jc w:val="center"/>
                    <w:rPr>
                      <w:color w:val="auto"/>
                      <w:szCs w:val="21"/>
                      <w:highlight w:val="none"/>
                    </w:rPr>
                  </w:pPr>
                  <w:r>
                    <w:rPr>
                      <w:color w:val="auto"/>
                      <w:szCs w:val="21"/>
                      <w:highlight w:val="none"/>
                    </w:rPr>
                    <w:t>1次/</w:t>
                  </w:r>
                  <w:r>
                    <w:rPr>
                      <w:rFonts w:hint="eastAsia"/>
                      <w:color w:val="auto"/>
                      <w:szCs w:val="21"/>
                      <w:highlight w:val="none"/>
                    </w:rPr>
                    <w:t>半年</w:t>
                  </w:r>
                </w:p>
              </w:tc>
              <w:tc>
                <w:tcPr>
                  <w:tcW w:w="1457" w:type="pct"/>
                  <w:vAlign w:val="center"/>
                </w:tcPr>
                <w:p w14:paraId="067CB672">
                  <w:pPr>
                    <w:adjustRightInd w:val="0"/>
                    <w:snapToGrid w:val="0"/>
                    <w:jc w:val="center"/>
                    <w:rPr>
                      <w:color w:val="auto"/>
                      <w:szCs w:val="21"/>
                      <w:highlight w:val="none"/>
                    </w:rPr>
                  </w:pPr>
                  <w:r>
                    <w:rPr>
                      <w:rFonts w:hint="eastAsia"/>
                      <w:color w:val="auto"/>
                      <w:szCs w:val="21"/>
                      <w:highlight w:val="none"/>
                    </w:rPr>
                    <w:t>《锅炉大气污染物排放标准》（DB61/1226-2018）</w:t>
                  </w:r>
                </w:p>
              </w:tc>
            </w:tr>
            <w:tr w14:paraId="7AB8658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1" w:hRule="atLeast"/>
                <w:jc w:val="center"/>
              </w:trPr>
              <w:tc>
                <w:tcPr>
                  <w:tcW w:w="633" w:type="pct"/>
                  <w:vMerge w:val="continue"/>
                  <w:vAlign w:val="center"/>
                </w:tcPr>
                <w:p w14:paraId="5635BC46">
                  <w:pPr>
                    <w:adjustRightInd w:val="0"/>
                    <w:snapToGrid w:val="0"/>
                    <w:jc w:val="center"/>
                    <w:rPr>
                      <w:color w:val="auto"/>
                      <w:szCs w:val="21"/>
                      <w:highlight w:val="none"/>
                    </w:rPr>
                  </w:pPr>
                </w:p>
              </w:tc>
              <w:tc>
                <w:tcPr>
                  <w:tcW w:w="1049" w:type="pct"/>
                  <w:vAlign w:val="center"/>
                </w:tcPr>
                <w:p w14:paraId="6684A9DC">
                  <w:pPr>
                    <w:spacing w:before="72" w:beforeLines="30"/>
                    <w:jc w:val="center"/>
                    <w:rPr>
                      <w:color w:val="auto"/>
                      <w:szCs w:val="21"/>
                      <w:highlight w:val="none"/>
                    </w:rPr>
                  </w:pPr>
                  <w:r>
                    <w:rPr>
                      <w:rFonts w:hint="eastAsia"/>
                      <w:color w:val="auto"/>
                      <w:szCs w:val="21"/>
                      <w:highlight w:val="none"/>
                    </w:rPr>
                    <w:t>DA002</w:t>
                  </w:r>
                </w:p>
              </w:tc>
              <w:tc>
                <w:tcPr>
                  <w:tcW w:w="1080" w:type="pct"/>
                  <w:vAlign w:val="center"/>
                </w:tcPr>
                <w:p w14:paraId="0A75545C">
                  <w:pPr>
                    <w:adjustRightInd w:val="0"/>
                    <w:snapToGrid w:val="0"/>
                    <w:jc w:val="center"/>
                    <w:rPr>
                      <w:color w:val="auto"/>
                      <w:szCs w:val="21"/>
                      <w:highlight w:val="none"/>
                    </w:rPr>
                  </w:pPr>
                  <w:r>
                    <w:rPr>
                      <w:rFonts w:hint="eastAsia"/>
                      <w:color w:val="auto"/>
                      <w:szCs w:val="21"/>
                      <w:highlight w:val="none"/>
                    </w:rPr>
                    <w:t>油烟</w:t>
                  </w:r>
                </w:p>
              </w:tc>
              <w:tc>
                <w:tcPr>
                  <w:tcW w:w="779" w:type="pct"/>
                  <w:vAlign w:val="center"/>
                </w:tcPr>
                <w:p w14:paraId="5232156D">
                  <w:pPr>
                    <w:adjustRightInd w:val="0"/>
                    <w:snapToGrid w:val="0"/>
                    <w:jc w:val="center"/>
                    <w:rPr>
                      <w:color w:val="auto"/>
                      <w:szCs w:val="21"/>
                      <w:highlight w:val="none"/>
                    </w:rPr>
                  </w:pPr>
                  <w:r>
                    <w:rPr>
                      <w:color w:val="auto"/>
                      <w:szCs w:val="21"/>
                      <w:highlight w:val="none"/>
                    </w:rPr>
                    <w:t>1次/</w:t>
                  </w:r>
                  <w:r>
                    <w:rPr>
                      <w:rFonts w:hint="eastAsia"/>
                      <w:color w:val="auto"/>
                      <w:szCs w:val="21"/>
                      <w:highlight w:val="none"/>
                    </w:rPr>
                    <w:t>半年</w:t>
                  </w:r>
                </w:p>
              </w:tc>
              <w:tc>
                <w:tcPr>
                  <w:tcW w:w="1457" w:type="pct"/>
                  <w:vMerge w:val="restart"/>
                  <w:vAlign w:val="center"/>
                </w:tcPr>
                <w:p w14:paraId="666CE5CA">
                  <w:pPr>
                    <w:adjustRightInd w:val="0"/>
                    <w:snapToGrid w:val="0"/>
                    <w:jc w:val="center"/>
                    <w:rPr>
                      <w:color w:val="auto"/>
                      <w:szCs w:val="21"/>
                      <w:highlight w:val="none"/>
                    </w:rPr>
                  </w:pPr>
                  <w:r>
                    <w:rPr>
                      <w:rFonts w:hint="eastAsia"/>
                      <w:color w:val="auto"/>
                      <w:szCs w:val="21"/>
                      <w:highlight w:val="none"/>
                    </w:rPr>
                    <w:t>《饮食业油烟排放标准（试行）》（GB18483-2001）</w:t>
                  </w:r>
                </w:p>
              </w:tc>
            </w:tr>
            <w:tr w14:paraId="1AE5086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1" w:hRule="atLeast"/>
                <w:jc w:val="center"/>
              </w:trPr>
              <w:tc>
                <w:tcPr>
                  <w:tcW w:w="633" w:type="pct"/>
                  <w:vMerge w:val="continue"/>
                  <w:vAlign w:val="center"/>
                </w:tcPr>
                <w:p w14:paraId="0F1AC7A7">
                  <w:pPr>
                    <w:adjustRightInd w:val="0"/>
                    <w:snapToGrid w:val="0"/>
                    <w:jc w:val="center"/>
                    <w:rPr>
                      <w:color w:val="auto"/>
                      <w:szCs w:val="21"/>
                      <w:highlight w:val="none"/>
                    </w:rPr>
                  </w:pPr>
                </w:p>
              </w:tc>
              <w:tc>
                <w:tcPr>
                  <w:tcW w:w="1049" w:type="pct"/>
                  <w:vAlign w:val="center"/>
                </w:tcPr>
                <w:p w14:paraId="116A17BB">
                  <w:pPr>
                    <w:spacing w:before="72" w:beforeLines="30"/>
                    <w:jc w:val="center"/>
                    <w:rPr>
                      <w:color w:val="auto"/>
                      <w:szCs w:val="21"/>
                      <w:highlight w:val="none"/>
                    </w:rPr>
                  </w:pPr>
                  <w:r>
                    <w:rPr>
                      <w:rFonts w:hint="eastAsia"/>
                      <w:color w:val="auto"/>
                      <w:szCs w:val="21"/>
                      <w:highlight w:val="none"/>
                    </w:rPr>
                    <w:t>DA003</w:t>
                  </w:r>
                </w:p>
              </w:tc>
              <w:tc>
                <w:tcPr>
                  <w:tcW w:w="1080" w:type="pct"/>
                  <w:vAlign w:val="center"/>
                </w:tcPr>
                <w:p w14:paraId="2E1D0E0B">
                  <w:pPr>
                    <w:adjustRightInd w:val="0"/>
                    <w:snapToGrid w:val="0"/>
                    <w:jc w:val="center"/>
                    <w:rPr>
                      <w:color w:val="auto"/>
                      <w:szCs w:val="21"/>
                      <w:highlight w:val="none"/>
                    </w:rPr>
                  </w:pPr>
                  <w:r>
                    <w:rPr>
                      <w:rFonts w:hint="eastAsia"/>
                      <w:color w:val="auto"/>
                      <w:szCs w:val="21"/>
                      <w:highlight w:val="none"/>
                    </w:rPr>
                    <w:t>油烟</w:t>
                  </w:r>
                </w:p>
              </w:tc>
              <w:tc>
                <w:tcPr>
                  <w:tcW w:w="779" w:type="pct"/>
                  <w:vAlign w:val="center"/>
                </w:tcPr>
                <w:p w14:paraId="2BB07CD0">
                  <w:pPr>
                    <w:adjustRightInd w:val="0"/>
                    <w:snapToGrid w:val="0"/>
                    <w:jc w:val="center"/>
                    <w:rPr>
                      <w:color w:val="auto"/>
                      <w:szCs w:val="21"/>
                      <w:highlight w:val="none"/>
                    </w:rPr>
                  </w:pPr>
                  <w:r>
                    <w:rPr>
                      <w:color w:val="auto"/>
                      <w:szCs w:val="21"/>
                      <w:highlight w:val="none"/>
                    </w:rPr>
                    <w:t>1次/</w:t>
                  </w:r>
                  <w:r>
                    <w:rPr>
                      <w:rFonts w:hint="eastAsia"/>
                      <w:color w:val="auto"/>
                      <w:szCs w:val="21"/>
                      <w:highlight w:val="none"/>
                    </w:rPr>
                    <w:t>半年</w:t>
                  </w:r>
                </w:p>
              </w:tc>
              <w:tc>
                <w:tcPr>
                  <w:tcW w:w="1457" w:type="pct"/>
                  <w:vMerge w:val="continue"/>
                  <w:vAlign w:val="center"/>
                </w:tcPr>
                <w:p w14:paraId="2CB0EF9C">
                  <w:pPr>
                    <w:adjustRightInd w:val="0"/>
                    <w:snapToGrid w:val="0"/>
                    <w:jc w:val="center"/>
                    <w:rPr>
                      <w:color w:val="auto"/>
                      <w:szCs w:val="21"/>
                      <w:highlight w:val="none"/>
                    </w:rPr>
                  </w:pPr>
                </w:p>
              </w:tc>
            </w:tr>
            <w:tr w14:paraId="0A3BC76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5" w:hRule="atLeast"/>
                <w:jc w:val="center"/>
              </w:trPr>
              <w:tc>
                <w:tcPr>
                  <w:tcW w:w="633" w:type="pct"/>
                  <w:vAlign w:val="center"/>
                </w:tcPr>
                <w:p w14:paraId="5F80B50E">
                  <w:pPr>
                    <w:adjustRightInd w:val="0"/>
                    <w:snapToGrid w:val="0"/>
                    <w:jc w:val="center"/>
                    <w:rPr>
                      <w:color w:val="auto"/>
                      <w:szCs w:val="21"/>
                      <w:highlight w:val="none"/>
                    </w:rPr>
                  </w:pPr>
                  <w:r>
                    <w:rPr>
                      <w:rFonts w:hint="eastAsia"/>
                      <w:color w:val="auto"/>
                      <w:szCs w:val="21"/>
                      <w:highlight w:val="none"/>
                    </w:rPr>
                    <w:t>无组织</w:t>
                  </w:r>
                </w:p>
              </w:tc>
              <w:tc>
                <w:tcPr>
                  <w:tcW w:w="1049" w:type="pct"/>
                  <w:vAlign w:val="center"/>
                </w:tcPr>
                <w:p w14:paraId="67AEBF29">
                  <w:pPr>
                    <w:widowControl/>
                    <w:ind w:left="-105" w:leftChars="-50" w:right="-105" w:rightChars="-50"/>
                    <w:jc w:val="center"/>
                    <w:textAlignment w:val="center"/>
                    <w:rPr>
                      <w:color w:val="auto"/>
                      <w:szCs w:val="21"/>
                      <w:highlight w:val="none"/>
                    </w:rPr>
                  </w:pPr>
                  <w:r>
                    <w:rPr>
                      <w:rFonts w:hint="eastAsia"/>
                      <w:color w:val="auto"/>
                      <w:szCs w:val="21"/>
                      <w:highlight w:val="none"/>
                    </w:rPr>
                    <w:t>厂界上风向1个</w:t>
                  </w:r>
                </w:p>
                <w:p w14:paraId="35E8895F">
                  <w:pPr>
                    <w:widowControl/>
                    <w:ind w:left="-105" w:leftChars="-50" w:right="-105" w:rightChars="-50"/>
                    <w:jc w:val="center"/>
                    <w:textAlignment w:val="center"/>
                    <w:rPr>
                      <w:color w:val="auto"/>
                      <w:szCs w:val="21"/>
                      <w:highlight w:val="none"/>
                    </w:rPr>
                  </w:pPr>
                  <w:r>
                    <w:rPr>
                      <w:rFonts w:hint="eastAsia"/>
                      <w:color w:val="auto"/>
                      <w:szCs w:val="21"/>
                      <w:highlight w:val="none"/>
                    </w:rPr>
                    <w:t>下风向3个</w:t>
                  </w:r>
                </w:p>
              </w:tc>
              <w:tc>
                <w:tcPr>
                  <w:tcW w:w="1080" w:type="pct"/>
                  <w:vAlign w:val="center"/>
                </w:tcPr>
                <w:p w14:paraId="681F3574">
                  <w:pPr>
                    <w:adjustRightInd w:val="0"/>
                    <w:snapToGrid w:val="0"/>
                    <w:jc w:val="center"/>
                    <w:rPr>
                      <w:rStyle w:val="41"/>
                      <w:rFonts w:hint="eastAsia"/>
                      <w:color w:val="auto"/>
                      <w:kern w:val="0"/>
                      <w:szCs w:val="20"/>
                      <w:highlight w:val="none"/>
                      <w:lang w:eastAsia="zh-CN"/>
                    </w:rPr>
                  </w:pPr>
                  <w:r>
                    <w:rPr>
                      <w:rFonts w:hint="eastAsia"/>
                      <w:color w:val="auto"/>
                      <w:szCs w:val="21"/>
                      <w:highlight w:val="none"/>
                    </w:rPr>
                    <w:t>NH</w:t>
                  </w:r>
                  <w:r>
                    <w:rPr>
                      <w:rFonts w:hint="eastAsia"/>
                      <w:color w:val="auto"/>
                      <w:szCs w:val="21"/>
                      <w:highlight w:val="none"/>
                      <w:vertAlign w:val="subscript"/>
                    </w:rPr>
                    <w:t>3</w:t>
                  </w:r>
                  <w:r>
                    <w:rPr>
                      <w:rFonts w:hint="eastAsia"/>
                      <w:color w:val="auto"/>
                      <w:szCs w:val="21"/>
                      <w:highlight w:val="none"/>
                    </w:rPr>
                    <w:t>、H</w:t>
                  </w:r>
                  <w:r>
                    <w:rPr>
                      <w:rFonts w:hint="eastAsia"/>
                      <w:color w:val="auto"/>
                      <w:szCs w:val="21"/>
                      <w:highlight w:val="none"/>
                      <w:vertAlign w:val="subscript"/>
                    </w:rPr>
                    <w:t>2</w:t>
                  </w:r>
                  <w:r>
                    <w:rPr>
                      <w:rFonts w:hint="eastAsia"/>
                      <w:color w:val="auto"/>
                      <w:szCs w:val="21"/>
                      <w:highlight w:val="none"/>
                    </w:rPr>
                    <w:t>S</w:t>
                  </w:r>
                  <w:r>
                    <w:rPr>
                      <w:rStyle w:val="41"/>
                      <w:rFonts w:hint="eastAsia"/>
                      <w:color w:val="auto"/>
                      <w:kern w:val="0"/>
                      <w:szCs w:val="20"/>
                      <w:highlight w:val="none"/>
                      <w:lang w:eastAsia="zh-CN"/>
                    </w:rPr>
                    <w:t>、</w:t>
                  </w:r>
                </w:p>
                <w:p w14:paraId="34EAD68E">
                  <w:pPr>
                    <w:adjustRightInd w:val="0"/>
                    <w:snapToGrid w:val="0"/>
                    <w:jc w:val="center"/>
                    <w:rPr>
                      <w:rFonts w:hint="eastAsia" w:eastAsia="宋体"/>
                      <w:color w:val="auto"/>
                      <w:szCs w:val="21"/>
                      <w:highlight w:val="none"/>
                      <w:lang w:eastAsia="zh-CN"/>
                    </w:rPr>
                  </w:pPr>
                  <w:r>
                    <w:rPr>
                      <w:rStyle w:val="41"/>
                      <w:rFonts w:hint="eastAsia"/>
                      <w:color w:val="auto"/>
                      <w:kern w:val="0"/>
                      <w:szCs w:val="20"/>
                      <w:highlight w:val="none"/>
                      <w:lang w:eastAsia="zh-CN"/>
                    </w:rPr>
                    <w:t>臭气浓度</w:t>
                  </w:r>
                </w:p>
              </w:tc>
              <w:tc>
                <w:tcPr>
                  <w:tcW w:w="779" w:type="pct"/>
                  <w:vAlign w:val="center"/>
                </w:tcPr>
                <w:p w14:paraId="3035E5A5">
                  <w:pPr>
                    <w:adjustRightInd w:val="0"/>
                    <w:snapToGrid w:val="0"/>
                    <w:jc w:val="center"/>
                    <w:rPr>
                      <w:rFonts w:hint="eastAsia" w:eastAsia="宋体"/>
                      <w:color w:val="auto"/>
                      <w:szCs w:val="21"/>
                      <w:highlight w:val="none"/>
                      <w:lang w:eastAsia="zh-CN"/>
                    </w:rPr>
                  </w:pPr>
                  <w:r>
                    <w:rPr>
                      <w:color w:val="auto"/>
                      <w:szCs w:val="21"/>
                      <w:highlight w:val="none"/>
                    </w:rPr>
                    <w:t>1次/</w:t>
                  </w:r>
                  <w:r>
                    <w:rPr>
                      <w:rFonts w:hint="eastAsia"/>
                      <w:color w:val="auto"/>
                      <w:szCs w:val="21"/>
                      <w:highlight w:val="none"/>
                      <w:lang w:eastAsia="zh-CN"/>
                    </w:rPr>
                    <w:t>季度</w:t>
                  </w:r>
                </w:p>
              </w:tc>
              <w:tc>
                <w:tcPr>
                  <w:tcW w:w="1457" w:type="pct"/>
                  <w:vAlign w:val="center"/>
                </w:tcPr>
                <w:p w14:paraId="1EB7BF8A">
                  <w:pPr>
                    <w:adjustRightInd w:val="0"/>
                    <w:snapToGrid w:val="0"/>
                    <w:jc w:val="center"/>
                    <w:rPr>
                      <w:color w:val="auto"/>
                      <w:szCs w:val="21"/>
                      <w:highlight w:val="none"/>
                    </w:rPr>
                  </w:pPr>
                  <w:r>
                    <w:rPr>
                      <w:rFonts w:hint="eastAsia"/>
                      <w:color w:val="auto"/>
                      <w:szCs w:val="21"/>
                      <w:highlight w:val="none"/>
                    </w:rPr>
                    <w:t>《恶臭污染物排放标准》（GB14554-93）</w:t>
                  </w:r>
                </w:p>
              </w:tc>
            </w:tr>
          </w:tbl>
          <w:p w14:paraId="325CC18F">
            <w:pPr>
              <w:pStyle w:val="46"/>
              <w:numPr>
                <w:ilvl w:val="0"/>
                <w:numId w:val="3"/>
              </w:numPr>
              <w:spacing w:line="360" w:lineRule="auto"/>
              <w:ind w:firstLine="472"/>
              <w:rPr>
                <w:rFonts w:ascii="Times New Roman" w:cs="Times New Roman"/>
                <w:b/>
                <w:color w:val="auto"/>
                <w:kern w:val="2"/>
                <w:highlight w:val="none"/>
                <w:lang w:bidi="ar"/>
              </w:rPr>
            </w:pPr>
            <w:r>
              <w:rPr>
                <w:rFonts w:hint="eastAsia" w:ascii="Times New Roman" w:cs="Times New Roman"/>
                <w:b/>
                <w:color w:val="auto"/>
                <w:kern w:val="2"/>
                <w:highlight w:val="none"/>
                <w:lang w:bidi="ar"/>
              </w:rPr>
              <w:t>非正常工况下废气排放情况及处理措施</w:t>
            </w:r>
          </w:p>
          <w:p w14:paraId="2B7A6550">
            <w:pPr>
              <w:pStyle w:val="46"/>
              <w:spacing w:line="360" w:lineRule="auto"/>
              <w:ind w:firstLine="480" w:firstLineChars="200"/>
              <w:rPr>
                <w:rFonts w:ascii="Times New Roman" w:cs="Times New Roman"/>
                <w:color w:val="auto"/>
                <w:kern w:val="2"/>
                <w:highlight w:val="none"/>
              </w:rPr>
            </w:pPr>
            <w:r>
              <w:rPr>
                <w:rFonts w:hint="eastAsia" w:ascii="Times New Roman" w:cs="Times New Roman"/>
                <w:bCs/>
                <w:color w:val="auto"/>
                <w:kern w:val="2"/>
                <w:highlight w:val="none"/>
                <w:lang w:bidi="ar"/>
              </w:rPr>
              <w:t>本项目</w:t>
            </w:r>
            <w:r>
              <w:rPr>
                <w:rFonts w:hint="eastAsia" w:ascii="Times New Roman" w:cs="Times New Roman"/>
                <w:color w:val="auto"/>
                <w:kern w:val="2"/>
                <w:highlight w:val="none"/>
              </w:rPr>
              <w:t>后期运营过程中会不可避免地出现生产设备故障等非正常工况，根据企业介绍，非正常工况发生的频次约为1~2次/a。废气排放情况见下表：</w:t>
            </w:r>
          </w:p>
          <w:p w14:paraId="118D8A27">
            <w:pPr>
              <w:jc w:val="center"/>
              <w:rPr>
                <w:b/>
                <w:bCs/>
                <w:color w:val="auto"/>
                <w:szCs w:val="21"/>
                <w:highlight w:val="none"/>
              </w:rPr>
            </w:pPr>
            <w:r>
              <w:rPr>
                <w:rFonts w:hint="eastAsia"/>
                <w:b/>
                <w:bCs/>
                <w:color w:val="auto"/>
                <w:szCs w:val="21"/>
                <w:highlight w:val="none"/>
              </w:rPr>
              <w:t>表4</w:t>
            </w:r>
            <w:r>
              <w:rPr>
                <w:b/>
                <w:bCs/>
                <w:color w:val="auto"/>
                <w:szCs w:val="21"/>
                <w:highlight w:val="none"/>
              </w:rPr>
              <w:t>-</w:t>
            </w:r>
            <w:r>
              <w:rPr>
                <w:rFonts w:hint="eastAsia"/>
                <w:b/>
                <w:bCs/>
                <w:color w:val="auto"/>
                <w:szCs w:val="21"/>
                <w:highlight w:val="none"/>
              </w:rPr>
              <w:t>7</w:t>
            </w:r>
            <w:r>
              <w:rPr>
                <w:b/>
                <w:bCs/>
                <w:color w:val="auto"/>
                <w:szCs w:val="21"/>
                <w:highlight w:val="none"/>
              </w:rPr>
              <w:t xml:space="preserve">  </w:t>
            </w:r>
            <w:r>
              <w:rPr>
                <w:rFonts w:hint="eastAsia"/>
                <w:b/>
                <w:bCs/>
                <w:color w:val="auto"/>
                <w:szCs w:val="21"/>
                <w:highlight w:val="none"/>
              </w:rPr>
              <w:t>项目非正常工况大气污染物排放量核算表</w:t>
            </w:r>
          </w:p>
          <w:tbl>
            <w:tblPr>
              <w:tblStyle w:val="35"/>
              <w:tblW w:w="8397"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80"/>
              <w:gridCol w:w="1223"/>
              <w:gridCol w:w="1352"/>
              <w:gridCol w:w="1436"/>
              <w:gridCol w:w="1459"/>
              <w:gridCol w:w="897"/>
              <w:gridCol w:w="950"/>
            </w:tblGrid>
            <w:tr w14:paraId="56855CD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080" w:type="dxa"/>
                  <w:vAlign w:val="center"/>
                </w:tcPr>
                <w:p w14:paraId="7DF9B6B5">
                  <w:pPr>
                    <w:snapToGrid w:val="0"/>
                    <w:jc w:val="center"/>
                    <w:rPr>
                      <w:color w:val="auto"/>
                      <w:szCs w:val="21"/>
                      <w:highlight w:val="none"/>
                    </w:rPr>
                  </w:pPr>
                  <w:r>
                    <w:rPr>
                      <w:rFonts w:hint="eastAsia"/>
                      <w:color w:val="auto"/>
                      <w:szCs w:val="21"/>
                      <w:highlight w:val="none"/>
                    </w:rPr>
                    <w:t>污染物</w:t>
                  </w:r>
                </w:p>
              </w:tc>
              <w:tc>
                <w:tcPr>
                  <w:tcW w:w="1223" w:type="dxa"/>
                  <w:vAlign w:val="center"/>
                </w:tcPr>
                <w:p w14:paraId="6FE334F6">
                  <w:pPr>
                    <w:snapToGrid w:val="0"/>
                    <w:jc w:val="center"/>
                    <w:rPr>
                      <w:color w:val="auto"/>
                      <w:szCs w:val="21"/>
                      <w:highlight w:val="none"/>
                    </w:rPr>
                  </w:pPr>
                  <w:r>
                    <w:rPr>
                      <w:rFonts w:hint="eastAsia"/>
                      <w:color w:val="auto"/>
                      <w:szCs w:val="21"/>
                      <w:highlight w:val="none"/>
                    </w:rPr>
                    <w:t>排放量</w:t>
                  </w:r>
                </w:p>
              </w:tc>
              <w:tc>
                <w:tcPr>
                  <w:tcW w:w="1352" w:type="dxa"/>
                  <w:vAlign w:val="center"/>
                </w:tcPr>
                <w:p w14:paraId="7A73C144">
                  <w:pPr>
                    <w:snapToGrid w:val="0"/>
                    <w:jc w:val="center"/>
                    <w:rPr>
                      <w:color w:val="auto"/>
                      <w:szCs w:val="21"/>
                      <w:highlight w:val="none"/>
                    </w:rPr>
                  </w:pPr>
                  <w:r>
                    <w:rPr>
                      <w:rFonts w:hint="eastAsia"/>
                      <w:color w:val="auto"/>
                      <w:szCs w:val="21"/>
                      <w:highlight w:val="none"/>
                    </w:rPr>
                    <w:t>排放浓度</w:t>
                  </w:r>
                </w:p>
              </w:tc>
              <w:tc>
                <w:tcPr>
                  <w:tcW w:w="1436" w:type="dxa"/>
                  <w:vAlign w:val="center"/>
                </w:tcPr>
                <w:p w14:paraId="45CA504E">
                  <w:pPr>
                    <w:snapToGrid w:val="0"/>
                    <w:jc w:val="center"/>
                    <w:rPr>
                      <w:color w:val="auto"/>
                      <w:szCs w:val="21"/>
                      <w:highlight w:val="none"/>
                    </w:rPr>
                  </w:pPr>
                  <w:r>
                    <w:rPr>
                      <w:rFonts w:hint="eastAsia"/>
                      <w:color w:val="auto"/>
                      <w:szCs w:val="21"/>
                      <w:highlight w:val="none"/>
                    </w:rPr>
                    <w:t>排放速率</w:t>
                  </w:r>
                </w:p>
              </w:tc>
              <w:tc>
                <w:tcPr>
                  <w:tcW w:w="1459" w:type="dxa"/>
                  <w:vAlign w:val="center"/>
                </w:tcPr>
                <w:p w14:paraId="7D778AE3">
                  <w:pPr>
                    <w:snapToGrid w:val="0"/>
                    <w:jc w:val="center"/>
                    <w:rPr>
                      <w:color w:val="auto"/>
                      <w:szCs w:val="21"/>
                      <w:highlight w:val="none"/>
                    </w:rPr>
                  </w:pPr>
                  <w:r>
                    <w:rPr>
                      <w:rFonts w:hint="eastAsia"/>
                      <w:color w:val="auto"/>
                      <w:szCs w:val="21"/>
                      <w:highlight w:val="none"/>
                    </w:rPr>
                    <w:t>非正常排放原因</w:t>
                  </w:r>
                </w:p>
              </w:tc>
              <w:tc>
                <w:tcPr>
                  <w:tcW w:w="897" w:type="dxa"/>
                  <w:vAlign w:val="center"/>
                </w:tcPr>
                <w:p w14:paraId="6E181C66">
                  <w:pPr>
                    <w:snapToGrid w:val="0"/>
                    <w:jc w:val="center"/>
                    <w:rPr>
                      <w:color w:val="auto"/>
                      <w:szCs w:val="21"/>
                      <w:highlight w:val="none"/>
                    </w:rPr>
                  </w:pPr>
                  <w:r>
                    <w:rPr>
                      <w:rFonts w:hint="eastAsia"/>
                      <w:color w:val="auto"/>
                      <w:szCs w:val="21"/>
                      <w:highlight w:val="none"/>
                    </w:rPr>
                    <w:t>单次持续时间</w:t>
                  </w:r>
                </w:p>
              </w:tc>
              <w:tc>
                <w:tcPr>
                  <w:tcW w:w="950" w:type="dxa"/>
                  <w:vAlign w:val="center"/>
                </w:tcPr>
                <w:p w14:paraId="2E0671A9">
                  <w:pPr>
                    <w:snapToGrid w:val="0"/>
                    <w:jc w:val="center"/>
                    <w:rPr>
                      <w:color w:val="auto"/>
                      <w:szCs w:val="21"/>
                      <w:highlight w:val="none"/>
                    </w:rPr>
                  </w:pPr>
                  <w:r>
                    <w:rPr>
                      <w:rFonts w:hint="eastAsia"/>
                      <w:color w:val="auto"/>
                      <w:szCs w:val="21"/>
                      <w:highlight w:val="none"/>
                    </w:rPr>
                    <w:t>年发生</w:t>
                  </w:r>
                </w:p>
                <w:p w14:paraId="48433CEE">
                  <w:pPr>
                    <w:snapToGrid w:val="0"/>
                    <w:jc w:val="center"/>
                    <w:rPr>
                      <w:color w:val="auto"/>
                      <w:szCs w:val="21"/>
                      <w:highlight w:val="none"/>
                    </w:rPr>
                  </w:pPr>
                  <w:r>
                    <w:rPr>
                      <w:rFonts w:hint="eastAsia"/>
                      <w:color w:val="auto"/>
                      <w:szCs w:val="21"/>
                      <w:highlight w:val="none"/>
                    </w:rPr>
                    <w:t>频次</w:t>
                  </w:r>
                </w:p>
              </w:tc>
            </w:tr>
            <w:tr w14:paraId="7602251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80" w:type="dxa"/>
                  <w:vAlign w:val="center"/>
                </w:tcPr>
                <w:p w14:paraId="5546760C">
                  <w:pPr>
                    <w:widowControl/>
                    <w:tabs>
                      <w:tab w:val="left" w:pos="2940"/>
                    </w:tabs>
                    <w:snapToGrid w:val="0"/>
                    <w:jc w:val="center"/>
                    <w:rPr>
                      <w:color w:val="auto"/>
                      <w:szCs w:val="21"/>
                      <w:highlight w:val="none"/>
                    </w:rPr>
                  </w:pPr>
                  <w:r>
                    <w:rPr>
                      <w:bCs/>
                      <w:color w:val="auto"/>
                      <w:szCs w:val="21"/>
                      <w:highlight w:val="none"/>
                      <w:lang w:bidi="ar"/>
                    </w:rPr>
                    <w:t>颗粒物</w:t>
                  </w:r>
                </w:p>
              </w:tc>
              <w:tc>
                <w:tcPr>
                  <w:tcW w:w="1223" w:type="dxa"/>
                  <w:vAlign w:val="center"/>
                </w:tcPr>
                <w:p w14:paraId="0B2B8613">
                  <w:pPr>
                    <w:widowControl/>
                    <w:tabs>
                      <w:tab w:val="left" w:pos="2940"/>
                    </w:tabs>
                    <w:snapToGrid w:val="0"/>
                    <w:jc w:val="center"/>
                    <w:rPr>
                      <w:color w:val="auto"/>
                      <w:szCs w:val="21"/>
                      <w:highlight w:val="none"/>
                    </w:rPr>
                  </w:pPr>
                  <w:r>
                    <w:rPr>
                      <w:rFonts w:hint="eastAsia"/>
                      <w:bCs/>
                      <w:color w:val="auto"/>
                      <w:szCs w:val="21"/>
                      <w:highlight w:val="none"/>
                      <w:lang w:bidi="ar"/>
                    </w:rPr>
                    <w:t>0.108kg/次</w:t>
                  </w:r>
                </w:p>
              </w:tc>
              <w:tc>
                <w:tcPr>
                  <w:tcW w:w="1352" w:type="dxa"/>
                  <w:vAlign w:val="center"/>
                </w:tcPr>
                <w:p w14:paraId="1FC346F8">
                  <w:pPr>
                    <w:widowControl/>
                    <w:tabs>
                      <w:tab w:val="left" w:pos="2940"/>
                    </w:tabs>
                    <w:snapToGrid w:val="0"/>
                    <w:jc w:val="center"/>
                    <w:rPr>
                      <w:color w:val="auto"/>
                      <w:szCs w:val="21"/>
                      <w:highlight w:val="none"/>
                    </w:rPr>
                  </w:pPr>
                  <w:r>
                    <w:rPr>
                      <w:rFonts w:hint="eastAsia"/>
                      <w:bCs/>
                      <w:color w:val="auto"/>
                      <w:szCs w:val="21"/>
                      <w:highlight w:val="none"/>
                      <w:lang w:bidi="ar"/>
                    </w:rPr>
                    <w:t>83.33mg/m</w:t>
                  </w:r>
                  <w:r>
                    <w:rPr>
                      <w:rFonts w:hint="eastAsia"/>
                      <w:bCs/>
                      <w:color w:val="auto"/>
                      <w:szCs w:val="21"/>
                      <w:highlight w:val="none"/>
                      <w:vertAlign w:val="superscript"/>
                      <w:lang w:bidi="ar"/>
                    </w:rPr>
                    <w:t>3</w:t>
                  </w:r>
                </w:p>
              </w:tc>
              <w:tc>
                <w:tcPr>
                  <w:tcW w:w="1436" w:type="dxa"/>
                  <w:vAlign w:val="center"/>
                </w:tcPr>
                <w:p w14:paraId="21865730">
                  <w:pPr>
                    <w:adjustRightInd w:val="0"/>
                    <w:snapToGrid w:val="0"/>
                    <w:spacing w:line="240" w:lineRule="exact"/>
                    <w:jc w:val="center"/>
                    <w:rPr>
                      <w:color w:val="auto"/>
                      <w:szCs w:val="21"/>
                      <w:highlight w:val="none"/>
                    </w:rPr>
                  </w:pPr>
                  <w:r>
                    <w:rPr>
                      <w:rFonts w:hint="eastAsia"/>
                      <w:color w:val="auto"/>
                      <w:szCs w:val="21"/>
                      <w:highlight w:val="none"/>
                    </w:rPr>
                    <w:t>0.108kg/h</w:t>
                  </w:r>
                </w:p>
              </w:tc>
              <w:tc>
                <w:tcPr>
                  <w:tcW w:w="1459" w:type="dxa"/>
                  <w:vMerge w:val="restart"/>
                  <w:vAlign w:val="center"/>
                </w:tcPr>
                <w:p w14:paraId="39CB7DAB">
                  <w:pPr>
                    <w:snapToGrid w:val="0"/>
                    <w:jc w:val="center"/>
                    <w:rPr>
                      <w:color w:val="auto"/>
                      <w:szCs w:val="21"/>
                      <w:highlight w:val="none"/>
                    </w:rPr>
                  </w:pPr>
                  <w:r>
                    <w:rPr>
                      <w:rFonts w:hint="eastAsia"/>
                      <w:color w:val="auto"/>
                      <w:szCs w:val="21"/>
                      <w:highlight w:val="none"/>
                      <w:lang w:eastAsia="zh-CN"/>
                    </w:rPr>
                    <w:t>袋式</w:t>
                  </w:r>
                  <w:r>
                    <w:rPr>
                      <w:color w:val="auto"/>
                      <w:szCs w:val="21"/>
                      <w:highlight w:val="none"/>
                    </w:rPr>
                    <w:t>除尘或低氮燃烧失效，效率为0情况</w:t>
                  </w:r>
                </w:p>
              </w:tc>
              <w:tc>
                <w:tcPr>
                  <w:tcW w:w="897" w:type="dxa"/>
                  <w:vMerge w:val="restart"/>
                  <w:vAlign w:val="center"/>
                </w:tcPr>
                <w:p w14:paraId="4EA0C98F">
                  <w:pPr>
                    <w:snapToGrid w:val="0"/>
                    <w:jc w:val="center"/>
                    <w:rPr>
                      <w:color w:val="auto"/>
                      <w:szCs w:val="21"/>
                      <w:highlight w:val="none"/>
                    </w:rPr>
                  </w:pPr>
                  <w:r>
                    <w:rPr>
                      <w:rFonts w:hint="eastAsia"/>
                      <w:color w:val="auto"/>
                      <w:szCs w:val="21"/>
                      <w:highlight w:val="none"/>
                    </w:rPr>
                    <w:t>2h</w:t>
                  </w:r>
                </w:p>
              </w:tc>
              <w:tc>
                <w:tcPr>
                  <w:tcW w:w="950" w:type="dxa"/>
                  <w:vMerge w:val="restart"/>
                  <w:vAlign w:val="center"/>
                </w:tcPr>
                <w:p w14:paraId="096154E2">
                  <w:pPr>
                    <w:snapToGrid w:val="0"/>
                    <w:jc w:val="center"/>
                    <w:rPr>
                      <w:color w:val="auto"/>
                      <w:szCs w:val="21"/>
                      <w:highlight w:val="none"/>
                    </w:rPr>
                  </w:pPr>
                  <w:r>
                    <w:rPr>
                      <w:rFonts w:hint="eastAsia"/>
                      <w:color w:val="auto"/>
                      <w:szCs w:val="21"/>
                      <w:highlight w:val="none"/>
                    </w:rPr>
                    <w:t>1~2</w:t>
                  </w:r>
                </w:p>
              </w:tc>
            </w:tr>
            <w:tr w14:paraId="5EC57A7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80" w:type="dxa"/>
                  <w:vAlign w:val="center"/>
                </w:tcPr>
                <w:p w14:paraId="4B55A5AB">
                  <w:pPr>
                    <w:widowControl/>
                    <w:tabs>
                      <w:tab w:val="left" w:pos="2940"/>
                    </w:tabs>
                    <w:snapToGrid w:val="0"/>
                    <w:jc w:val="center"/>
                    <w:rPr>
                      <w:color w:val="auto"/>
                      <w:szCs w:val="21"/>
                      <w:highlight w:val="none"/>
                    </w:rPr>
                  </w:pPr>
                  <w:r>
                    <w:rPr>
                      <w:bCs/>
                      <w:color w:val="auto"/>
                      <w:szCs w:val="21"/>
                      <w:highlight w:val="none"/>
                      <w:lang w:bidi="ar"/>
                    </w:rPr>
                    <w:t>SO</w:t>
                  </w:r>
                  <w:r>
                    <w:rPr>
                      <w:bCs/>
                      <w:color w:val="auto"/>
                      <w:szCs w:val="21"/>
                      <w:highlight w:val="none"/>
                      <w:vertAlign w:val="subscript"/>
                      <w:lang w:bidi="ar"/>
                    </w:rPr>
                    <w:t>2</w:t>
                  </w:r>
                </w:p>
              </w:tc>
              <w:tc>
                <w:tcPr>
                  <w:tcW w:w="1223" w:type="dxa"/>
                </w:tcPr>
                <w:p w14:paraId="2FC16185">
                  <w:pPr>
                    <w:widowControl/>
                    <w:tabs>
                      <w:tab w:val="left" w:pos="2940"/>
                    </w:tabs>
                    <w:snapToGrid w:val="0"/>
                    <w:jc w:val="center"/>
                    <w:rPr>
                      <w:color w:val="auto"/>
                      <w:szCs w:val="21"/>
                      <w:highlight w:val="none"/>
                    </w:rPr>
                  </w:pPr>
                  <w:r>
                    <w:rPr>
                      <w:rFonts w:hint="eastAsia"/>
                      <w:bCs/>
                      <w:color w:val="auto"/>
                      <w:szCs w:val="21"/>
                      <w:highlight w:val="none"/>
                      <w:lang w:bidi="ar"/>
                    </w:rPr>
                    <w:t>0.035kg/次</w:t>
                  </w:r>
                </w:p>
              </w:tc>
              <w:tc>
                <w:tcPr>
                  <w:tcW w:w="1352" w:type="dxa"/>
                  <w:vAlign w:val="center"/>
                </w:tcPr>
                <w:p w14:paraId="28C70156">
                  <w:pPr>
                    <w:widowControl/>
                    <w:tabs>
                      <w:tab w:val="left" w:pos="2940"/>
                    </w:tabs>
                    <w:snapToGrid w:val="0"/>
                    <w:jc w:val="center"/>
                    <w:rPr>
                      <w:color w:val="auto"/>
                      <w:szCs w:val="21"/>
                      <w:highlight w:val="none"/>
                    </w:rPr>
                  </w:pPr>
                  <w:r>
                    <w:rPr>
                      <w:rFonts w:hint="eastAsia"/>
                      <w:bCs/>
                      <w:color w:val="auto"/>
                      <w:szCs w:val="21"/>
                      <w:highlight w:val="none"/>
                      <w:lang w:bidi="ar"/>
                    </w:rPr>
                    <w:t>27.24mg/m</w:t>
                  </w:r>
                  <w:r>
                    <w:rPr>
                      <w:rFonts w:hint="eastAsia"/>
                      <w:bCs/>
                      <w:color w:val="auto"/>
                      <w:szCs w:val="21"/>
                      <w:highlight w:val="none"/>
                      <w:vertAlign w:val="superscript"/>
                      <w:lang w:bidi="ar"/>
                    </w:rPr>
                    <w:t>3</w:t>
                  </w:r>
                </w:p>
              </w:tc>
              <w:tc>
                <w:tcPr>
                  <w:tcW w:w="1436" w:type="dxa"/>
                  <w:vAlign w:val="center"/>
                </w:tcPr>
                <w:p w14:paraId="758B07CC">
                  <w:pPr>
                    <w:adjustRightInd w:val="0"/>
                    <w:snapToGrid w:val="0"/>
                    <w:spacing w:line="240" w:lineRule="exact"/>
                    <w:jc w:val="center"/>
                    <w:rPr>
                      <w:color w:val="auto"/>
                      <w:szCs w:val="21"/>
                      <w:highlight w:val="none"/>
                    </w:rPr>
                  </w:pPr>
                  <w:r>
                    <w:rPr>
                      <w:rFonts w:hint="eastAsia"/>
                      <w:bCs/>
                      <w:color w:val="auto"/>
                      <w:szCs w:val="21"/>
                      <w:highlight w:val="none"/>
                      <w:lang w:bidi="ar"/>
                    </w:rPr>
                    <w:t>0.035kg/h</w:t>
                  </w:r>
                </w:p>
              </w:tc>
              <w:tc>
                <w:tcPr>
                  <w:tcW w:w="1459" w:type="dxa"/>
                  <w:vMerge w:val="continue"/>
                  <w:vAlign w:val="center"/>
                </w:tcPr>
                <w:p w14:paraId="71B708DB">
                  <w:pPr>
                    <w:snapToGrid w:val="0"/>
                    <w:jc w:val="center"/>
                    <w:rPr>
                      <w:color w:val="auto"/>
                      <w:szCs w:val="21"/>
                      <w:highlight w:val="none"/>
                    </w:rPr>
                  </w:pPr>
                </w:p>
              </w:tc>
              <w:tc>
                <w:tcPr>
                  <w:tcW w:w="897" w:type="dxa"/>
                  <w:vMerge w:val="continue"/>
                  <w:vAlign w:val="center"/>
                </w:tcPr>
                <w:p w14:paraId="15DB9B31">
                  <w:pPr>
                    <w:snapToGrid w:val="0"/>
                    <w:jc w:val="center"/>
                    <w:rPr>
                      <w:color w:val="auto"/>
                      <w:szCs w:val="21"/>
                      <w:highlight w:val="none"/>
                    </w:rPr>
                  </w:pPr>
                </w:p>
              </w:tc>
              <w:tc>
                <w:tcPr>
                  <w:tcW w:w="950" w:type="dxa"/>
                  <w:vMerge w:val="continue"/>
                  <w:vAlign w:val="center"/>
                </w:tcPr>
                <w:p w14:paraId="24DD745B">
                  <w:pPr>
                    <w:snapToGrid w:val="0"/>
                    <w:jc w:val="center"/>
                    <w:rPr>
                      <w:color w:val="auto"/>
                      <w:szCs w:val="21"/>
                      <w:highlight w:val="none"/>
                    </w:rPr>
                  </w:pPr>
                </w:p>
              </w:tc>
            </w:tr>
            <w:tr w14:paraId="3FE486C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80" w:type="dxa"/>
                  <w:vAlign w:val="center"/>
                </w:tcPr>
                <w:p w14:paraId="58F7CB92">
                  <w:pPr>
                    <w:widowControl/>
                    <w:tabs>
                      <w:tab w:val="left" w:pos="2940"/>
                    </w:tabs>
                    <w:snapToGrid w:val="0"/>
                    <w:jc w:val="center"/>
                    <w:rPr>
                      <w:color w:val="auto"/>
                      <w:szCs w:val="21"/>
                      <w:highlight w:val="none"/>
                    </w:rPr>
                  </w:pPr>
                  <w:r>
                    <w:rPr>
                      <w:bCs/>
                      <w:color w:val="auto"/>
                      <w:szCs w:val="21"/>
                      <w:highlight w:val="none"/>
                      <w:lang w:bidi="ar"/>
                    </w:rPr>
                    <w:t>NO</w:t>
                  </w:r>
                  <w:r>
                    <w:rPr>
                      <w:bCs/>
                      <w:color w:val="auto"/>
                      <w:szCs w:val="21"/>
                      <w:highlight w:val="none"/>
                      <w:vertAlign w:val="subscript"/>
                      <w:lang w:bidi="ar"/>
                    </w:rPr>
                    <w:t>X</w:t>
                  </w:r>
                </w:p>
              </w:tc>
              <w:tc>
                <w:tcPr>
                  <w:tcW w:w="1223" w:type="dxa"/>
                  <w:vAlign w:val="center"/>
                </w:tcPr>
                <w:p w14:paraId="35497D8D">
                  <w:pPr>
                    <w:widowControl/>
                    <w:tabs>
                      <w:tab w:val="left" w:pos="2940"/>
                    </w:tabs>
                    <w:snapToGrid w:val="0"/>
                    <w:jc w:val="center"/>
                    <w:rPr>
                      <w:color w:val="auto"/>
                      <w:szCs w:val="21"/>
                      <w:highlight w:val="none"/>
                    </w:rPr>
                  </w:pPr>
                  <w:r>
                    <w:rPr>
                      <w:rFonts w:hint="eastAsia"/>
                      <w:bCs/>
                      <w:color w:val="auto"/>
                      <w:szCs w:val="21"/>
                      <w:highlight w:val="none"/>
                    </w:rPr>
                    <w:t>0.148kg</w:t>
                  </w:r>
                  <w:r>
                    <w:rPr>
                      <w:rFonts w:hint="eastAsia"/>
                      <w:bCs/>
                      <w:color w:val="auto"/>
                      <w:szCs w:val="21"/>
                      <w:highlight w:val="none"/>
                      <w:lang w:bidi="ar"/>
                    </w:rPr>
                    <w:t>/次</w:t>
                  </w:r>
                </w:p>
              </w:tc>
              <w:tc>
                <w:tcPr>
                  <w:tcW w:w="1352" w:type="dxa"/>
                  <w:vAlign w:val="center"/>
                </w:tcPr>
                <w:p w14:paraId="5F625812">
                  <w:pPr>
                    <w:widowControl/>
                    <w:tabs>
                      <w:tab w:val="left" w:pos="2940"/>
                    </w:tabs>
                    <w:snapToGrid w:val="0"/>
                    <w:jc w:val="center"/>
                    <w:rPr>
                      <w:color w:val="auto"/>
                      <w:szCs w:val="21"/>
                      <w:highlight w:val="none"/>
                    </w:rPr>
                  </w:pPr>
                  <w:r>
                    <w:rPr>
                      <w:rFonts w:hint="eastAsia"/>
                      <w:bCs/>
                      <w:color w:val="auto"/>
                      <w:szCs w:val="21"/>
                      <w:highlight w:val="none"/>
                      <w:lang w:bidi="ar"/>
                    </w:rPr>
                    <w:t>114.42mg/m</w:t>
                  </w:r>
                  <w:r>
                    <w:rPr>
                      <w:rFonts w:hint="eastAsia"/>
                      <w:bCs/>
                      <w:color w:val="auto"/>
                      <w:szCs w:val="21"/>
                      <w:highlight w:val="none"/>
                      <w:vertAlign w:val="superscript"/>
                      <w:lang w:bidi="ar"/>
                    </w:rPr>
                    <w:t>3</w:t>
                  </w:r>
                </w:p>
              </w:tc>
              <w:tc>
                <w:tcPr>
                  <w:tcW w:w="1436" w:type="dxa"/>
                  <w:vAlign w:val="center"/>
                </w:tcPr>
                <w:p w14:paraId="5AD9A02D">
                  <w:pPr>
                    <w:adjustRightInd w:val="0"/>
                    <w:snapToGrid w:val="0"/>
                    <w:spacing w:line="240" w:lineRule="exact"/>
                    <w:jc w:val="center"/>
                    <w:rPr>
                      <w:color w:val="auto"/>
                      <w:szCs w:val="21"/>
                      <w:highlight w:val="none"/>
                    </w:rPr>
                  </w:pPr>
                  <w:r>
                    <w:rPr>
                      <w:rFonts w:hint="eastAsia"/>
                      <w:color w:val="auto"/>
                      <w:szCs w:val="21"/>
                      <w:highlight w:val="none"/>
                    </w:rPr>
                    <w:t>0.148kg/h</w:t>
                  </w:r>
                </w:p>
              </w:tc>
              <w:tc>
                <w:tcPr>
                  <w:tcW w:w="1459" w:type="dxa"/>
                  <w:vMerge w:val="continue"/>
                  <w:vAlign w:val="center"/>
                </w:tcPr>
                <w:p w14:paraId="69E2BEEE">
                  <w:pPr>
                    <w:snapToGrid w:val="0"/>
                    <w:jc w:val="center"/>
                    <w:rPr>
                      <w:color w:val="auto"/>
                      <w:szCs w:val="21"/>
                      <w:highlight w:val="none"/>
                    </w:rPr>
                  </w:pPr>
                </w:p>
              </w:tc>
              <w:tc>
                <w:tcPr>
                  <w:tcW w:w="897" w:type="dxa"/>
                  <w:vMerge w:val="continue"/>
                  <w:vAlign w:val="center"/>
                </w:tcPr>
                <w:p w14:paraId="3AC38F78">
                  <w:pPr>
                    <w:snapToGrid w:val="0"/>
                    <w:jc w:val="center"/>
                    <w:rPr>
                      <w:color w:val="auto"/>
                      <w:szCs w:val="21"/>
                      <w:highlight w:val="none"/>
                    </w:rPr>
                  </w:pPr>
                </w:p>
              </w:tc>
              <w:tc>
                <w:tcPr>
                  <w:tcW w:w="950" w:type="dxa"/>
                  <w:vMerge w:val="continue"/>
                  <w:vAlign w:val="center"/>
                </w:tcPr>
                <w:p w14:paraId="7B63D4B8">
                  <w:pPr>
                    <w:snapToGrid w:val="0"/>
                    <w:jc w:val="center"/>
                    <w:rPr>
                      <w:color w:val="auto"/>
                      <w:szCs w:val="21"/>
                      <w:highlight w:val="none"/>
                    </w:rPr>
                  </w:pPr>
                </w:p>
              </w:tc>
            </w:tr>
            <w:tr w14:paraId="7498D16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80" w:type="dxa"/>
                  <w:vAlign w:val="center"/>
                </w:tcPr>
                <w:p w14:paraId="3E591ABC">
                  <w:pPr>
                    <w:widowControl/>
                    <w:tabs>
                      <w:tab w:val="left" w:pos="2940"/>
                    </w:tabs>
                    <w:snapToGrid w:val="0"/>
                    <w:jc w:val="center"/>
                    <w:rPr>
                      <w:rFonts w:hint="eastAsia" w:eastAsia="宋体"/>
                      <w:bCs/>
                      <w:color w:val="auto"/>
                      <w:szCs w:val="21"/>
                      <w:highlight w:val="none"/>
                      <w:lang w:eastAsia="zh-CN" w:bidi="ar"/>
                    </w:rPr>
                  </w:pPr>
                  <w:r>
                    <w:rPr>
                      <w:rFonts w:hint="eastAsia"/>
                      <w:bCs/>
                      <w:color w:val="auto"/>
                      <w:szCs w:val="21"/>
                      <w:highlight w:val="none"/>
                      <w:lang w:eastAsia="zh-CN" w:bidi="ar"/>
                    </w:rPr>
                    <w:t>油烟</w:t>
                  </w:r>
                </w:p>
              </w:tc>
              <w:tc>
                <w:tcPr>
                  <w:tcW w:w="1223" w:type="dxa"/>
                  <w:vAlign w:val="center"/>
                </w:tcPr>
                <w:p w14:paraId="4267F667">
                  <w:pPr>
                    <w:widowControl/>
                    <w:tabs>
                      <w:tab w:val="left" w:pos="2940"/>
                    </w:tabs>
                    <w:snapToGrid w:val="0"/>
                    <w:jc w:val="center"/>
                    <w:rPr>
                      <w:rFonts w:hint="default" w:eastAsia="宋体"/>
                      <w:bCs/>
                      <w:color w:val="auto"/>
                      <w:szCs w:val="21"/>
                      <w:highlight w:val="none"/>
                      <w:lang w:val="en-US" w:eastAsia="zh-CN"/>
                    </w:rPr>
                  </w:pPr>
                  <w:r>
                    <w:rPr>
                      <w:rFonts w:hint="eastAsia"/>
                      <w:bCs/>
                      <w:color w:val="auto"/>
                      <w:szCs w:val="21"/>
                      <w:highlight w:val="none"/>
                      <w:lang w:val="en-US" w:eastAsia="zh-CN"/>
                    </w:rPr>
                    <w:t>0.125</w:t>
                  </w:r>
                  <w:r>
                    <w:rPr>
                      <w:rFonts w:hint="eastAsia"/>
                      <w:bCs/>
                      <w:color w:val="auto"/>
                      <w:szCs w:val="21"/>
                      <w:highlight w:val="none"/>
                    </w:rPr>
                    <w:t>kg</w:t>
                  </w:r>
                  <w:r>
                    <w:rPr>
                      <w:rFonts w:hint="eastAsia"/>
                      <w:bCs/>
                      <w:color w:val="auto"/>
                      <w:szCs w:val="21"/>
                      <w:highlight w:val="none"/>
                      <w:lang w:bidi="ar"/>
                    </w:rPr>
                    <w:t>/次</w:t>
                  </w:r>
                </w:p>
              </w:tc>
              <w:tc>
                <w:tcPr>
                  <w:tcW w:w="1352" w:type="dxa"/>
                  <w:vAlign w:val="center"/>
                </w:tcPr>
                <w:p w14:paraId="41A6E865">
                  <w:pPr>
                    <w:widowControl/>
                    <w:tabs>
                      <w:tab w:val="left" w:pos="2940"/>
                    </w:tabs>
                    <w:snapToGrid w:val="0"/>
                    <w:jc w:val="center"/>
                    <w:rPr>
                      <w:rFonts w:hint="default" w:eastAsia="宋体"/>
                      <w:bCs/>
                      <w:color w:val="auto"/>
                      <w:szCs w:val="21"/>
                      <w:highlight w:val="none"/>
                      <w:lang w:val="en-US" w:eastAsia="zh-CN" w:bidi="ar"/>
                    </w:rPr>
                  </w:pPr>
                  <w:r>
                    <w:rPr>
                      <w:rFonts w:hint="eastAsia"/>
                      <w:bCs/>
                      <w:color w:val="auto"/>
                      <w:szCs w:val="21"/>
                      <w:highlight w:val="none"/>
                      <w:lang w:val="en-US" w:eastAsia="zh-CN" w:bidi="ar"/>
                    </w:rPr>
                    <w:t>12.5</w:t>
                  </w:r>
                  <w:r>
                    <w:rPr>
                      <w:rFonts w:hint="eastAsia"/>
                      <w:bCs/>
                      <w:color w:val="auto"/>
                      <w:szCs w:val="21"/>
                      <w:highlight w:val="none"/>
                      <w:lang w:bidi="ar"/>
                    </w:rPr>
                    <w:t>mg/m</w:t>
                  </w:r>
                  <w:r>
                    <w:rPr>
                      <w:rFonts w:hint="eastAsia"/>
                      <w:bCs/>
                      <w:color w:val="auto"/>
                      <w:szCs w:val="21"/>
                      <w:highlight w:val="none"/>
                      <w:vertAlign w:val="superscript"/>
                      <w:lang w:bidi="ar"/>
                    </w:rPr>
                    <w:t>3</w:t>
                  </w:r>
                </w:p>
              </w:tc>
              <w:tc>
                <w:tcPr>
                  <w:tcW w:w="1436" w:type="dxa"/>
                  <w:vAlign w:val="center"/>
                </w:tcPr>
                <w:p w14:paraId="74002E95">
                  <w:pPr>
                    <w:adjustRightInd w:val="0"/>
                    <w:snapToGrid w:val="0"/>
                    <w:spacing w:line="240" w:lineRule="exact"/>
                    <w:jc w:val="center"/>
                    <w:rPr>
                      <w:rFonts w:hint="eastAsia" w:eastAsia="宋体"/>
                      <w:color w:val="auto"/>
                      <w:szCs w:val="21"/>
                      <w:highlight w:val="none"/>
                      <w:lang w:val="en-US" w:eastAsia="zh-CN"/>
                    </w:rPr>
                  </w:pPr>
                  <w:r>
                    <w:rPr>
                      <w:rFonts w:hint="eastAsia"/>
                      <w:bCs/>
                      <w:color w:val="auto"/>
                      <w:szCs w:val="21"/>
                      <w:highlight w:val="none"/>
                      <w:lang w:val="en-US" w:eastAsia="zh-CN"/>
                    </w:rPr>
                    <w:t>0.125</w:t>
                  </w:r>
                  <w:r>
                    <w:rPr>
                      <w:rFonts w:hint="eastAsia"/>
                      <w:bCs/>
                      <w:color w:val="auto"/>
                      <w:szCs w:val="21"/>
                      <w:highlight w:val="none"/>
                    </w:rPr>
                    <w:t>kg</w:t>
                  </w:r>
                  <w:r>
                    <w:rPr>
                      <w:rFonts w:hint="eastAsia"/>
                      <w:bCs/>
                      <w:color w:val="auto"/>
                      <w:szCs w:val="21"/>
                      <w:highlight w:val="none"/>
                      <w:lang w:bidi="ar"/>
                    </w:rPr>
                    <w:t>/</w:t>
                  </w:r>
                  <w:r>
                    <w:rPr>
                      <w:rFonts w:hint="eastAsia"/>
                      <w:bCs/>
                      <w:color w:val="auto"/>
                      <w:szCs w:val="21"/>
                      <w:highlight w:val="none"/>
                      <w:lang w:val="en-US" w:eastAsia="zh-CN" w:bidi="ar"/>
                    </w:rPr>
                    <w:t>h</w:t>
                  </w:r>
                </w:p>
              </w:tc>
              <w:tc>
                <w:tcPr>
                  <w:tcW w:w="1459" w:type="dxa"/>
                  <w:vAlign w:val="center"/>
                </w:tcPr>
                <w:p w14:paraId="5AE9F92F">
                  <w:pPr>
                    <w:snapToGrid w:val="0"/>
                    <w:jc w:val="center"/>
                    <w:rPr>
                      <w:rFonts w:hint="default" w:eastAsia="宋体"/>
                      <w:color w:val="auto"/>
                      <w:szCs w:val="21"/>
                      <w:highlight w:val="none"/>
                      <w:lang w:val="en-US" w:eastAsia="zh-CN"/>
                    </w:rPr>
                  </w:pPr>
                  <w:r>
                    <w:rPr>
                      <w:rFonts w:hint="eastAsia"/>
                      <w:color w:val="auto"/>
                      <w:szCs w:val="21"/>
                      <w:highlight w:val="none"/>
                      <w:lang w:eastAsia="zh-CN"/>
                    </w:rPr>
                    <w:t>油烟净化器失效，效率为</w:t>
                  </w:r>
                  <w:r>
                    <w:rPr>
                      <w:rFonts w:hint="eastAsia"/>
                      <w:color w:val="auto"/>
                      <w:szCs w:val="21"/>
                      <w:highlight w:val="none"/>
                      <w:lang w:val="en-US" w:eastAsia="zh-CN"/>
                    </w:rPr>
                    <w:t>0情况</w:t>
                  </w:r>
                </w:p>
              </w:tc>
              <w:tc>
                <w:tcPr>
                  <w:tcW w:w="897" w:type="dxa"/>
                  <w:vAlign w:val="center"/>
                </w:tcPr>
                <w:p w14:paraId="540D2189">
                  <w:pPr>
                    <w:snapToGrid w:val="0"/>
                    <w:jc w:val="center"/>
                    <w:rPr>
                      <w:color w:val="auto"/>
                      <w:szCs w:val="21"/>
                      <w:highlight w:val="none"/>
                    </w:rPr>
                  </w:pPr>
                  <w:r>
                    <w:rPr>
                      <w:rFonts w:hint="eastAsia"/>
                      <w:color w:val="auto"/>
                      <w:szCs w:val="21"/>
                      <w:highlight w:val="none"/>
                      <w:lang w:val="en-US" w:eastAsia="zh-CN"/>
                    </w:rPr>
                    <w:t>1</w:t>
                  </w:r>
                  <w:r>
                    <w:rPr>
                      <w:rFonts w:hint="eastAsia"/>
                      <w:color w:val="auto"/>
                      <w:szCs w:val="21"/>
                      <w:highlight w:val="none"/>
                    </w:rPr>
                    <w:t>h</w:t>
                  </w:r>
                </w:p>
              </w:tc>
              <w:tc>
                <w:tcPr>
                  <w:tcW w:w="950" w:type="dxa"/>
                  <w:vAlign w:val="center"/>
                </w:tcPr>
                <w:p w14:paraId="5BFD758A">
                  <w:pPr>
                    <w:snapToGrid w:val="0"/>
                    <w:jc w:val="center"/>
                    <w:rPr>
                      <w:color w:val="auto"/>
                      <w:szCs w:val="21"/>
                      <w:highlight w:val="none"/>
                    </w:rPr>
                  </w:pPr>
                  <w:r>
                    <w:rPr>
                      <w:rFonts w:hint="eastAsia"/>
                      <w:color w:val="auto"/>
                      <w:szCs w:val="21"/>
                      <w:highlight w:val="none"/>
                    </w:rPr>
                    <w:t>1~2</w:t>
                  </w:r>
                </w:p>
              </w:tc>
            </w:tr>
          </w:tbl>
          <w:p w14:paraId="3D13B53F">
            <w:pPr>
              <w:adjustRightInd w:val="0"/>
              <w:snapToGrid w:val="0"/>
              <w:spacing w:line="360" w:lineRule="auto"/>
              <w:ind w:firstLine="480" w:firstLineChars="200"/>
              <w:rPr>
                <w:color w:val="auto"/>
                <w:sz w:val="24"/>
                <w:highlight w:val="none"/>
              </w:rPr>
            </w:pPr>
            <w:r>
              <w:rPr>
                <w:rFonts w:hint="eastAsia"/>
                <w:color w:val="auto"/>
                <w:sz w:val="24"/>
                <w:highlight w:val="none"/>
              </w:rPr>
              <w:t>遇此情况，环评建议企业应立即停止生产并采取如下措施：</w:t>
            </w:r>
          </w:p>
          <w:p w14:paraId="381CFEC4">
            <w:pPr>
              <w:adjustRightInd w:val="0"/>
              <w:snapToGrid w:val="0"/>
              <w:spacing w:line="360" w:lineRule="auto"/>
              <w:ind w:firstLine="480" w:firstLineChars="200"/>
              <w:rPr>
                <w:color w:val="auto"/>
                <w:sz w:val="24"/>
                <w:highlight w:val="none"/>
              </w:rPr>
            </w:pPr>
            <w:r>
              <w:rPr>
                <w:rFonts w:hint="eastAsia" w:ascii="宋体" w:hAnsi="宋体" w:cs="宋体"/>
                <w:color w:val="auto"/>
                <w:sz w:val="24"/>
                <w:highlight w:val="none"/>
              </w:rPr>
              <w:t>①</w:t>
            </w:r>
            <w:r>
              <w:rPr>
                <w:rFonts w:hint="eastAsia"/>
                <w:color w:val="auto"/>
                <w:sz w:val="24"/>
                <w:highlight w:val="none"/>
              </w:rPr>
              <w:t>发生废气非正常排放后立即停止生产，确保将废气污染控制在最小范围；</w:t>
            </w:r>
          </w:p>
          <w:p w14:paraId="4B66669D">
            <w:pPr>
              <w:adjustRightInd w:val="0"/>
              <w:snapToGrid w:val="0"/>
              <w:spacing w:line="360" w:lineRule="auto"/>
              <w:ind w:firstLine="480" w:firstLineChars="200"/>
              <w:rPr>
                <w:color w:val="auto"/>
                <w:sz w:val="24"/>
                <w:highlight w:val="none"/>
              </w:rPr>
            </w:pPr>
            <w:r>
              <w:rPr>
                <w:rFonts w:hint="eastAsia" w:ascii="宋体" w:hAnsi="宋体" w:cs="宋体"/>
                <w:color w:val="auto"/>
                <w:sz w:val="24"/>
                <w:highlight w:val="none"/>
              </w:rPr>
              <w:t>②企业应严格按照环评要求定期检查</w:t>
            </w:r>
            <w:r>
              <w:rPr>
                <w:rFonts w:hint="eastAsia" w:ascii="宋体" w:hAnsi="宋体" w:cs="宋体"/>
                <w:color w:val="auto"/>
                <w:sz w:val="24"/>
                <w:highlight w:val="none"/>
                <w:lang w:eastAsia="zh-CN"/>
              </w:rPr>
              <w:t>袋式</w:t>
            </w:r>
            <w:r>
              <w:rPr>
                <w:rFonts w:hint="eastAsia" w:ascii="宋体" w:hAnsi="宋体" w:cs="宋体"/>
                <w:color w:val="auto"/>
                <w:sz w:val="24"/>
                <w:highlight w:val="none"/>
              </w:rPr>
              <w:t>除尘</w:t>
            </w:r>
            <w:r>
              <w:rPr>
                <w:rFonts w:hint="eastAsia" w:ascii="宋体" w:hAnsi="宋体" w:cs="宋体"/>
                <w:color w:val="auto"/>
                <w:sz w:val="24"/>
                <w:highlight w:val="none"/>
                <w:lang w:eastAsia="zh-CN"/>
              </w:rPr>
              <w:t>、</w:t>
            </w:r>
            <w:r>
              <w:rPr>
                <w:rFonts w:hint="eastAsia" w:ascii="宋体" w:hAnsi="宋体" w:cs="宋体"/>
                <w:color w:val="auto"/>
                <w:sz w:val="24"/>
                <w:highlight w:val="none"/>
              </w:rPr>
              <w:t>低氮燃烧</w:t>
            </w:r>
            <w:r>
              <w:rPr>
                <w:rFonts w:hint="eastAsia" w:ascii="宋体" w:hAnsi="宋体" w:cs="宋体"/>
                <w:color w:val="auto"/>
                <w:sz w:val="24"/>
                <w:highlight w:val="none"/>
                <w:lang w:eastAsia="zh-CN"/>
              </w:rPr>
              <w:t>及油烟净化器</w:t>
            </w:r>
            <w:r>
              <w:rPr>
                <w:rFonts w:hint="eastAsia" w:ascii="宋体" w:hAnsi="宋体" w:cs="宋体"/>
                <w:color w:val="auto"/>
                <w:sz w:val="24"/>
                <w:highlight w:val="none"/>
              </w:rPr>
              <w:t>情况，确保正常运行</w:t>
            </w:r>
            <w:r>
              <w:rPr>
                <w:rFonts w:hint="eastAsia"/>
                <w:color w:val="auto"/>
                <w:sz w:val="24"/>
                <w:highlight w:val="none"/>
              </w:rPr>
              <w:t>；</w:t>
            </w:r>
          </w:p>
          <w:p w14:paraId="327B84D4">
            <w:pPr>
              <w:snapToGrid w:val="0"/>
              <w:spacing w:line="360" w:lineRule="auto"/>
              <w:ind w:firstLine="480" w:firstLineChars="200"/>
              <w:rPr>
                <w:b/>
                <w:color w:val="auto"/>
                <w:kern w:val="0"/>
                <w:sz w:val="24"/>
                <w:highlight w:val="none"/>
              </w:rPr>
            </w:pPr>
            <w:r>
              <w:rPr>
                <w:rFonts w:hint="eastAsia" w:ascii="宋体" w:hAnsi="宋体" w:cs="宋体"/>
                <w:color w:val="auto"/>
                <w:sz w:val="24"/>
                <w:highlight w:val="none"/>
              </w:rPr>
              <w:t>③</w:t>
            </w:r>
            <w:r>
              <w:rPr>
                <w:rFonts w:hint="eastAsia"/>
                <w:color w:val="auto"/>
                <w:sz w:val="24"/>
                <w:highlight w:val="none"/>
              </w:rPr>
              <w:t>按照监测要求对项目废气定期进行检测，防止废气超标排放</w:t>
            </w:r>
            <w:r>
              <w:rPr>
                <w:rFonts w:hint="eastAsia" w:ascii="宋体" w:hAnsi="宋体" w:cs="宋体"/>
                <w:color w:val="auto"/>
                <w:sz w:val="24"/>
                <w:highlight w:val="none"/>
              </w:rPr>
              <w:t>。</w:t>
            </w:r>
          </w:p>
          <w:p w14:paraId="47A39327">
            <w:pPr>
              <w:adjustRightInd w:val="0"/>
              <w:snapToGrid w:val="0"/>
              <w:spacing w:line="360" w:lineRule="auto"/>
              <w:rPr>
                <w:b/>
                <w:color w:val="auto"/>
                <w:kern w:val="0"/>
                <w:sz w:val="24"/>
                <w:highlight w:val="none"/>
              </w:rPr>
            </w:pPr>
            <w:r>
              <w:rPr>
                <w:rFonts w:hint="eastAsia"/>
                <w:b/>
                <w:color w:val="auto"/>
                <w:kern w:val="0"/>
                <w:sz w:val="24"/>
                <w:highlight w:val="none"/>
              </w:rPr>
              <w:t>（</w:t>
            </w:r>
            <w:r>
              <w:rPr>
                <w:b/>
                <w:color w:val="auto"/>
                <w:kern w:val="0"/>
                <w:sz w:val="24"/>
                <w:highlight w:val="none"/>
              </w:rPr>
              <w:t>二</w:t>
            </w:r>
            <w:r>
              <w:rPr>
                <w:rFonts w:hint="eastAsia"/>
                <w:b/>
                <w:color w:val="auto"/>
                <w:kern w:val="0"/>
                <w:sz w:val="24"/>
                <w:highlight w:val="none"/>
              </w:rPr>
              <w:t>）地表</w:t>
            </w:r>
            <w:r>
              <w:rPr>
                <w:b/>
                <w:color w:val="auto"/>
                <w:kern w:val="0"/>
                <w:sz w:val="24"/>
                <w:highlight w:val="none"/>
              </w:rPr>
              <w:t>水环境影响分析</w:t>
            </w:r>
          </w:p>
          <w:p w14:paraId="69512CB6">
            <w:pPr>
              <w:spacing w:line="360" w:lineRule="auto"/>
              <w:ind w:firstLine="482"/>
              <w:rPr>
                <w:color w:val="auto"/>
                <w:sz w:val="24"/>
                <w:highlight w:val="none"/>
              </w:rPr>
            </w:pPr>
            <w:r>
              <w:rPr>
                <w:rFonts w:hint="eastAsia"/>
                <w:color w:val="auto"/>
                <w:sz w:val="24"/>
                <w:highlight w:val="none"/>
              </w:rPr>
              <w:t>根据前文水平衡分析，</w:t>
            </w:r>
            <w:r>
              <w:rPr>
                <w:color w:val="auto"/>
                <w:sz w:val="24"/>
                <w:highlight w:val="none"/>
              </w:rPr>
              <w:t>项目运营期废水主要包括</w:t>
            </w:r>
            <w:r>
              <w:rPr>
                <w:rFonts w:hint="eastAsia"/>
                <w:color w:val="auto"/>
                <w:sz w:val="24"/>
                <w:highlight w:val="none"/>
              </w:rPr>
              <w:t>生产废水</w:t>
            </w:r>
            <w:r>
              <w:rPr>
                <w:color w:val="auto"/>
                <w:sz w:val="24"/>
                <w:highlight w:val="none"/>
              </w:rPr>
              <w:t>和生活污水。</w:t>
            </w:r>
            <w:r>
              <w:rPr>
                <w:rFonts w:hint="eastAsia"/>
                <w:color w:val="auto"/>
                <w:sz w:val="24"/>
                <w:highlight w:val="none"/>
              </w:rPr>
              <w:t>具体分析如下：</w:t>
            </w:r>
          </w:p>
          <w:p w14:paraId="6A2D3162">
            <w:pPr>
              <w:adjustRightInd w:val="0"/>
              <w:spacing w:line="360" w:lineRule="auto"/>
              <w:ind w:firstLine="480" w:firstLineChars="200"/>
              <w:rPr>
                <w:color w:val="auto"/>
                <w:sz w:val="24"/>
                <w:highlight w:val="none"/>
              </w:rPr>
            </w:pPr>
            <w:r>
              <w:rPr>
                <w:rFonts w:hint="eastAsia"/>
                <w:color w:val="auto"/>
                <w:sz w:val="24"/>
                <w:highlight w:val="none"/>
              </w:rPr>
              <w:t>1、生产</w:t>
            </w:r>
            <w:r>
              <w:rPr>
                <w:color w:val="auto"/>
                <w:sz w:val="24"/>
                <w:highlight w:val="none"/>
              </w:rPr>
              <w:t>废水</w:t>
            </w:r>
          </w:p>
          <w:p w14:paraId="62CC72B0">
            <w:pPr>
              <w:spacing w:line="360" w:lineRule="auto"/>
              <w:ind w:firstLine="482"/>
              <w:rPr>
                <w:rFonts w:ascii="宋体" w:hAnsi="宋体" w:cs="宋体"/>
                <w:color w:val="auto"/>
                <w:kern w:val="0"/>
                <w:sz w:val="24"/>
                <w:highlight w:val="none"/>
              </w:rPr>
            </w:pPr>
            <w:r>
              <w:rPr>
                <w:rFonts w:hint="eastAsia"/>
                <w:color w:val="auto"/>
                <w:sz w:val="24"/>
                <w:highlight w:val="none"/>
              </w:rPr>
              <w:t>本项目生产废水主要为清洗废水和锅炉排污水</w:t>
            </w:r>
            <w:r>
              <w:rPr>
                <w:rFonts w:hint="eastAsia"/>
                <w:color w:val="auto"/>
                <w:sz w:val="24"/>
                <w:highlight w:val="none"/>
                <w:lang w:eastAsia="zh-CN"/>
              </w:rPr>
              <w:t>等</w:t>
            </w:r>
            <w:r>
              <w:rPr>
                <w:rFonts w:hint="eastAsia"/>
                <w:color w:val="auto"/>
                <w:sz w:val="24"/>
                <w:highlight w:val="none"/>
              </w:rPr>
              <w:t>，</w:t>
            </w:r>
            <w:r>
              <w:rPr>
                <w:rFonts w:hint="eastAsia" w:ascii="宋体" w:hAnsi="宋体" w:cs="宋体"/>
                <w:color w:val="auto"/>
                <w:kern w:val="0"/>
                <w:sz w:val="24"/>
                <w:highlight w:val="none"/>
              </w:rPr>
              <w:t>合计产生量</w:t>
            </w:r>
            <w:r>
              <w:rPr>
                <w:color w:val="auto"/>
                <w:kern w:val="0"/>
                <w:sz w:val="24"/>
                <w:highlight w:val="none"/>
              </w:rPr>
              <w:t>为</w:t>
            </w:r>
            <w:r>
              <w:rPr>
                <w:rFonts w:hint="eastAsia"/>
                <w:color w:val="auto"/>
                <w:kern w:val="0"/>
                <w:sz w:val="24"/>
                <w:highlight w:val="none"/>
                <w:lang w:val="en-US" w:eastAsia="zh-CN"/>
              </w:rPr>
              <w:t>5.53</w:t>
            </w:r>
            <w:r>
              <w:rPr>
                <w:color w:val="auto"/>
                <w:kern w:val="0"/>
                <w:sz w:val="24"/>
                <w:highlight w:val="none"/>
              </w:rPr>
              <w:t>m</w:t>
            </w:r>
            <w:r>
              <w:rPr>
                <w:color w:val="auto"/>
                <w:kern w:val="0"/>
                <w:sz w:val="24"/>
                <w:highlight w:val="none"/>
                <w:vertAlign w:val="superscript"/>
              </w:rPr>
              <w:t>3</w:t>
            </w:r>
            <w:r>
              <w:rPr>
                <w:color w:val="auto"/>
                <w:kern w:val="0"/>
                <w:sz w:val="24"/>
                <w:highlight w:val="none"/>
              </w:rPr>
              <w:t>/d</w:t>
            </w:r>
            <w:r>
              <w:rPr>
                <w:rFonts w:hint="eastAsia"/>
                <w:color w:val="auto"/>
                <w:kern w:val="0"/>
                <w:sz w:val="24"/>
                <w:highlight w:val="none"/>
              </w:rPr>
              <w:t>。</w:t>
            </w:r>
          </w:p>
          <w:p w14:paraId="5858ADF7">
            <w:pPr>
              <w:spacing w:line="360" w:lineRule="auto"/>
              <w:ind w:firstLine="482"/>
              <w:rPr>
                <w:rFonts w:eastAsia="新宋体"/>
                <w:b/>
                <w:bCs/>
                <w:color w:val="auto"/>
                <w:sz w:val="24"/>
                <w:szCs w:val="20"/>
                <w:highlight w:val="none"/>
              </w:rPr>
            </w:pPr>
            <w:r>
              <w:rPr>
                <w:rFonts w:hint="eastAsia" w:ascii="宋体" w:hAnsi="宋体" w:cs="宋体"/>
                <w:b/>
                <w:bCs/>
                <w:color w:val="auto"/>
                <w:kern w:val="0"/>
                <w:sz w:val="24"/>
                <w:highlight w:val="none"/>
              </w:rPr>
              <w:t>治理措施：</w:t>
            </w:r>
            <w:r>
              <w:rPr>
                <w:color w:val="auto"/>
                <w:kern w:val="0"/>
                <w:sz w:val="24"/>
                <w:highlight w:val="none"/>
              </w:rPr>
              <w:t>生产废水经厂内污水处理站</w:t>
            </w:r>
            <w:r>
              <w:rPr>
                <w:rFonts w:hint="eastAsia"/>
                <w:color w:val="auto"/>
                <w:kern w:val="0"/>
                <w:sz w:val="24"/>
                <w:highlight w:val="none"/>
                <w:lang w:eastAsia="zh-CN"/>
              </w:rPr>
              <w:t>（工艺为</w:t>
            </w:r>
            <w:r>
              <w:rPr>
                <w:rFonts w:hint="eastAsia"/>
                <w:color w:val="auto"/>
                <w:sz w:val="24"/>
                <w:highlight w:val="none"/>
              </w:rPr>
              <w:t>“格栅池+微滤机+调节池+一沉池+厌氧池+生物接触氧化池+二沉池”</w:t>
            </w:r>
            <w:r>
              <w:rPr>
                <w:rFonts w:hint="eastAsia"/>
                <w:color w:val="auto"/>
                <w:kern w:val="0"/>
                <w:sz w:val="24"/>
                <w:highlight w:val="none"/>
                <w:lang w:eastAsia="zh-CN"/>
              </w:rPr>
              <w:t>）</w:t>
            </w:r>
            <w:r>
              <w:rPr>
                <w:color w:val="auto"/>
                <w:kern w:val="0"/>
                <w:sz w:val="24"/>
                <w:highlight w:val="none"/>
              </w:rPr>
              <w:t>处理达到《农田灌溉水质标准》（GB5084-2021）</w:t>
            </w:r>
            <w:r>
              <w:rPr>
                <w:rFonts w:hint="eastAsia"/>
                <w:color w:val="auto"/>
                <w:kern w:val="0"/>
                <w:sz w:val="24"/>
                <w:highlight w:val="none"/>
              </w:rPr>
              <w:t>后</w:t>
            </w:r>
            <w:r>
              <w:rPr>
                <w:rFonts w:hint="eastAsia"/>
                <w:color w:val="auto"/>
                <w:kern w:val="0"/>
                <w:sz w:val="24"/>
                <w:highlight w:val="none"/>
                <w:lang w:eastAsia="zh-CN"/>
              </w:rPr>
              <w:t>作为</w:t>
            </w:r>
            <w:r>
              <w:rPr>
                <w:rFonts w:hint="eastAsia"/>
                <w:color w:val="auto"/>
                <w:kern w:val="0"/>
                <w:sz w:val="24"/>
                <w:highlight w:val="none"/>
              </w:rPr>
              <w:t>周边果园</w:t>
            </w:r>
            <w:r>
              <w:rPr>
                <w:rFonts w:hint="eastAsia"/>
                <w:color w:val="auto"/>
                <w:kern w:val="0"/>
                <w:sz w:val="24"/>
                <w:highlight w:val="none"/>
                <w:lang w:eastAsia="zh-CN"/>
              </w:rPr>
              <w:t>灌溉用水</w:t>
            </w:r>
            <w:r>
              <w:rPr>
                <w:color w:val="auto"/>
                <w:sz w:val="24"/>
                <w:highlight w:val="none"/>
              </w:rPr>
              <w:t>。</w:t>
            </w:r>
          </w:p>
          <w:p w14:paraId="5D16C960">
            <w:pPr>
              <w:adjustRightInd w:val="0"/>
              <w:snapToGrid w:val="0"/>
              <w:spacing w:line="360" w:lineRule="auto"/>
              <w:ind w:firstLine="482" w:firstLineChars="200"/>
              <w:rPr>
                <w:b/>
                <w:bCs/>
                <w:color w:val="auto"/>
                <w:sz w:val="24"/>
                <w:highlight w:val="none"/>
              </w:rPr>
            </w:pPr>
            <w:r>
              <w:rPr>
                <w:rFonts w:hint="eastAsia"/>
                <w:b/>
                <w:bCs/>
                <w:color w:val="auto"/>
                <w:sz w:val="24"/>
                <w:highlight w:val="none"/>
              </w:rPr>
              <w:t>可行性分析</w:t>
            </w:r>
            <w:r>
              <w:rPr>
                <w:b/>
                <w:bCs/>
                <w:color w:val="auto"/>
                <w:sz w:val="24"/>
                <w:highlight w:val="none"/>
              </w:rPr>
              <w:t>：</w:t>
            </w:r>
          </w:p>
          <w:p w14:paraId="4E385040">
            <w:pPr>
              <w:numPr>
                <w:ilvl w:val="0"/>
                <w:numId w:val="4"/>
              </w:numPr>
              <w:adjustRightInd w:val="0"/>
              <w:snapToGrid w:val="0"/>
              <w:spacing w:line="360" w:lineRule="auto"/>
              <w:ind w:firstLine="480" w:firstLineChars="200"/>
              <w:rPr>
                <w:color w:val="auto"/>
                <w:sz w:val="24"/>
                <w:highlight w:val="none"/>
              </w:rPr>
            </w:pPr>
            <w:r>
              <w:rPr>
                <w:rFonts w:hint="eastAsia"/>
                <w:color w:val="auto"/>
                <w:sz w:val="24"/>
                <w:highlight w:val="none"/>
              </w:rPr>
              <w:t>水量</w:t>
            </w:r>
            <w:r>
              <w:rPr>
                <w:rFonts w:hint="eastAsia"/>
                <w:color w:val="auto"/>
                <w:sz w:val="24"/>
                <w:highlight w:val="none"/>
                <w:lang w:eastAsia="zh-CN"/>
              </w:rPr>
              <w:t>层面</w:t>
            </w:r>
            <w:r>
              <w:rPr>
                <w:rFonts w:hint="eastAsia"/>
                <w:color w:val="auto"/>
                <w:sz w:val="24"/>
                <w:highlight w:val="none"/>
              </w:rPr>
              <w:t>：根据企业提供的废水处理设计方案可知，本项目污水处理站设计处理规模为10m</w:t>
            </w:r>
            <w:r>
              <w:rPr>
                <w:rFonts w:hint="eastAsia"/>
                <w:color w:val="auto"/>
                <w:sz w:val="24"/>
                <w:highlight w:val="none"/>
                <w:vertAlign w:val="superscript"/>
              </w:rPr>
              <w:t>3</w:t>
            </w:r>
            <w:r>
              <w:rPr>
                <w:rFonts w:hint="eastAsia"/>
                <w:color w:val="auto"/>
                <w:sz w:val="24"/>
                <w:highlight w:val="none"/>
              </w:rPr>
              <w:t>/d。运营期生产废水产生量为</w:t>
            </w:r>
            <w:r>
              <w:rPr>
                <w:rFonts w:hint="eastAsia"/>
                <w:color w:val="auto"/>
                <w:sz w:val="24"/>
                <w:highlight w:val="none"/>
                <w:lang w:val="en-US" w:eastAsia="zh-CN"/>
              </w:rPr>
              <w:t>5.53</w:t>
            </w:r>
            <w:r>
              <w:rPr>
                <w:color w:val="auto"/>
                <w:kern w:val="0"/>
                <w:sz w:val="24"/>
                <w:highlight w:val="none"/>
              </w:rPr>
              <w:t>m</w:t>
            </w:r>
            <w:r>
              <w:rPr>
                <w:color w:val="auto"/>
                <w:kern w:val="0"/>
                <w:sz w:val="24"/>
                <w:highlight w:val="none"/>
                <w:vertAlign w:val="superscript"/>
              </w:rPr>
              <w:t>3</w:t>
            </w:r>
            <w:r>
              <w:rPr>
                <w:color w:val="auto"/>
                <w:kern w:val="0"/>
                <w:sz w:val="24"/>
                <w:highlight w:val="none"/>
              </w:rPr>
              <w:t>/d</w:t>
            </w:r>
            <w:r>
              <w:rPr>
                <w:rFonts w:hint="eastAsia"/>
                <w:color w:val="auto"/>
                <w:kern w:val="0"/>
                <w:sz w:val="24"/>
                <w:highlight w:val="none"/>
              </w:rPr>
              <w:t>，满足处理规模要求。</w:t>
            </w:r>
          </w:p>
          <w:p w14:paraId="616B8210">
            <w:pPr>
              <w:numPr>
                <w:ilvl w:val="0"/>
                <w:numId w:val="4"/>
              </w:numPr>
              <w:adjustRightInd w:val="0"/>
              <w:snapToGrid w:val="0"/>
              <w:spacing w:line="360" w:lineRule="auto"/>
              <w:ind w:firstLine="480" w:firstLineChars="200"/>
              <w:rPr>
                <w:color w:val="auto"/>
                <w:sz w:val="24"/>
                <w:highlight w:val="none"/>
              </w:rPr>
            </w:pPr>
            <w:r>
              <w:rPr>
                <w:rFonts w:hint="eastAsia"/>
                <w:color w:val="auto"/>
                <w:sz w:val="24"/>
                <w:highlight w:val="none"/>
              </w:rPr>
              <w:t>工艺</w:t>
            </w:r>
            <w:r>
              <w:rPr>
                <w:rFonts w:hint="eastAsia"/>
                <w:color w:val="auto"/>
                <w:sz w:val="24"/>
                <w:highlight w:val="none"/>
                <w:lang w:eastAsia="zh-CN"/>
              </w:rPr>
              <w:t>层面</w:t>
            </w:r>
            <w:r>
              <w:rPr>
                <w:rFonts w:hint="eastAsia"/>
                <w:color w:val="auto"/>
                <w:sz w:val="24"/>
                <w:highlight w:val="none"/>
              </w:rPr>
              <w:t>：根据企业提供的废水处理设计方案可知，本项目污水处理站采取的工艺为“格栅池+微滤机+调节池+一沉池+厌氧池+生物接触氧化池+二沉池”。</w:t>
            </w:r>
            <w:r>
              <w:rPr>
                <w:rFonts w:hint="eastAsia"/>
                <w:bCs/>
                <w:color w:val="auto"/>
                <w:sz w:val="24"/>
                <w:highlight w:val="none"/>
              </w:rPr>
              <w:t>工艺流程图如下：</w:t>
            </w:r>
          </w:p>
          <w:p w14:paraId="74697F58">
            <w:pPr>
              <w:adjustRightInd w:val="0"/>
              <w:snapToGrid w:val="0"/>
              <w:spacing w:line="360" w:lineRule="auto"/>
              <w:jc w:val="center"/>
              <w:rPr>
                <w:color w:val="auto"/>
                <w:sz w:val="24"/>
                <w:highlight w:val="none"/>
              </w:rPr>
            </w:pPr>
            <w:r>
              <w:rPr>
                <w:rFonts w:hint="eastAsia"/>
                <w:color w:val="auto"/>
                <w:sz w:val="24"/>
                <w:highlight w:val="none"/>
              </w:rPr>
              <w:object>
                <v:shape id="_x0000_i1030" o:spt="75" type="#_x0000_t75" style="height:134.25pt;width:420pt;" o:ole="t" filled="f" o:preferrelative="t" stroked="f" coordsize="21600,21600">
                  <v:path/>
                  <v:fill on="f" focussize="0,0"/>
                  <v:stroke on="f" joinstyle="miter"/>
                  <v:imagedata r:id="rId21" o:title=""/>
                  <o:lock v:ext="edit" aspectratio="f"/>
                  <w10:wrap type="none"/>
                  <w10:anchorlock/>
                </v:shape>
                <o:OLEObject Type="Embed" ProgID="Visio.Drawing.11" ShapeID="_x0000_i1030" DrawAspect="Content" ObjectID="_1468075730" r:id="rId20">
                  <o:LockedField>false</o:LockedField>
                </o:OLEObject>
              </w:object>
            </w:r>
            <w:r>
              <w:rPr>
                <w:rFonts w:hint="eastAsia"/>
                <w:b/>
                <w:color w:val="auto"/>
                <w:szCs w:val="21"/>
                <w:highlight w:val="none"/>
              </w:rPr>
              <w:t>图4-1  项目废水处理工艺图</w:t>
            </w:r>
          </w:p>
          <w:p w14:paraId="0E474384">
            <w:pPr>
              <w:pStyle w:val="28"/>
              <w:spacing w:after="0" w:line="360" w:lineRule="auto"/>
              <w:ind w:firstLine="480" w:firstLineChars="200"/>
              <w:rPr>
                <w:bCs/>
                <w:color w:val="auto"/>
                <w:sz w:val="24"/>
                <w:highlight w:val="none"/>
              </w:rPr>
            </w:pPr>
            <w:r>
              <w:rPr>
                <w:rFonts w:hint="eastAsia"/>
                <w:bCs/>
                <w:color w:val="auto"/>
                <w:sz w:val="24"/>
                <w:highlight w:val="none"/>
              </w:rPr>
              <w:t>废水处理工艺流程简介：</w:t>
            </w:r>
          </w:p>
          <w:p w14:paraId="5EF5CBD5">
            <w:pPr>
              <w:adjustRightInd w:val="0"/>
              <w:snapToGrid w:val="0"/>
              <w:spacing w:line="360" w:lineRule="auto"/>
              <w:ind w:firstLine="480" w:firstLineChars="200"/>
              <w:rPr>
                <w:color w:val="auto"/>
                <w:sz w:val="24"/>
                <w:highlight w:val="none"/>
              </w:rPr>
            </w:pPr>
            <w:r>
              <w:rPr>
                <w:rFonts w:hint="eastAsia"/>
                <w:color w:val="auto"/>
                <w:sz w:val="24"/>
                <w:highlight w:val="none"/>
              </w:rPr>
              <w:t>生产废水</w:t>
            </w:r>
            <w:r>
              <w:rPr>
                <w:color w:val="auto"/>
                <w:sz w:val="24"/>
                <w:highlight w:val="none"/>
              </w:rPr>
              <w:t>经过车间地下排水管道，</w:t>
            </w:r>
            <w:r>
              <w:rPr>
                <w:rFonts w:hint="eastAsia"/>
                <w:color w:val="auto"/>
                <w:sz w:val="24"/>
                <w:highlight w:val="none"/>
              </w:rPr>
              <w:t>进入污水处理区；</w:t>
            </w:r>
            <w:r>
              <w:rPr>
                <w:color w:val="auto"/>
                <w:sz w:val="24"/>
                <w:highlight w:val="none"/>
              </w:rPr>
              <w:t>经过提升式粗格栅，去除蔬肉以及茎叶等大块固体物，</w:t>
            </w:r>
            <w:r>
              <w:rPr>
                <w:rFonts w:hint="eastAsia"/>
                <w:color w:val="auto"/>
                <w:sz w:val="24"/>
                <w:highlight w:val="none"/>
              </w:rPr>
              <w:t>然后</w:t>
            </w:r>
            <w:r>
              <w:rPr>
                <w:color w:val="auto"/>
                <w:sz w:val="24"/>
                <w:highlight w:val="none"/>
              </w:rPr>
              <w:t>由提升泵打入滚筒微滤机，滚筒微滤机栅距达到1</w:t>
            </w:r>
            <w:r>
              <w:rPr>
                <w:rFonts w:hint="eastAsia"/>
                <w:color w:val="auto"/>
                <w:sz w:val="24"/>
                <w:highlight w:val="none"/>
              </w:rPr>
              <w:t>mm</w:t>
            </w:r>
            <w:r>
              <w:rPr>
                <w:color w:val="auto"/>
                <w:sz w:val="24"/>
                <w:highlight w:val="none"/>
              </w:rPr>
              <w:t>，</w:t>
            </w:r>
            <w:r>
              <w:rPr>
                <w:rFonts w:hint="eastAsia"/>
                <w:color w:val="auto"/>
                <w:sz w:val="24"/>
                <w:highlight w:val="none"/>
              </w:rPr>
              <w:t>可</w:t>
            </w:r>
            <w:r>
              <w:rPr>
                <w:color w:val="auto"/>
                <w:sz w:val="24"/>
                <w:highlight w:val="none"/>
              </w:rPr>
              <w:t>进一步去除废水中固体悬浮物</w:t>
            </w:r>
            <w:r>
              <w:rPr>
                <w:rFonts w:hint="eastAsia"/>
                <w:color w:val="auto"/>
                <w:sz w:val="24"/>
                <w:highlight w:val="none"/>
              </w:rPr>
              <w:t>；随后</w:t>
            </w:r>
            <w:r>
              <w:rPr>
                <w:color w:val="auto"/>
                <w:sz w:val="24"/>
                <w:highlight w:val="none"/>
              </w:rPr>
              <w:t>进入一沉池</w:t>
            </w:r>
            <w:r>
              <w:rPr>
                <w:rFonts w:hint="eastAsia"/>
                <w:color w:val="auto"/>
                <w:sz w:val="24"/>
                <w:highlight w:val="none"/>
              </w:rPr>
              <w:t>并</w:t>
            </w:r>
            <w:r>
              <w:rPr>
                <w:color w:val="auto"/>
                <w:sz w:val="24"/>
                <w:highlight w:val="none"/>
              </w:rPr>
              <w:t>投加PAC</w:t>
            </w:r>
            <w:r>
              <w:rPr>
                <w:rFonts w:hint="eastAsia"/>
                <w:color w:val="auto"/>
                <w:sz w:val="24"/>
                <w:highlight w:val="none"/>
              </w:rPr>
              <w:t>、</w:t>
            </w:r>
            <w:r>
              <w:rPr>
                <w:color w:val="auto"/>
                <w:sz w:val="24"/>
                <w:highlight w:val="none"/>
              </w:rPr>
              <w:t>PAM，增加絮凝沉淀效果</w:t>
            </w:r>
            <w:r>
              <w:rPr>
                <w:rFonts w:hint="eastAsia"/>
                <w:color w:val="auto"/>
                <w:sz w:val="24"/>
                <w:highlight w:val="none"/>
              </w:rPr>
              <w:t>；进入</w:t>
            </w:r>
            <w:r>
              <w:rPr>
                <w:color w:val="auto"/>
                <w:sz w:val="24"/>
                <w:highlight w:val="none"/>
              </w:rPr>
              <w:t>厌氧</w:t>
            </w:r>
            <w:r>
              <w:rPr>
                <w:rFonts w:hint="eastAsia"/>
                <w:color w:val="auto"/>
                <w:sz w:val="24"/>
                <w:highlight w:val="none"/>
              </w:rPr>
              <w:t>池</w:t>
            </w:r>
            <w:r>
              <w:rPr>
                <w:color w:val="auto"/>
                <w:sz w:val="24"/>
                <w:highlight w:val="none"/>
              </w:rPr>
              <w:t>微生物有效分解大分子的有机物质，为接触氧化池微生物处理进一步降低负荷</w:t>
            </w:r>
            <w:r>
              <w:rPr>
                <w:rFonts w:hint="eastAsia"/>
                <w:color w:val="auto"/>
                <w:sz w:val="24"/>
                <w:highlight w:val="none"/>
              </w:rPr>
              <w:t>；随后进入生物接触氧化池，</w:t>
            </w:r>
            <w:r>
              <w:rPr>
                <w:color w:val="auto"/>
                <w:sz w:val="24"/>
                <w:highlight w:val="none"/>
              </w:rPr>
              <w:t>通过分解吸收有机物来进行自身的新陈代谢活动，从而达到去除污水中有机物的效果</w:t>
            </w:r>
            <w:r>
              <w:rPr>
                <w:rFonts w:hint="eastAsia"/>
                <w:color w:val="auto"/>
                <w:sz w:val="24"/>
                <w:highlight w:val="none"/>
              </w:rPr>
              <w:t>。最后</w:t>
            </w:r>
            <w:r>
              <w:rPr>
                <w:color w:val="auto"/>
                <w:sz w:val="24"/>
                <w:highlight w:val="none"/>
              </w:rPr>
              <w:t>经过二沉池固液分离，上清液达标外排</w:t>
            </w:r>
            <w:r>
              <w:rPr>
                <w:rFonts w:hint="eastAsia"/>
                <w:color w:val="auto"/>
                <w:sz w:val="24"/>
                <w:highlight w:val="none"/>
              </w:rPr>
              <w:t>；底泥进入污泥浓缩池，浓缩污泥经泵压入污泥压滤机进行脱水处理，滤液回流至调节池，泥饼外运处理。</w:t>
            </w:r>
          </w:p>
          <w:p w14:paraId="1699A304">
            <w:pPr>
              <w:adjustRightInd w:val="0"/>
              <w:snapToGrid w:val="0"/>
              <w:spacing w:line="360" w:lineRule="auto"/>
              <w:ind w:firstLine="480" w:firstLineChars="200"/>
              <w:rPr>
                <w:color w:val="auto"/>
                <w:highlight w:val="none"/>
              </w:rPr>
            </w:pPr>
            <w:r>
              <w:rPr>
                <w:rFonts w:hint="eastAsia"/>
                <w:color w:val="auto"/>
                <w:sz w:val="24"/>
                <w:highlight w:val="none"/>
                <w:lang w:eastAsia="zh-CN"/>
              </w:rPr>
              <w:t>根据</w:t>
            </w:r>
            <w:r>
              <w:rPr>
                <w:rFonts w:hint="eastAsia"/>
                <w:color w:val="auto"/>
                <w:sz w:val="24"/>
                <w:highlight w:val="none"/>
              </w:rPr>
              <w:t>《排污许可证申请与核发技术规范食品制造工业一方便食品、食品及饲料添加剂制造工业》（HJ1030.3-2019）附录A中方便食品制造工业废水污染防治可行技术参考表可知，本项目采取的污水处理工艺为推荐的可行性技术。</w:t>
            </w:r>
          </w:p>
          <w:p w14:paraId="1F0F94DD">
            <w:pPr>
              <w:adjustRightInd w:val="0"/>
              <w:snapToGrid w:val="0"/>
              <w:spacing w:line="360" w:lineRule="auto"/>
              <w:ind w:firstLine="480" w:firstLineChars="200"/>
              <w:rPr>
                <w:rFonts w:eastAsia="新宋体"/>
                <w:color w:val="auto"/>
                <w:sz w:val="24"/>
                <w:szCs w:val="20"/>
                <w:highlight w:val="none"/>
              </w:rPr>
            </w:pPr>
            <w:r>
              <w:rPr>
                <w:rFonts w:hint="eastAsia" w:eastAsia="新宋体"/>
                <w:color w:val="auto"/>
                <w:sz w:val="24"/>
                <w:szCs w:val="20"/>
                <w:highlight w:val="none"/>
              </w:rPr>
              <w:t>（3）水质</w:t>
            </w:r>
            <w:r>
              <w:rPr>
                <w:rFonts w:hint="eastAsia"/>
                <w:color w:val="auto"/>
                <w:sz w:val="24"/>
                <w:highlight w:val="none"/>
                <w:lang w:eastAsia="zh-CN"/>
              </w:rPr>
              <w:t>层面</w:t>
            </w:r>
          </w:p>
          <w:p w14:paraId="2BCDF6FB">
            <w:pPr>
              <w:adjustRightInd w:val="0"/>
              <w:snapToGrid w:val="0"/>
              <w:spacing w:line="360" w:lineRule="auto"/>
              <w:ind w:firstLine="480" w:firstLineChars="200"/>
              <w:rPr>
                <w:rFonts w:hint="eastAsia"/>
                <w:color w:val="auto"/>
                <w:sz w:val="24"/>
                <w:highlight w:val="none"/>
                <w:lang w:eastAsia="zh-CN"/>
              </w:rPr>
            </w:pPr>
            <w:r>
              <w:rPr>
                <w:rFonts w:hint="eastAsia"/>
                <w:color w:val="auto"/>
                <w:sz w:val="24"/>
                <w:highlight w:val="none"/>
              </w:rPr>
              <w:t>根据企业提供的废水处理设计方案可知，本项目污水处理站设计</w:t>
            </w:r>
            <w:r>
              <w:rPr>
                <w:rFonts w:hint="eastAsia"/>
                <w:color w:val="auto"/>
                <w:sz w:val="24"/>
                <w:highlight w:val="none"/>
                <w:lang w:eastAsia="zh-CN"/>
              </w:rPr>
              <w:t>进出水质见下表：</w:t>
            </w:r>
          </w:p>
          <w:p w14:paraId="3347DCB5">
            <w:pPr>
              <w:widowControl/>
              <w:ind w:firstLine="422" w:firstLineChars="200"/>
              <w:jc w:val="center"/>
              <w:rPr>
                <w:rFonts w:hint="default" w:eastAsia="宋体"/>
                <w:b/>
                <w:bCs/>
                <w:color w:val="auto"/>
                <w:szCs w:val="21"/>
                <w:highlight w:val="none"/>
                <w:lang w:val="en-US" w:eastAsia="zh-CN"/>
              </w:rPr>
            </w:pPr>
            <w:r>
              <w:rPr>
                <w:rFonts w:hint="eastAsia"/>
                <w:b/>
                <w:bCs/>
                <w:color w:val="auto"/>
                <w:szCs w:val="21"/>
                <w:highlight w:val="none"/>
              </w:rPr>
              <w:t>表</w:t>
            </w:r>
            <w:r>
              <w:rPr>
                <w:b/>
                <w:bCs/>
                <w:color w:val="auto"/>
                <w:szCs w:val="21"/>
                <w:highlight w:val="none"/>
              </w:rPr>
              <w:t>4-</w:t>
            </w:r>
            <w:r>
              <w:rPr>
                <w:rFonts w:hint="eastAsia"/>
                <w:b/>
                <w:bCs/>
                <w:color w:val="auto"/>
                <w:szCs w:val="21"/>
                <w:highlight w:val="none"/>
              </w:rPr>
              <w:t>8</w:t>
            </w:r>
            <w:r>
              <w:rPr>
                <w:b/>
                <w:bCs/>
                <w:color w:val="auto"/>
                <w:szCs w:val="21"/>
                <w:highlight w:val="none"/>
              </w:rPr>
              <w:t xml:space="preserve">  </w:t>
            </w:r>
            <w:r>
              <w:rPr>
                <w:rFonts w:hint="eastAsia"/>
                <w:b/>
                <w:bCs/>
                <w:color w:val="auto"/>
                <w:highlight w:val="none"/>
              </w:rPr>
              <w:t>本项目</w:t>
            </w:r>
            <w:r>
              <w:rPr>
                <w:rFonts w:hint="eastAsia"/>
                <w:b/>
                <w:bCs/>
                <w:color w:val="auto"/>
                <w:highlight w:val="none"/>
                <w:lang w:eastAsia="zh-CN"/>
              </w:rPr>
              <w:t>污水处理站设计水质情况一览表</w:t>
            </w:r>
            <w:r>
              <w:rPr>
                <w:rFonts w:hint="eastAsia"/>
                <w:b/>
                <w:bCs/>
                <w:color w:val="auto"/>
                <w:szCs w:val="21"/>
                <w:highlight w:val="none"/>
              </w:rPr>
              <w:t xml:space="preserve">    单位：</w:t>
            </w:r>
            <w:r>
              <w:rPr>
                <w:rFonts w:hint="eastAsia"/>
                <w:b/>
                <w:bCs/>
                <w:color w:val="auto"/>
                <w:szCs w:val="21"/>
                <w:highlight w:val="none"/>
                <w:lang w:val="en-US" w:eastAsia="zh-CN"/>
              </w:rPr>
              <w:t>mg/L</w:t>
            </w:r>
          </w:p>
          <w:tbl>
            <w:tblPr>
              <w:tblStyle w:val="35"/>
              <w:tblW w:w="8342"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67"/>
              <w:gridCol w:w="1220"/>
              <w:gridCol w:w="1220"/>
              <w:gridCol w:w="1306"/>
              <w:gridCol w:w="3829"/>
            </w:tblGrid>
            <w:tr w14:paraId="3A2A200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8" w:hRule="atLeast"/>
                <w:jc w:val="center"/>
              </w:trPr>
              <w:tc>
                <w:tcPr>
                  <w:tcW w:w="767" w:type="dxa"/>
                  <w:tcBorders>
                    <w:tl2br w:val="nil"/>
                    <w:tr2bl w:val="nil"/>
                  </w:tcBorders>
                  <w:vAlign w:val="center"/>
                </w:tcPr>
                <w:p w14:paraId="2F9A8B38">
                  <w:pPr>
                    <w:snapToGrid w:val="0"/>
                    <w:spacing w:before="72" w:beforeLines="30" w:after="72" w:afterLines="30"/>
                    <w:jc w:val="center"/>
                    <w:rPr>
                      <w:color w:val="auto"/>
                      <w:highlight w:val="none"/>
                    </w:rPr>
                  </w:pPr>
                  <w:r>
                    <w:rPr>
                      <w:rFonts w:hint="eastAsia" w:cs="宋体"/>
                      <w:color w:val="auto"/>
                      <w:szCs w:val="21"/>
                      <w:highlight w:val="none"/>
                    </w:rPr>
                    <w:t>序号</w:t>
                  </w:r>
                </w:p>
              </w:tc>
              <w:tc>
                <w:tcPr>
                  <w:tcW w:w="1220" w:type="dxa"/>
                  <w:tcBorders>
                    <w:tl2br w:val="nil"/>
                    <w:tr2bl w:val="nil"/>
                  </w:tcBorders>
                  <w:vAlign w:val="center"/>
                </w:tcPr>
                <w:p w14:paraId="26875893">
                  <w:pPr>
                    <w:snapToGrid w:val="0"/>
                    <w:spacing w:before="72" w:beforeLines="30" w:after="72" w:afterLines="30"/>
                    <w:jc w:val="center"/>
                    <w:rPr>
                      <w:rFonts w:hint="eastAsia" w:eastAsia="宋体"/>
                      <w:color w:val="auto"/>
                      <w:highlight w:val="none"/>
                      <w:lang w:eastAsia="zh-CN"/>
                    </w:rPr>
                  </w:pPr>
                  <w:r>
                    <w:rPr>
                      <w:rFonts w:hint="eastAsia" w:cs="宋体"/>
                      <w:color w:val="auto"/>
                      <w:szCs w:val="21"/>
                      <w:highlight w:val="none"/>
                      <w:lang w:eastAsia="zh-CN"/>
                    </w:rPr>
                    <w:t>项目</w:t>
                  </w:r>
                </w:p>
              </w:tc>
              <w:tc>
                <w:tcPr>
                  <w:tcW w:w="1220" w:type="dxa"/>
                  <w:tcBorders>
                    <w:tl2br w:val="nil"/>
                    <w:tr2bl w:val="nil"/>
                  </w:tcBorders>
                  <w:vAlign w:val="center"/>
                </w:tcPr>
                <w:p w14:paraId="3CDE5C89">
                  <w:pPr>
                    <w:snapToGrid w:val="0"/>
                    <w:spacing w:before="72" w:beforeLines="30" w:after="72" w:afterLines="30"/>
                    <w:jc w:val="center"/>
                    <w:rPr>
                      <w:rFonts w:hint="default" w:eastAsia="宋体"/>
                      <w:color w:val="auto"/>
                      <w:highlight w:val="none"/>
                      <w:lang w:val="en-US" w:eastAsia="zh-CN"/>
                    </w:rPr>
                  </w:pPr>
                  <w:r>
                    <w:rPr>
                      <w:rFonts w:hint="eastAsia"/>
                      <w:color w:val="auto"/>
                      <w:highlight w:val="none"/>
                      <w:lang w:val="en-US" w:eastAsia="zh-CN"/>
                    </w:rPr>
                    <w:t>进水水质</w:t>
                  </w:r>
                </w:p>
              </w:tc>
              <w:tc>
                <w:tcPr>
                  <w:tcW w:w="1306" w:type="dxa"/>
                  <w:tcBorders>
                    <w:tl2br w:val="nil"/>
                    <w:tr2bl w:val="nil"/>
                  </w:tcBorders>
                  <w:vAlign w:val="center"/>
                </w:tcPr>
                <w:p w14:paraId="785EEC38">
                  <w:pPr>
                    <w:snapToGrid w:val="0"/>
                    <w:spacing w:before="72" w:beforeLines="30" w:after="72" w:afterLines="30"/>
                    <w:jc w:val="center"/>
                    <w:rPr>
                      <w:rFonts w:hint="eastAsia" w:eastAsia="宋体"/>
                      <w:color w:val="auto"/>
                      <w:highlight w:val="none"/>
                      <w:lang w:eastAsia="zh-CN"/>
                    </w:rPr>
                  </w:pPr>
                  <w:r>
                    <w:rPr>
                      <w:rFonts w:hint="eastAsia" w:cs="宋体"/>
                      <w:color w:val="auto"/>
                      <w:szCs w:val="21"/>
                      <w:highlight w:val="none"/>
                      <w:lang w:eastAsia="zh-CN"/>
                    </w:rPr>
                    <w:t>出水水质</w:t>
                  </w:r>
                </w:p>
              </w:tc>
              <w:tc>
                <w:tcPr>
                  <w:tcW w:w="3829" w:type="dxa"/>
                  <w:tcBorders>
                    <w:tl2br w:val="nil"/>
                    <w:tr2bl w:val="nil"/>
                  </w:tcBorders>
                  <w:vAlign w:val="center"/>
                </w:tcPr>
                <w:p w14:paraId="73C3AB7A">
                  <w:pPr>
                    <w:snapToGrid w:val="0"/>
                    <w:spacing w:before="72" w:beforeLines="30" w:after="72" w:afterLines="30"/>
                    <w:jc w:val="center"/>
                    <w:rPr>
                      <w:rFonts w:ascii="宋体" w:hAnsi="宋体" w:cs="宋体"/>
                      <w:color w:val="auto"/>
                      <w:highlight w:val="none"/>
                    </w:rPr>
                  </w:pPr>
                  <w:r>
                    <w:rPr>
                      <w:rFonts w:hint="eastAsia"/>
                      <w:color w:val="auto"/>
                      <w:sz w:val="21"/>
                      <w:szCs w:val="21"/>
                      <w:highlight w:val="none"/>
                    </w:rPr>
                    <w:t>《农田灌溉水质标准》（GB5084-2021）表1中的限值</w:t>
                  </w:r>
                </w:p>
              </w:tc>
            </w:tr>
            <w:tr w14:paraId="56DC086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67" w:type="dxa"/>
                  <w:tcBorders>
                    <w:tl2br w:val="nil"/>
                    <w:tr2bl w:val="nil"/>
                  </w:tcBorders>
                  <w:vAlign w:val="center"/>
                </w:tcPr>
                <w:p w14:paraId="35F171FE">
                  <w:pPr>
                    <w:jc w:val="center"/>
                    <w:rPr>
                      <w:color w:val="auto"/>
                      <w:spacing w:val="-1"/>
                      <w:szCs w:val="21"/>
                      <w:highlight w:val="none"/>
                    </w:rPr>
                  </w:pPr>
                  <w:r>
                    <w:rPr>
                      <w:color w:val="auto"/>
                      <w:spacing w:val="-1"/>
                      <w:szCs w:val="21"/>
                      <w:highlight w:val="none"/>
                    </w:rPr>
                    <w:t>1</w:t>
                  </w:r>
                </w:p>
              </w:tc>
              <w:tc>
                <w:tcPr>
                  <w:tcW w:w="1220" w:type="dxa"/>
                  <w:tcBorders>
                    <w:tl2br w:val="nil"/>
                    <w:tr2bl w:val="nil"/>
                  </w:tcBorders>
                  <w:vAlign w:val="center"/>
                </w:tcPr>
                <w:p w14:paraId="0B408841">
                  <w:pPr>
                    <w:widowControl/>
                    <w:adjustRightInd w:val="0"/>
                    <w:snapToGrid w:val="0"/>
                    <w:jc w:val="center"/>
                    <w:rPr>
                      <w:rFonts w:hint="default" w:eastAsia="宋体"/>
                      <w:color w:val="auto"/>
                      <w:szCs w:val="21"/>
                      <w:highlight w:val="none"/>
                      <w:lang w:val="en-US" w:eastAsia="zh-CN"/>
                    </w:rPr>
                  </w:pPr>
                  <w:r>
                    <w:rPr>
                      <w:rFonts w:hint="eastAsia"/>
                      <w:color w:val="auto"/>
                      <w:kern w:val="0"/>
                      <w:szCs w:val="21"/>
                      <w:highlight w:val="none"/>
                      <w:lang w:val="en-US" w:eastAsia="zh-CN"/>
                    </w:rPr>
                    <w:t>pH</w:t>
                  </w:r>
                </w:p>
              </w:tc>
              <w:tc>
                <w:tcPr>
                  <w:tcW w:w="1220" w:type="dxa"/>
                  <w:tcBorders>
                    <w:tl2br w:val="nil"/>
                    <w:tr2bl w:val="nil"/>
                  </w:tcBorders>
                  <w:vAlign w:val="center"/>
                </w:tcPr>
                <w:p w14:paraId="14B50A35">
                  <w:pPr>
                    <w:widowControl/>
                    <w:adjustRightInd w:val="0"/>
                    <w:snapToGrid w:val="0"/>
                    <w:jc w:val="center"/>
                    <w:rPr>
                      <w:rFonts w:hint="default" w:eastAsia="宋体"/>
                      <w:color w:val="auto"/>
                      <w:spacing w:val="-1"/>
                      <w:highlight w:val="none"/>
                      <w:lang w:val="en-US" w:eastAsia="zh-CN"/>
                    </w:rPr>
                  </w:pPr>
                  <w:r>
                    <w:rPr>
                      <w:rFonts w:hint="eastAsia"/>
                      <w:color w:val="auto"/>
                      <w:spacing w:val="-1"/>
                      <w:highlight w:val="none"/>
                      <w:lang w:val="en-US" w:eastAsia="zh-CN"/>
                    </w:rPr>
                    <w:t>5~8</w:t>
                  </w:r>
                </w:p>
              </w:tc>
              <w:tc>
                <w:tcPr>
                  <w:tcW w:w="1306" w:type="dxa"/>
                  <w:tcBorders>
                    <w:tl2br w:val="nil"/>
                    <w:tr2bl w:val="nil"/>
                  </w:tcBorders>
                  <w:vAlign w:val="center"/>
                </w:tcPr>
                <w:p w14:paraId="2D5665EB">
                  <w:pPr>
                    <w:jc w:val="center"/>
                    <w:rPr>
                      <w:rFonts w:hint="default" w:eastAsia="宋体"/>
                      <w:color w:val="auto"/>
                      <w:szCs w:val="21"/>
                      <w:highlight w:val="none"/>
                      <w:lang w:val="en-US" w:eastAsia="zh-CN"/>
                    </w:rPr>
                  </w:pPr>
                  <w:r>
                    <w:rPr>
                      <w:rFonts w:hint="eastAsia"/>
                      <w:color w:val="auto"/>
                      <w:szCs w:val="21"/>
                      <w:highlight w:val="none"/>
                      <w:lang w:val="en-US" w:eastAsia="zh-CN"/>
                    </w:rPr>
                    <w:t>6~8</w:t>
                  </w:r>
                </w:p>
              </w:tc>
              <w:tc>
                <w:tcPr>
                  <w:tcW w:w="3829" w:type="dxa"/>
                  <w:tcBorders>
                    <w:tl2br w:val="nil"/>
                    <w:tr2bl w:val="nil"/>
                  </w:tcBorders>
                  <w:vAlign w:val="center"/>
                </w:tcPr>
                <w:p w14:paraId="7857168B">
                  <w:pPr>
                    <w:jc w:val="center"/>
                    <w:rPr>
                      <w:rFonts w:hint="default" w:eastAsia="宋体"/>
                      <w:color w:val="auto"/>
                      <w:highlight w:val="none"/>
                      <w:lang w:val="en-US" w:eastAsia="zh-CN"/>
                    </w:rPr>
                  </w:pPr>
                  <w:r>
                    <w:rPr>
                      <w:rFonts w:hint="eastAsia"/>
                      <w:color w:val="auto"/>
                      <w:highlight w:val="none"/>
                      <w:lang w:val="en-US" w:eastAsia="zh-CN"/>
                    </w:rPr>
                    <w:t>5.5~8.5</w:t>
                  </w:r>
                </w:p>
              </w:tc>
            </w:tr>
            <w:tr w14:paraId="432E547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67" w:type="dxa"/>
                  <w:tcBorders>
                    <w:tl2br w:val="nil"/>
                    <w:tr2bl w:val="nil"/>
                  </w:tcBorders>
                  <w:vAlign w:val="center"/>
                </w:tcPr>
                <w:p w14:paraId="305384FE">
                  <w:pPr>
                    <w:jc w:val="center"/>
                    <w:rPr>
                      <w:color w:val="auto"/>
                      <w:spacing w:val="-1"/>
                      <w:highlight w:val="none"/>
                    </w:rPr>
                  </w:pPr>
                  <w:r>
                    <w:rPr>
                      <w:color w:val="auto"/>
                      <w:spacing w:val="-1"/>
                      <w:szCs w:val="21"/>
                      <w:highlight w:val="none"/>
                    </w:rPr>
                    <w:t>2</w:t>
                  </w:r>
                </w:p>
              </w:tc>
              <w:tc>
                <w:tcPr>
                  <w:tcW w:w="1220" w:type="dxa"/>
                  <w:tcBorders>
                    <w:tl2br w:val="nil"/>
                    <w:tr2bl w:val="nil"/>
                  </w:tcBorders>
                  <w:vAlign w:val="center"/>
                </w:tcPr>
                <w:p w14:paraId="478D09F5">
                  <w:pPr>
                    <w:widowControl/>
                    <w:adjustRightInd w:val="0"/>
                    <w:snapToGrid w:val="0"/>
                    <w:jc w:val="center"/>
                    <w:rPr>
                      <w:rFonts w:hint="default" w:eastAsia="宋体"/>
                      <w:color w:val="auto"/>
                      <w:spacing w:val="-1"/>
                      <w:szCs w:val="21"/>
                      <w:highlight w:val="none"/>
                      <w:lang w:val="en-US" w:eastAsia="zh-CN"/>
                    </w:rPr>
                  </w:pPr>
                  <w:r>
                    <w:rPr>
                      <w:rFonts w:hint="eastAsia"/>
                      <w:color w:val="auto"/>
                      <w:kern w:val="0"/>
                      <w:szCs w:val="21"/>
                      <w:highlight w:val="none"/>
                      <w:lang w:val="en-US" w:eastAsia="zh-CN"/>
                    </w:rPr>
                    <w:t>COD</w:t>
                  </w:r>
                </w:p>
              </w:tc>
              <w:tc>
                <w:tcPr>
                  <w:tcW w:w="1220" w:type="dxa"/>
                  <w:tcBorders>
                    <w:tl2br w:val="nil"/>
                    <w:tr2bl w:val="nil"/>
                  </w:tcBorders>
                  <w:vAlign w:val="top"/>
                </w:tcPr>
                <w:p w14:paraId="2FB1A067">
                  <w:pPr>
                    <w:jc w:val="center"/>
                    <w:rPr>
                      <w:rFonts w:hint="default" w:ascii="Times New Roman" w:hAnsi="Times New Roman" w:cs="Times New Roman"/>
                      <w:color w:val="auto"/>
                      <w:spacing w:val="-1"/>
                      <w:highlight w:val="none"/>
                    </w:rPr>
                  </w:pPr>
                  <w:r>
                    <w:rPr>
                      <w:rFonts w:hint="default" w:ascii="Times New Roman" w:hAnsi="Times New Roman" w:cs="Times New Roman"/>
                      <w:bCs/>
                      <w:color w:val="auto"/>
                      <w:sz w:val="21"/>
                      <w:szCs w:val="21"/>
                      <w:highlight w:val="none"/>
                      <w:lang w:val="en-US" w:eastAsia="zh-CN"/>
                    </w:rPr>
                    <w:t>30</w:t>
                  </w:r>
                  <w:r>
                    <w:rPr>
                      <w:rFonts w:hint="default" w:ascii="Times New Roman" w:hAnsi="Times New Roman" w:cs="Times New Roman"/>
                      <w:bCs/>
                      <w:color w:val="auto"/>
                      <w:sz w:val="21"/>
                      <w:szCs w:val="21"/>
                      <w:highlight w:val="none"/>
                    </w:rPr>
                    <w:t>00</w:t>
                  </w:r>
                </w:p>
              </w:tc>
              <w:tc>
                <w:tcPr>
                  <w:tcW w:w="1306" w:type="dxa"/>
                  <w:tcBorders>
                    <w:tl2br w:val="nil"/>
                    <w:tr2bl w:val="nil"/>
                  </w:tcBorders>
                  <w:vAlign w:val="top"/>
                </w:tcPr>
                <w:p w14:paraId="60E929A6">
                  <w:pPr>
                    <w:jc w:val="center"/>
                    <w:rPr>
                      <w:rFonts w:hint="default" w:ascii="Times New Roman" w:hAnsi="Times New Roman" w:cs="Times New Roman"/>
                      <w:color w:val="auto"/>
                      <w:highlight w:val="none"/>
                    </w:rPr>
                  </w:pPr>
                  <w:r>
                    <w:rPr>
                      <w:rFonts w:hint="default" w:ascii="Times New Roman" w:hAnsi="Times New Roman" w:cs="Times New Roman"/>
                      <w:bCs/>
                      <w:color w:val="auto"/>
                      <w:szCs w:val="21"/>
                      <w:highlight w:val="none"/>
                    </w:rPr>
                    <w:t>＜</w:t>
                  </w:r>
                  <w:r>
                    <w:rPr>
                      <w:rFonts w:hint="default" w:ascii="Times New Roman" w:hAnsi="Times New Roman" w:cs="Times New Roman"/>
                      <w:bCs/>
                      <w:color w:val="auto"/>
                      <w:szCs w:val="21"/>
                      <w:highlight w:val="none"/>
                      <w:lang w:val="en-US" w:eastAsia="zh-CN"/>
                    </w:rPr>
                    <w:t>200</w:t>
                  </w:r>
                </w:p>
              </w:tc>
              <w:tc>
                <w:tcPr>
                  <w:tcW w:w="3829" w:type="dxa"/>
                  <w:tcBorders>
                    <w:tl2br w:val="nil"/>
                    <w:tr2bl w:val="nil"/>
                  </w:tcBorders>
                  <w:vAlign w:val="center"/>
                </w:tcPr>
                <w:p w14:paraId="27F2A7EF">
                  <w:pPr>
                    <w:jc w:val="center"/>
                    <w:rPr>
                      <w:rFonts w:hint="default" w:eastAsia="宋体"/>
                      <w:color w:val="auto"/>
                      <w:highlight w:val="none"/>
                      <w:lang w:val="en-US" w:eastAsia="zh-CN"/>
                    </w:rPr>
                  </w:pPr>
                  <w:r>
                    <w:rPr>
                      <w:rFonts w:hint="eastAsia"/>
                      <w:color w:val="auto"/>
                      <w:highlight w:val="none"/>
                      <w:lang w:val="en-US" w:eastAsia="zh-CN"/>
                    </w:rPr>
                    <w:t>200</w:t>
                  </w:r>
                </w:p>
              </w:tc>
            </w:tr>
            <w:tr w14:paraId="221BBF8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67" w:type="dxa"/>
                  <w:tcBorders>
                    <w:tl2br w:val="nil"/>
                    <w:tr2bl w:val="nil"/>
                  </w:tcBorders>
                  <w:vAlign w:val="center"/>
                </w:tcPr>
                <w:p w14:paraId="041FBA72">
                  <w:pPr>
                    <w:jc w:val="center"/>
                    <w:rPr>
                      <w:color w:val="auto"/>
                      <w:spacing w:val="-1"/>
                      <w:highlight w:val="none"/>
                    </w:rPr>
                  </w:pPr>
                  <w:r>
                    <w:rPr>
                      <w:color w:val="auto"/>
                      <w:spacing w:val="-1"/>
                      <w:szCs w:val="21"/>
                      <w:highlight w:val="none"/>
                    </w:rPr>
                    <w:t>3</w:t>
                  </w:r>
                </w:p>
              </w:tc>
              <w:tc>
                <w:tcPr>
                  <w:tcW w:w="1220" w:type="dxa"/>
                  <w:tcBorders>
                    <w:tl2br w:val="nil"/>
                    <w:tr2bl w:val="nil"/>
                  </w:tcBorders>
                  <w:vAlign w:val="center"/>
                </w:tcPr>
                <w:p w14:paraId="7DAA2096">
                  <w:pPr>
                    <w:widowControl/>
                    <w:adjustRightInd w:val="0"/>
                    <w:snapToGrid w:val="0"/>
                    <w:jc w:val="center"/>
                    <w:rPr>
                      <w:rFonts w:hint="default" w:eastAsia="宋体"/>
                      <w:color w:val="auto"/>
                      <w:spacing w:val="-1"/>
                      <w:szCs w:val="21"/>
                      <w:highlight w:val="none"/>
                      <w:lang w:val="en-US" w:eastAsia="zh-CN"/>
                    </w:rPr>
                  </w:pPr>
                  <w:r>
                    <w:rPr>
                      <w:rFonts w:hint="eastAsia"/>
                      <w:color w:val="auto"/>
                      <w:kern w:val="0"/>
                      <w:szCs w:val="21"/>
                      <w:highlight w:val="none"/>
                      <w:lang w:val="en-US" w:eastAsia="zh-CN"/>
                    </w:rPr>
                    <w:t>BOD</w:t>
                  </w:r>
                  <w:r>
                    <w:rPr>
                      <w:rFonts w:hint="eastAsia"/>
                      <w:color w:val="auto"/>
                      <w:kern w:val="0"/>
                      <w:szCs w:val="21"/>
                      <w:highlight w:val="none"/>
                      <w:vertAlign w:val="subscript"/>
                      <w:lang w:val="en-US" w:eastAsia="zh-CN"/>
                    </w:rPr>
                    <w:t>5</w:t>
                  </w:r>
                </w:p>
              </w:tc>
              <w:tc>
                <w:tcPr>
                  <w:tcW w:w="1220" w:type="dxa"/>
                  <w:tcBorders>
                    <w:tl2br w:val="nil"/>
                    <w:tr2bl w:val="nil"/>
                  </w:tcBorders>
                  <w:vAlign w:val="top"/>
                </w:tcPr>
                <w:p w14:paraId="6D99076E">
                  <w:pPr>
                    <w:jc w:val="center"/>
                    <w:rPr>
                      <w:rFonts w:hint="default" w:ascii="Times New Roman" w:hAnsi="Times New Roman" w:cs="Times New Roman"/>
                      <w:color w:val="auto"/>
                      <w:highlight w:val="none"/>
                    </w:rPr>
                  </w:pPr>
                  <w:r>
                    <w:rPr>
                      <w:rFonts w:hint="default" w:ascii="Times New Roman" w:hAnsi="Times New Roman" w:cs="Times New Roman"/>
                      <w:bCs/>
                      <w:color w:val="auto"/>
                      <w:sz w:val="21"/>
                      <w:szCs w:val="21"/>
                      <w:highlight w:val="none"/>
                      <w:lang w:val="en-US" w:eastAsia="zh-CN"/>
                    </w:rPr>
                    <w:t>20</w:t>
                  </w:r>
                  <w:r>
                    <w:rPr>
                      <w:rFonts w:hint="default" w:ascii="Times New Roman" w:hAnsi="Times New Roman" w:cs="Times New Roman"/>
                      <w:bCs/>
                      <w:color w:val="auto"/>
                      <w:sz w:val="21"/>
                      <w:szCs w:val="21"/>
                      <w:highlight w:val="none"/>
                    </w:rPr>
                    <w:t>00</w:t>
                  </w:r>
                </w:p>
              </w:tc>
              <w:tc>
                <w:tcPr>
                  <w:tcW w:w="1306" w:type="dxa"/>
                  <w:tcBorders>
                    <w:tl2br w:val="nil"/>
                    <w:tr2bl w:val="nil"/>
                  </w:tcBorders>
                  <w:vAlign w:val="top"/>
                </w:tcPr>
                <w:p w14:paraId="2AECBB8B">
                  <w:pPr>
                    <w:jc w:val="center"/>
                    <w:rPr>
                      <w:rFonts w:hint="default" w:ascii="Times New Roman" w:hAnsi="Times New Roman" w:cs="Times New Roman"/>
                      <w:color w:val="auto"/>
                      <w:highlight w:val="none"/>
                    </w:rPr>
                  </w:pPr>
                  <w:r>
                    <w:rPr>
                      <w:rFonts w:hint="default" w:ascii="Times New Roman" w:hAnsi="Times New Roman" w:cs="Times New Roman"/>
                      <w:bCs/>
                      <w:color w:val="auto"/>
                      <w:szCs w:val="21"/>
                      <w:highlight w:val="none"/>
                    </w:rPr>
                    <w:t>＜</w:t>
                  </w:r>
                  <w:r>
                    <w:rPr>
                      <w:rFonts w:hint="default" w:ascii="Times New Roman" w:hAnsi="Times New Roman" w:cs="Times New Roman"/>
                      <w:bCs/>
                      <w:color w:val="auto"/>
                      <w:szCs w:val="21"/>
                      <w:highlight w:val="none"/>
                      <w:lang w:val="en-US" w:eastAsia="zh-CN"/>
                    </w:rPr>
                    <w:t>100</w:t>
                  </w:r>
                </w:p>
              </w:tc>
              <w:tc>
                <w:tcPr>
                  <w:tcW w:w="3829" w:type="dxa"/>
                  <w:tcBorders>
                    <w:tl2br w:val="nil"/>
                    <w:tr2bl w:val="nil"/>
                  </w:tcBorders>
                  <w:vAlign w:val="center"/>
                </w:tcPr>
                <w:p w14:paraId="48E4B903">
                  <w:pPr>
                    <w:jc w:val="center"/>
                    <w:rPr>
                      <w:rFonts w:hint="default" w:eastAsia="宋体"/>
                      <w:color w:val="auto"/>
                      <w:highlight w:val="none"/>
                      <w:lang w:val="en-US" w:eastAsia="zh-CN"/>
                    </w:rPr>
                  </w:pPr>
                  <w:r>
                    <w:rPr>
                      <w:rFonts w:hint="eastAsia"/>
                      <w:color w:val="auto"/>
                      <w:highlight w:val="none"/>
                      <w:lang w:val="en-US" w:eastAsia="zh-CN"/>
                    </w:rPr>
                    <w:t>100</w:t>
                  </w:r>
                </w:p>
              </w:tc>
            </w:tr>
            <w:tr w14:paraId="1809BA8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67" w:type="dxa"/>
                  <w:tcBorders>
                    <w:tl2br w:val="nil"/>
                    <w:tr2bl w:val="nil"/>
                  </w:tcBorders>
                  <w:vAlign w:val="center"/>
                </w:tcPr>
                <w:p w14:paraId="0F3865EA">
                  <w:pPr>
                    <w:jc w:val="center"/>
                    <w:rPr>
                      <w:color w:val="auto"/>
                      <w:spacing w:val="-1"/>
                      <w:szCs w:val="21"/>
                      <w:highlight w:val="none"/>
                    </w:rPr>
                  </w:pPr>
                  <w:r>
                    <w:rPr>
                      <w:rFonts w:hint="eastAsia"/>
                      <w:color w:val="auto"/>
                      <w:spacing w:val="-1"/>
                      <w:szCs w:val="21"/>
                      <w:highlight w:val="none"/>
                    </w:rPr>
                    <w:t>4</w:t>
                  </w:r>
                </w:p>
              </w:tc>
              <w:tc>
                <w:tcPr>
                  <w:tcW w:w="1220" w:type="dxa"/>
                  <w:tcBorders>
                    <w:tl2br w:val="nil"/>
                    <w:tr2bl w:val="nil"/>
                  </w:tcBorders>
                  <w:vAlign w:val="center"/>
                </w:tcPr>
                <w:p w14:paraId="14963AEA">
                  <w:pPr>
                    <w:widowControl/>
                    <w:adjustRightInd w:val="0"/>
                    <w:snapToGrid w:val="0"/>
                    <w:jc w:val="center"/>
                    <w:rPr>
                      <w:rFonts w:hint="default" w:eastAsia="宋体"/>
                      <w:color w:val="auto"/>
                      <w:szCs w:val="21"/>
                      <w:highlight w:val="none"/>
                      <w:lang w:val="en-US" w:eastAsia="zh-CN"/>
                    </w:rPr>
                  </w:pPr>
                  <w:r>
                    <w:rPr>
                      <w:rFonts w:hint="eastAsia"/>
                      <w:color w:val="auto"/>
                      <w:kern w:val="0"/>
                      <w:szCs w:val="21"/>
                      <w:highlight w:val="none"/>
                      <w:lang w:val="en-US" w:eastAsia="zh-CN"/>
                    </w:rPr>
                    <w:t>SS</w:t>
                  </w:r>
                </w:p>
              </w:tc>
              <w:tc>
                <w:tcPr>
                  <w:tcW w:w="1220" w:type="dxa"/>
                  <w:tcBorders>
                    <w:tl2br w:val="nil"/>
                    <w:tr2bl w:val="nil"/>
                  </w:tcBorders>
                  <w:vAlign w:val="top"/>
                </w:tcPr>
                <w:p w14:paraId="71F173E0">
                  <w:pPr>
                    <w:jc w:val="center"/>
                    <w:rPr>
                      <w:rFonts w:hint="default" w:ascii="Times New Roman" w:hAnsi="Times New Roman" w:cs="Times New Roman"/>
                      <w:color w:val="auto"/>
                      <w:szCs w:val="21"/>
                      <w:highlight w:val="none"/>
                    </w:rPr>
                  </w:pPr>
                  <w:r>
                    <w:rPr>
                      <w:rFonts w:hint="default" w:ascii="Times New Roman" w:hAnsi="Times New Roman" w:cs="Times New Roman"/>
                      <w:bCs/>
                      <w:color w:val="auto"/>
                      <w:sz w:val="21"/>
                      <w:szCs w:val="21"/>
                      <w:highlight w:val="none"/>
                      <w:lang w:val="en-US" w:eastAsia="zh-CN"/>
                    </w:rPr>
                    <w:t>15</w:t>
                  </w:r>
                  <w:r>
                    <w:rPr>
                      <w:rFonts w:hint="default" w:ascii="Times New Roman" w:hAnsi="Times New Roman" w:cs="Times New Roman"/>
                      <w:bCs/>
                      <w:color w:val="auto"/>
                      <w:sz w:val="21"/>
                      <w:szCs w:val="21"/>
                      <w:highlight w:val="none"/>
                    </w:rPr>
                    <w:t>00</w:t>
                  </w:r>
                </w:p>
              </w:tc>
              <w:tc>
                <w:tcPr>
                  <w:tcW w:w="1306" w:type="dxa"/>
                  <w:tcBorders>
                    <w:tl2br w:val="nil"/>
                    <w:tr2bl w:val="nil"/>
                  </w:tcBorders>
                  <w:vAlign w:val="top"/>
                </w:tcPr>
                <w:p w14:paraId="71171BBD">
                  <w:pPr>
                    <w:jc w:val="center"/>
                    <w:rPr>
                      <w:rFonts w:hint="default" w:ascii="Times New Roman" w:hAnsi="Times New Roman" w:cs="Times New Roman"/>
                      <w:color w:val="auto"/>
                      <w:szCs w:val="21"/>
                      <w:highlight w:val="none"/>
                    </w:rPr>
                  </w:pPr>
                  <w:r>
                    <w:rPr>
                      <w:rFonts w:hint="default" w:ascii="Times New Roman" w:hAnsi="Times New Roman" w:cs="Times New Roman"/>
                      <w:bCs/>
                      <w:color w:val="auto"/>
                      <w:szCs w:val="21"/>
                      <w:highlight w:val="none"/>
                    </w:rPr>
                    <w:t>＜</w:t>
                  </w:r>
                  <w:r>
                    <w:rPr>
                      <w:rFonts w:hint="default" w:ascii="Times New Roman" w:hAnsi="Times New Roman" w:cs="Times New Roman"/>
                      <w:bCs/>
                      <w:color w:val="auto"/>
                      <w:szCs w:val="21"/>
                      <w:highlight w:val="none"/>
                      <w:lang w:val="en-US" w:eastAsia="zh-CN"/>
                    </w:rPr>
                    <w:t>10</w:t>
                  </w:r>
                  <w:r>
                    <w:rPr>
                      <w:rFonts w:hint="default" w:ascii="Times New Roman" w:hAnsi="Times New Roman" w:cs="Times New Roman"/>
                      <w:bCs/>
                      <w:color w:val="auto"/>
                      <w:szCs w:val="21"/>
                      <w:highlight w:val="none"/>
                    </w:rPr>
                    <w:t>0</w:t>
                  </w:r>
                </w:p>
              </w:tc>
              <w:tc>
                <w:tcPr>
                  <w:tcW w:w="3829" w:type="dxa"/>
                  <w:tcBorders>
                    <w:tl2br w:val="nil"/>
                    <w:tr2bl w:val="nil"/>
                  </w:tcBorders>
                  <w:vAlign w:val="center"/>
                </w:tcPr>
                <w:p w14:paraId="33B89BB1">
                  <w:pPr>
                    <w:jc w:val="center"/>
                    <w:rPr>
                      <w:rFonts w:hint="default" w:eastAsia="宋体"/>
                      <w:color w:val="auto"/>
                      <w:highlight w:val="none"/>
                      <w:lang w:val="en-US" w:eastAsia="zh-CN"/>
                    </w:rPr>
                  </w:pPr>
                  <w:r>
                    <w:rPr>
                      <w:rFonts w:hint="eastAsia"/>
                      <w:color w:val="auto"/>
                      <w:highlight w:val="none"/>
                      <w:lang w:val="en-US" w:eastAsia="zh-CN"/>
                    </w:rPr>
                    <w:t>100</w:t>
                  </w:r>
                </w:p>
              </w:tc>
            </w:tr>
            <w:tr w14:paraId="0330630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67" w:type="dxa"/>
                  <w:tcBorders>
                    <w:tl2br w:val="nil"/>
                    <w:tr2bl w:val="nil"/>
                  </w:tcBorders>
                  <w:vAlign w:val="center"/>
                </w:tcPr>
                <w:p w14:paraId="0A58D8C3">
                  <w:pPr>
                    <w:jc w:val="center"/>
                    <w:rPr>
                      <w:rFonts w:hint="eastAsia" w:eastAsia="宋体"/>
                      <w:color w:val="auto"/>
                      <w:spacing w:val="-1"/>
                      <w:szCs w:val="21"/>
                      <w:highlight w:val="none"/>
                      <w:lang w:eastAsia="zh-CN"/>
                    </w:rPr>
                  </w:pPr>
                  <w:r>
                    <w:rPr>
                      <w:rFonts w:hint="eastAsia"/>
                      <w:color w:val="auto"/>
                      <w:spacing w:val="-1"/>
                      <w:szCs w:val="21"/>
                      <w:highlight w:val="none"/>
                      <w:lang w:val="en-US" w:eastAsia="zh-CN"/>
                    </w:rPr>
                    <w:t>5</w:t>
                  </w:r>
                </w:p>
              </w:tc>
              <w:tc>
                <w:tcPr>
                  <w:tcW w:w="1220" w:type="dxa"/>
                  <w:tcBorders>
                    <w:tl2br w:val="nil"/>
                    <w:tr2bl w:val="nil"/>
                  </w:tcBorders>
                  <w:vAlign w:val="center"/>
                </w:tcPr>
                <w:p w14:paraId="1A483A75">
                  <w:pPr>
                    <w:widowControl/>
                    <w:adjustRightInd w:val="0"/>
                    <w:snapToGrid w:val="0"/>
                    <w:jc w:val="center"/>
                    <w:rPr>
                      <w:rFonts w:hint="eastAsia" w:eastAsia="宋体"/>
                      <w:color w:val="auto"/>
                      <w:szCs w:val="21"/>
                      <w:highlight w:val="none"/>
                      <w:lang w:val="en-US" w:eastAsia="zh-CN"/>
                    </w:rPr>
                  </w:pPr>
                  <w:r>
                    <w:rPr>
                      <w:rFonts w:hint="eastAsia" w:ascii="宋体" w:hAnsi="宋体" w:eastAsia="宋体" w:cs="宋体"/>
                      <w:color w:val="auto"/>
                      <w:sz w:val="21"/>
                      <w:szCs w:val="21"/>
                      <w:highlight w:val="none"/>
                      <w:lang w:eastAsia="zh-CN"/>
                    </w:rPr>
                    <w:t>氯化物</w:t>
                  </w:r>
                </w:p>
              </w:tc>
              <w:tc>
                <w:tcPr>
                  <w:tcW w:w="1220" w:type="dxa"/>
                  <w:tcBorders>
                    <w:tl2br w:val="nil"/>
                    <w:tr2bl w:val="nil"/>
                  </w:tcBorders>
                  <w:vAlign w:val="center"/>
                </w:tcPr>
                <w:p w14:paraId="3F6179AE">
                  <w:pPr>
                    <w:widowControl/>
                    <w:adjustRightInd w:val="0"/>
                    <w:snapToGrid w:val="0"/>
                    <w:jc w:val="center"/>
                    <w:rPr>
                      <w:rFonts w:hint="default" w:eastAsia="宋体"/>
                      <w:color w:val="auto"/>
                      <w:szCs w:val="21"/>
                      <w:highlight w:val="none"/>
                      <w:lang w:val="en-US" w:eastAsia="zh-CN"/>
                    </w:rPr>
                  </w:pPr>
                  <w:r>
                    <w:rPr>
                      <w:rFonts w:hint="eastAsia"/>
                      <w:color w:val="auto"/>
                      <w:szCs w:val="21"/>
                      <w:highlight w:val="none"/>
                      <w:lang w:val="en-US" w:eastAsia="zh-CN"/>
                    </w:rPr>
                    <w:t>1000</w:t>
                  </w:r>
                </w:p>
              </w:tc>
              <w:tc>
                <w:tcPr>
                  <w:tcW w:w="1306" w:type="dxa"/>
                  <w:tcBorders>
                    <w:tl2br w:val="nil"/>
                    <w:tr2bl w:val="nil"/>
                  </w:tcBorders>
                  <w:vAlign w:val="center"/>
                </w:tcPr>
                <w:p w14:paraId="4657A02B">
                  <w:pPr>
                    <w:jc w:val="center"/>
                    <w:rPr>
                      <w:rFonts w:hint="default" w:eastAsia="宋体"/>
                      <w:color w:val="auto"/>
                      <w:szCs w:val="21"/>
                      <w:highlight w:val="none"/>
                      <w:lang w:val="en-US" w:eastAsia="zh-CN"/>
                    </w:rPr>
                  </w:pPr>
                  <w:r>
                    <w:rPr>
                      <w:rFonts w:hint="default" w:ascii="Times New Roman" w:hAnsi="Times New Roman" w:cs="Times New Roman"/>
                      <w:bCs/>
                      <w:color w:val="auto"/>
                      <w:szCs w:val="21"/>
                      <w:highlight w:val="none"/>
                    </w:rPr>
                    <w:t>＜</w:t>
                  </w:r>
                  <w:r>
                    <w:rPr>
                      <w:rFonts w:hint="eastAsia" w:cs="Times New Roman"/>
                      <w:bCs/>
                      <w:color w:val="auto"/>
                      <w:szCs w:val="21"/>
                      <w:highlight w:val="none"/>
                      <w:lang w:val="en-US" w:eastAsia="zh-CN"/>
                    </w:rPr>
                    <w:t>350</w:t>
                  </w:r>
                </w:p>
              </w:tc>
              <w:tc>
                <w:tcPr>
                  <w:tcW w:w="3829" w:type="dxa"/>
                  <w:tcBorders>
                    <w:tl2br w:val="nil"/>
                    <w:tr2bl w:val="nil"/>
                  </w:tcBorders>
                  <w:vAlign w:val="center"/>
                </w:tcPr>
                <w:p w14:paraId="0192D10A">
                  <w:pPr>
                    <w:jc w:val="center"/>
                    <w:rPr>
                      <w:rFonts w:hint="default" w:eastAsia="宋体"/>
                      <w:color w:val="auto"/>
                      <w:highlight w:val="none"/>
                      <w:lang w:val="en-US" w:eastAsia="zh-CN"/>
                    </w:rPr>
                  </w:pPr>
                  <w:r>
                    <w:rPr>
                      <w:rFonts w:hint="eastAsia"/>
                      <w:color w:val="auto"/>
                      <w:highlight w:val="none"/>
                      <w:lang w:val="en-US" w:eastAsia="zh-CN"/>
                    </w:rPr>
                    <w:t>350</w:t>
                  </w:r>
                </w:p>
              </w:tc>
            </w:tr>
            <w:tr w14:paraId="7BD80DC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342" w:type="dxa"/>
                  <w:gridSpan w:val="5"/>
                  <w:tcBorders>
                    <w:tl2br w:val="nil"/>
                    <w:tr2bl w:val="nil"/>
                  </w:tcBorders>
                  <w:vAlign w:val="center"/>
                </w:tcPr>
                <w:p w14:paraId="24D0DE86">
                  <w:pPr>
                    <w:jc w:val="both"/>
                    <w:rPr>
                      <w:rFonts w:hint="eastAsia"/>
                      <w:color w:val="auto"/>
                      <w:highlight w:val="none"/>
                      <w:lang w:val="en-US" w:eastAsia="zh-CN"/>
                    </w:rPr>
                  </w:pPr>
                  <w:r>
                    <w:rPr>
                      <w:rFonts w:hint="eastAsia"/>
                      <w:color w:val="auto"/>
                      <w:highlight w:val="none"/>
                      <w:lang w:val="en-US" w:eastAsia="zh-CN"/>
                    </w:rPr>
                    <w:t>注：进水水质类别同类型项目。</w:t>
                  </w:r>
                </w:p>
              </w:tc>
            </w:tr>
          </w:tbl>
          <w:p w14:paraId="6116398D">
            <w:pPr>
              <w:adjustRightInd w:val="0"/>
              <w:snapToGrid w:val="0"/>
              <w:spacing w:line="360" w:lineRule="auto"/>
              <w:ind w:firstLine="480" w:firstLineChars="200"/>
              <w:rPr>
                <w:rFonts w:hint="eastAsia"/>
                <w:color w:val="auto"/>
                <w:sz w:val="24"/>
                <w:highlight w:val="none"/>
              </w:rPr>
            </w:pPr>
            <w:r>
              <w:rPr>
                <w:rFonts w:hint="eastAsia"/>
                <w:color w:val="auto"/>
                <w:sz w:val="24"/>
                <w:highlight w:val="none"/>
                <w:lang w:val="en-US" w:eastAsia="zh-CN"/>
              </w:rPr>
              <w:t>根据表4-8可知，在采取设计方提出的污水处理方案后，项目运营期</w:t>
            </w:r>
            <w:r>
              <w:rPr>
                <w:rFonts w:hint="eastAsia"/>
                <w:color w:val="auto"/>
                <w:sz w:val="24"/>
                <w:highlight w:val="none"/>
              </w:rPr>
              <w:t>出水水质满足《农田灌溉水质标准》（GB5084-2021）表1中的限值，</w:t>
            </w:r>
            <w:r>
              <w:rPr>
                <w:rFonts w:hint="eastAsia"/>
                <w:color w:val="auto"/>
                <w:sz w:val="24"/>
                <w:highlight w:val="none"/>
                <w:lang w:eastAsia="zh-CN"/>
              </w:rPr>
              <w:t>可作为</w:t>
            </w:r>
            <w:r>
              <w:rPr>
                <w:rFonts w:hint="eastAsia"/>
                <w:color w:val="auto"/>
                <w:sz w:val="24"/>
                <w:highlight w:val="none"/>
              </w:rPr>
              <w:t>周边果园</w:t>
            </w:r>
            <w:r>
              <w:rPr>
                <w:rFonts w:hint="eastAsia"/>
                <w:color w:val="auto"/>
                <w:sz w:val="24"/>
                <w:highlight w:val="none"/>
                <w:lang w:eastAsia="zh-CN"/>
              </w:rPr>
              <w:t>灌溉用水</w:t>
            </w:r>
            <w:r>
              <w:rPr>
                <w:rFonts w:hint="eastAsia"/>
                <w:color w:val="auto"/>
                <w:sz w:val="24"/>
                <w:highlight w:val="none"/>
              </w:rPr>
              <w:t>。</w:t>
            </w:r>
          </w:p>
          <w:p w14:paraId="362F7E50">
            <w:pPr>
              <w:adjustRightInd w:val="0"/>
              <w:snapToGrid w:val="0"/>
              <w:spacing w:line="360" w:lineRule="auto"/>
              <w:ind w:firstLine="480" w:firstLineChars="200"/>
              <w:rPr>
                <w:rFonts w:hint="default" w:eastAsia="宋体"/>
                <w:color w:val="auto"/>
                <w:sz w:val="24"/>
                <w:szCs w:val="24"/>
                <w:highlight w:val="none"/>
                <w:lang w:val="en-US" w:eastAsia="zh-CN"/>
              </w:rPr>
            </w:pPr>
            <w:r>
              <w:rPr>
                <w:rFonts w:hint="eastAsia"/>
                <w:color w:val="auto"/>
                <w:sz w:val="24"/>
                <w:szCs w:val="24"/>
                <w:highlight w:val="none"/>
                <w:lang w:val="en-US" w:eastAsia="zh-CN"/>
              </w:rPr>
              <w:t>（4）灌溉</w:t>
            </w:r>
            <w:r>
              <w:rPr>
                <w:rFonts w:hint="eastAsia"/>
                <w:color w:val="auto"/>
                <w:sz w:val="24"/>
                <w:highlight w:val="none"/>
                <w:lang w:eastAsia="zh-CN"/>
              </w:rPr>
              <w:t>层面</w:t>
            </w:r>
          </w:p>
          <w:p w14:paraId="78E8644B">
            <w:pPr>
              <w:adjustRightInd w:val="0"/>
              <w:snapToGrid w:val="0"/>
              <w:spacing w:line="360" w:lineRule="auto"/>
              <w:ind w:firstLine="480" w:firstLineChars="200"/>
              <w:rPr>
                <w:rFonts w:hint="eastAsia"/>
                <w:color w:val="auto"/>
                <w:sz w:val="24"/>
                <w:highlight w:val="none"/>
                <w:lang w:val="en-US" w:eastAsia="zh-CN"/>
              </w:rPr>
            </w:pPr>
            <w:r>
              <w:rPr>
                <w:rFonts w:hint="eastAsia"/>
                <w:color w:val="auto"/>
                <w:sz w:val="24"/>
                <w:highlight w:val="none"/>
                <w:lang w:eastAsia="zh-CN"/>
              </w:rPr>
              <w:t>根据《陕西省</w:t>
            </w:r>
            <w:r>
              <w:rPr>
                <w:rFonts w:hint="eastAsia"/>
                <w:color w:val="auto"/>
                <w:sz w:val="24"/>
                <w:highlight w:val="none"/>
              </w:rPr>
              <w:t>行业用水定额</w:t>
            </w:r>
            <w:r>
              <w:rPr>
                <w:rFonts w:hint="eastAsia"/>
                <w:color w:val="auto"/>
                <w:sz w:val="24"/>
                <w:highlight w:val="none"/>
                <w:lang w:eastAsia="zh-CN"/>
              </w:rPr>
              <w:t>》（DB61/T943</w:t>
            </w:r>
            <w:r>
              <w:rPr>
                <w:rFonts w:hint="eastAsia"/>
                <w:color w:val="auto"/>
                <w:sz w:val="24"/>
                <w:highlight w:val="none"/>
                <w:lang w:val="en-US" w:eastAsia="zh-CN"/>
              </w:rPr>
              <w:t>-</w:t>
            </w:r>
            <w:r>
              <w:rPr>
                <w:rFonts w:hint="eastAsia"/>
                <w:color w:val="auto"/>
                <w:sz w:val="24"/>
                <w:highlight w:val="none"/>
                <w:lang w:eastAsia="zh-CN"/>
              </w:rPr>
              <w:t>2020）表C.2可知，汉中盆地及陕南川道区猕猴桃灌溉用水定额在</w:t>
            </w:r>
            <w:r>
              <w:rPr>
                <w:rFonts w:hint="eastAsia"/>
                <w:color w:val="auto"/>
                <w:sz w:val="24"/>
                <w:highlight w:val="none"/>
                <w:lang w:val="en-US" w:eastAsia="zh-CN"/>
              </w:rPr>
              <w:t>25</w:t>
            </w:r>
            <w:r>
              <w:rPr>
                <w:rFonts w:hint="eastAsia"/>
                <w:color w:val="auto"/>
                <w:sz w:val="24"/>
                <w:highlight w:val="none"/>
                <w:lang w:eastAsia="zh-CN"/>
              </w:rPr>
              <w:t>%水文年、</w:t>
            </w:r>
            <w:r>
              <w:rPr>
                <w:rFonts w:hint="eastAsia"/>
                <w:color w:val="auto"/>
                <w:sz w:val="24"/>
                <w:highlight w:val="none"/>
                <w:lang w:val="en-US" w:eastAsia="zh-CN"/>
              </w:rPr>
              <w:t>50</w:t>
            </w:r>
            <w:r>
              <w:rPr>
                <w:rFonts w:hint="eastAsia"/>
                <w:color w:val="auto"/>
                <w:sz w:val="24"/>
                <w:highlight w:val="none"/>
                <w:lang w:eastAsia="zh-CN"/>
              </w:rPr>
              <w:t>%水文年、</w:t>
            </w:r>
            <w:r>
              <w:rPr>
                <w:rFonts w:hint="eastAsia"/>
                <w:color w:val="auto"/>
                <w:sz w:val="24"/>
                <w:highlight w:val="none"/>
                <w:lang w:val="en-US" w:eastAsia="zh-CN"/>
              </w:rPr>
              <w:t>75</w:t>
            </w:r>
            <w:r>
              <w:rPr>
                <w:rFonts w:hint="eastAsia"/>
                <w:color w:val="auto"/>
                <w:sz w:val="24"/>
                <w:highlight w:val="none"/>
                <w:lang w:eastAsia="zh-CN"/>
              </w:rPr>
              <w:t>%水文年条件下依次为</w:t>
            </w:r>
            <w:r>
              <w:rPr>
                <w:rFonts w:hint="eastAsia"/>
                <w:color w:val="auto"/>
                <w:sz w:val="24"/>
                <w:highlight w:val="none"/>
                <w:lang w:val="en-US" w:eastAsia="zh-CN"/>
              </w:rPr>
              <w:t>70m</w:t>
            </w:r>
            <w:r>
              <w:rPr>
                <w:rFonts w:hint="eastAsia"/>
                <w:color w:val="auto"/>
                <w:sz w:val="24"/>
                <w:highlight w:val="none"/>
                <w:vertAlign w:val="superscript"/>
                <w:lang w:val="en-US" w:eastAsia="zh-CN"/>
              </w:rPr>
              <w:t>3</w:t>
            </w:r>
            <w:r>
              <w:rPr>
                <w:rFonts w:hint="eastAsia"/>
                <w:color w:val="auto"/>
                <w:sz w:val="24"/>
                <w:highlight w:val="none"/>
                <w:lang w:val="en-US" w:eastAsia="zh-CN"/>
              </w:rPr>
              <w:t>/亩、230m</w:t>
            </w:r>
            <w:r>
              <w:rPr>
                <w:rFonts w:hint="eastAsia"/>
                <w:color w:val="auto"/>
                <w:sz w:val="24"/>
                <w:highlight w:val="none"/>
                <w:vertAlign w:val="superscript"/>
                <w:lang w:val="en-US" w:eastAsia="zh-CN"/>
              </w:rPr>
              <w:t>3</w:t>
            </w:r>
            <w:r>
              <w:rPr>
                <w:rFonts w:hint="eastAsia"/>
                <w:color w:val="auto"/>
                <w:sz w:val="24"/>
                <w:highlight w:val="none"/>
                <w:lang w:val="en-US" w:eastAsia="zh-CN"/>
              </w:rPr>
              <w:t>/亩、370m</w:t>
            </w:r>
            <w:r>
              <w:rPr>
                <w:rFonts w:hint="eastAsia"/>
                <w:color w:val="auto"/>
                <w:sz w:val="24"/>
                <w:highlight w:val="none"/>
                <w:vertAlign w:val="superscript"/>
                <w:lang w:val="en-US" w:eastAsia="zh-CN"/>
              </w:rPr>
              <w:t>3</w:t>
            </w:r>
            <w:r>
              <w:rPr>
                <w:rFonts w:hint="eastAsia"/>
                <w:color w:val="auto"/>
                <w:sz w:val="24"/>
                <w:highlight w:val="none"/>
                <w:lang w:val="en-US" w:eastAsia="zh-CN"/>
              </w:rPr>
              <w:t>/亩；本次按50</w:t>
            </w:r>
            <w:r>
              <w:rPr>
                <w:rFonts w:hint="eastAsia"/>
                <w:color w:val="auto"/>
                <w:sz w:val="24"/>
                <w:highlight w:val="none"/>
                <w:lang w:eastAsia="zh-CN"/>
              </w:rPr>
              <w:t>%水文年条件下进行取值，故猕猴桃灌溉用水定额为</w:t>
            </w:r>
            <w:r>
              <w:rPr>
                <w:rFonts w:hint="eastAsia"/>
                <w:color w:val="auto"/>
                <w:sz w:val="24"/>
                <w:highlight w:val="none"/>
                <w:lang w:val="en-US" w:eastAsia="zh-CN"/>
              </w:rPr>
              <w:t>230m</w:t>
            </w:r>
            <w:r>
              <w:rPr>
                <w:rFonts w:hint="eastAsia"/>
                <w:color w:val="auto"/>
                <w:sz w:val="24"/>
                <w:highlight w:val="none"/>
                <w:vertAlign w:val="superscript"/>
                <w:lang w:val="en-US" w:eastAsia="zh-CN"/>
              </w:rPr>
              <w:t>3</w:t>
            </w:r>
            <w:r>
              <w:rPr>
                <w:rFonts w:hint="eastAsia"/>
                <w:color w:val="auto"/>
                <w:sz w:val="24"/>
                <w:highlight w:val="none"/>
                <w:lang w:val="en-US" w:eastAsia="zh-CN"/>
              </w:rPr>
              <w:t>/亩。此外，根据废水灌溉类型、灌区规模等情况，结合</w:t>
            </w:r>
            <w:r>
              <w:rPr>
                <w:rFonts w:hint="eastAsia"/>
                <w:color w:val="auto"/>
                <w:sz w:val="24"/>
                <w:highlight w:val="none"/>
                <w:lang w:eastAsia="zh-CN"/>
              </w:rPr>
              <w:t>《陕西省</w:t>
            </w:r>
            <w:r>
              <w:rPr>
                <w:rFonts w:hint="eastAsia"/>
                <w:color w:val="auto"/>
                <w:sz w:val="24"/>
                <w:highlight w:val="none"/>
              </w:rPr>
              <w:t>行业用水定额</w:t>
            </w:r>
            <w:r>
              <w:rPr>
                <w:rFonts w:hint="eastAsia"/>
                <w:color w:val="auto"/>
                <w:sz w:val="24"/>
                <w:highlight w:val="none"/>
                <w:lang w:eastAsia="zh-CN"/>
              </w:rPr>
              <w:t>》（DB61/T943</w:t>
            </w:r>
            <w:r>
              <w:rPr>
                <w:rFonts w:hint="eastAsia"/>
                <w:color w:val="auto"/>
                <w:sz w:val="24"/>
                <w:highlight w:val="none"/>
                <w:lang w:val="en-US" w:eastAsia="zh-CN"/>
              </w:rPr>
              <w:t>-</w:t>
            </w:r>
            <w:r>
              <w:rPr>
                <w:rFonts w:hint="eastAsia"/>
                <w:color w:val="auto"/>
                <w:sz w:val="24"/>
                <w:highlight w:val="none"/>
                <w:lang w:eastAsia="zh-CN"/>
              </w:rPr>
              <w:t>2020）表C.</w:t>
            </w:r>
            <w:r>
              <w:rPr>
                <w:rFonts w:hint="eastAsia"/>
                <w:color w:val="auto"/>
                <w:sz w:val="24"/>
                <w:highlight w:val="none"/>
                <w:lang w:val="en-US" w:eastAsia="zh-CN"/>
              </w:rPr>
              <w:t>1可知，本项目工程类型为喷灌（调节系数取0.71）、取水方式为泵站扬水（调节系数取0.9）、灌区规模为小型（调节系数取1.00）。</w:t>
            </w:r>
          </w:p>
          <w:p w14:paraId="10A07292">
            <w:pPr>
              <w:adjustRightInd w:val="0"/>
              <w:snapToGrid w:val="0"/>
              <w:spacing w:line="360" w:lineRule="auto"/>
              <w:ind w:firstLine="480" w:firstLineChars="200"/>
              <w:rPr>
                <w:rFonts w:hint="eastAsia" w:eastAsia="宋体"/>
                <w:color w:val="auto"/>
                <w:sz w:val="24"/>
                <w:highlight w:val="none"/>
                <w:vertAlign w:val="baseline"/>
                <w:lang w:val="en-US" w:eastAsia="zh-CN"/>
              </w:rPr>
            </w:pPr>
            <w:r>
              <w:rPr>
                <w:rFonts w:hint="eastAsia"/>
                <w:color w:val="auto"/>
                <w:sz w:val="24"/>
                <w:highlight w:val="none"/>
                <w:lang w:val="en-US" w:eastAsia="zh-CN"/>
              </w:rPr>
              <w:t>经调查，本项目周边猕猴桃果园种植面积约200亩，考虑调节系数后需水量为29394m</w:t>
            </w:r>
            <w:r>
              <w:rPr>
                <w:rFonts w:hint="eastAsia"/>
                <w:color w:val="auto"/>
                <w:sz w:val="24"/>
                <w:highlight w:val="none"/>
                <w:vertAlign w:val="superscript"/>
                <w:lang w:val="en-US" w:eastAsia="zh-CN"/>
              </w:rPr>
              <w:t>3</w:t>
            </w:r>
            <w:r>
              <w:rPr>
                <w:rFonts w:hint="eastAsia"/>
                <w:color w:val="auto"/>
                <w:sz w:val="24"/>
                <w:highlight w:val="none"/>
                <w:vertAlign w:val="baseline"/>
                <w:lang w:val="en-US" w:eastAsia="zh-CN"/>
              </w:rPr>
              <w:t>；本项目废水产生量为5.53</w:t>
            </w:r>
            <w:r>
              <w:rPr>
                <w:color w:val="auto"/>
                <w:kern w:val="0"/>
                <w:sz w:val="24"/>
                <w:highlight w:val="none"/>
              </w:rPr>
              <w:t>m</w:t>
            </w:r>
            <w:r>
              <w:rPr>
                <w:color w:val="auto"/>
                <w:kern w:val="0"/>
                <w:sz w:val="24"/>
                <w:highlight w:val="none"/>
                <w:vertAlign w:val="superscript"/>
              </w:rPr>
              <w:t>3</w:t>
            </w:r>
            <w:r>
              <w:rPr>
                <w:color w:val="auto"/>
                <w:kern w:val="0"/>
                <w:sz w:val="24"/>
                <w:highlight w:val="none"/>
              </w:rPr>
              <w:t>/d</w:t>
            </w:r>
            <w:r>
              <w:rPr>
                <w:rFonts w:hint="eastAsia"/>
                <w:color w:val="auto"/>
                <w:kern w:val="0"/>
                <w:sz w:val="24"/>
                <w:highlight w:val="none"/>
                <w:lang w:eastAsia="zh-CN"/>
              </w:rPr>
              <w:t>（</w:t>
            </w:r>
            <w:r>
              <w:rPr>
                <w:rFonts w:hint="eastAsia"/>
                <w:color w:val="auto"/>
                <w:kern w:val="0"/>
                <w:sz w:val="24"/>
                <w:highlight w:val="none"/>
                <w:lang w:val="en-US" w:eastAsia="zh-CN"/>
              </w:rPr>
              <w:t>1659</w:t>
            </w:r>
            <w:r>
              <w:rPr>
                <w:color w:val="auto"/>
                <w:kern w:val="0"/>
                <w:sz w:val="24"/>
                <w:highlight w:val="none"/>
              </w:rPr>
              <w:t>m</w:t>
            </w:r>
            <w:r>
              <w:rPr>
                <w:color w:val="auto"/>
                <w:kern w:val="0"/>
                <w:sz w:val="24"/>
                <w:highlight w:val="none"/>
                <w:vertAlign w:val="superscript"/>
              </w:rPr>
              <w:t>3</w:t>
            </w:r>
            <w:r>
              <w:rPr>
                <w:color w:val="auto"/>
                <w:kern w:val="0"/>
                <w:sz w:val="24"/>
                <w:highlight w:val="none"/>
              </w:rPr>
              <w:t>/</w:t>
            </w:r>
            <w:r>
              <w:rPr>
                <w:rFonts w:hint="eastAsia"/>
                <w:color w:val="auto"/>
                <w:kern w:val="0"/>
                <w:sz w:val="24"/>
                <w:highlight w:val="none"/>
                <w:lang w:val="en-US" w:eastAsia="zh-CN"/>
              </w:rPr>
              <w:t>a</w:t>
            </w:r>
            <w:r>
              <w:rPr>
                <w:rFonts w:hint="eastAsia"/>
                <w:color w:val="auto"/>
                <w:kern w:val="0"/>
                <w:sz w:val="24"/>
                <w:highlight w:val="none"/>
                <w:lang w:eastAsia="zh-CN"/>
              </w:rPr>
              <w:t>），足以被果园完全消纳。经查阅相关资料，猕猴桃生长周期依次为：冬眠期、萌芽期、花期、幼果期、果实膨大期、成熟期，对应月份依次为上一年的11月至第二年的3月上旬、</w:t>
            </w:r>
            <w:r>
              <w:rPr>
                <w:rFonts w:hint="eastAsia"/>
                <w:color w:val="auto"/>
                <w:kern w:val="0"/>
                <w:sz w:val="24"/>
                <w:highlight w:val="none"/>
                <w:lang w:val="en-US" w:eastAsia="zh-CN"/>
              </w:rPr>
              <w:t>3月中旬至5月中旬、6月、7月至8月、9月至10月。为确保猕猴桃长势不受影响，各生长周期内均须进行喷灌，且厂区周边猕猴桃的生长情况不一，因此本项目运营期产生的废水经处理达到</w:t>
            </w:r>
            <w:r>
              <w:rPr>
                <w:color w:val="auto"/>
                <w:kern w:val="0"/>
                <w:sz w:val="24"/>
                <w:highlight w:val="none"/>
              </w:rPr>
              <w:t>《农田灌溉水质标准》（GB5084-2021）</w:t>
            </w:r>
            <w:r>
              <w:rPr>
                <w:rFonts w:hint="eastAsia"/>
                <w:color w:val="auto"/>
                <w:kern w:val="0"/>
                <w:sz w:val="24"/>
                <w:highlight w:val="none"/>
                <w:lang w:eastAsia="zh-CN"/>
              </w:rPr>
              <w:t>可及时用于果园灌溉。</w:t>
            </w:r>
          </w:p>
          <w:p w14:paraId="1C255409">
            <w:pPr>
              <w:adjustRightInd w:val="0"/>
              <w:snapToGrid w:val="0"/>
              <w:spacing w:line="360" w:lineRule="auto"/>
              <w:ind w:firstLine="480" w:firstLineChars="200"/>
              <w:rPr>
                <w:rFonts w:eastAsia="新宋体"/>
                <w:color w:val="auto"/>
                <w:sz w:val="24"/>
                <w:szCs w:val="20"/>
                <w:highlight w:val="none"/>
              </w:rPr>
            </w:pPr>
            <w:r>
              <w:rPr>
                <w:rFonts w:hint="eastAsia"/>
                <w:color w:val="auto"/>
                <w:sz w:val="24"/>
                <w:highlight w:val="none"/>
              </w:rPr>
              <w:t>综上，本项目生产废水</w:t>
            </w:r>
            <w:r>
              <w:rPr>
                <w:rFonts w:hint="eastAsia"/>
                <w:color w:val="auto"/>
                <w:sz w:val="24"/>
                <w:highlight w:val="none"/>
                <w:lang w:eastAsia="zh-CN"/>
              </w:rPr>
              <w:t>采用</w:t>
            </w:r>
            <w:r>
              <w:rPr>
                <w:rFonts w:hint="eastAsia"/>
                <w:color w:val="auto"/>
                <w:sz w:val="24"/>
                <w:highlight w:val="none"/>
              </w:rPr>
              <w:t>“格栅池+微滤机+调节池+一沉池+厌氧池+生物接触氧化池+二沉池”</w:t>
            </w:r>
            <w:r>
              <w:rPr>
                <w:rFonts w:hint="eastAsia"/>
                <w:color w:val="auto"/>
                <w:sz w:val="24"/>
                <w:highlight w:val="none"/>
                <w:lang w:eastAsia="zh-CN"/>
              </w:rPr>
              <w:t>工艺</w:t>
            </w:r>
            <w:r>
              <w:rPr>
                <w:color w:val="auto"/>
                <w:kern w:val="0"/>
                <w:sz w:val="24"/>
                <w:highlight w:val="none"/>
              </w:rPr>
              <w:t>处理达到《农田灌溉水质标准》（GB5084-2021）</w:t>
            </w:r>
            <w:r>
              <w:rPr>
                <w:rFonts w:hint="eastAsia"/>
                <w:color w:val="auto"/>
                <w:kern w:val="0"/>
                <w:sz w:val="24"/>
                <w:highlight w:val="none"/>
              </w:rPr>
              <w:t>后</w:t>
            </w:r>
            <w:r>
              <w:rPr>
                <w:rFonts w:hint="eastAsia"/>
                <w:color w:val="auto"/>
                <w:kern w:val="0"/>
                <w:sz w:val="24"/>
                <w:highlight w:val="none"/>
                <w:lang w:eastAsia="zh-CN"/>
              </w:rPr>
              <w:t>作为</w:t>
            </w:r>
            <w:r>
              <w:rPr>
                <w:rFonts w:hint="eastAsia"/>
                <w:color w:val="auto"/>
                <w:kern w:val="0"/>
                <w:sz w:val="24"/>
                <w:highlight w:val="none"/>
              </w:rPr>
              <w:t>周边果园</w:t>
            </w:r>
            <w:r>
              <w:rPr>
                <w:rFonts w:hint="eastAsia"/>
                <w:color w:val="auto"/>
                <w:kern w:val="0"/>
                <w:sz w:val="24"/>
                <w:highlight w:val="none"/>
                <w:lang w:eastAsia="zh-CN"/>
              </w:rPr>
              <w:t>灌溉用水，该</w:t>
            </w:r>
            <w:r>
              <w:rPr>
                <w:rFonts w:hint="eastAsia"/>
                <w:color w:val="auto"/>
                <w:sz w:val="24"/>
                <w:highlight w:val="none"/>
              </w:rPr>
              <w:t>处理措施可行</w:t>
            </w:r>
            <w:r>
              <w:rPr>
                <w:rFonts w:hint="eastAsia"/>
                <w:color w:val="auto"/>
                <w:sz w:val="24"/>
                <w:highlight w:val="none"/>
                <w:lang w:eastAsia="zh-CN"/>
              </w:rPr>
              <w:t>，对周边地表水体基本无影响</w:t>
            </w:r>
            <w:r>
              <w:rPr>
                <w:rFonts w:hint="eastAsia"/>
                <w:color w:val="auto"/>
                <w:sz w:val="24"/>
                <w:highlight w:val="none"/>
              </w:rPr>
              <w:t>。</w:t>
            </w:r>
          </w:p>
          <w:p w14:paraId="5F158D12">
            <w:pPr>
              <w:adjustRightInd w:val="0"/>
              <w:snapToGrid w:val="0"/>
              <w:spacing w:line="360" w:lineRule="auto"/>
              <w:ind w:firstLine="480" w:firstLineChars="200"/>
              <w:rPr>
                <w:color w:val="auto"/>
                <w:kern w:val="0"/>
                <w:sz w:val="24"/>
                <w:highlight w:val="none"/>
              </w:rPr>
            </w:pPr>
            <w:r>
              <w:rPr>
                <w:rFonts w:hint="eastAsia" w:eastAsia="新宋体"/>
                <w:color w:val="auto"/>
                <w:sz w:val="24"/>
                <w:szCs w:val="20"/>
                <w:highlight w:val="none"/>
              </w:rPr>
              <w:t>2、生活污水</w:t>
            </w:r>
          </w:p>
          <w:p w14:paraId="58D1E765">
            <w:pPr>
              <w:spacing w:line="360" w:lineRule="auto"/>
              <w:ind w:firstLine="482"/>
              <w:rPr>
                <w:color w:val="auto"/>
                <w:sz w:val="24"/>
                <w:highlight w:val="none"/>
              </w:rPr>
            </w:pPr>
            <w:r>
              <w:rPr>
                <w:rFonts w:hint="eastAsia"/>
                <w:color w:val="auto"/>
                <w:sz w:val="24"/>
                <w:highlight w:val="none"/>
              </w:rPr>
              <w:t>根据前文水平衡可知，本项目</w:t>
            </w:r>
            <w:r>
              <w:rPr>
                <w:rFonts w:hint="eastAsia" w:ascii="宋体" w:hAnsi="宋体" w:cs="宋体"/>
                <w:color w:val="auto"/>
                <w:kern w:val="0"/>
                <w:sz w:val="24"/>
                <w:highlight w:val="none"/>
              </w:rPr>
              <w:t>生活污水产生量</w:t>
            </w:r>
            <w:r>
              <w:rPr>
                <w:color w:val="auto"/>
                <w:kern w:val="0"/>
                <w:sz w:val="24"/>
                <w:highlight w:val="none"/>
              </w:rPr>
              <w:t>为</w:t>
            </w:r>
            <w:r>
              <w:rPr>
                <w:rFonts w:hint="eastAsia"/>
                <w:color w:val="auto"/>
                <w:kern w:val="0"/>
                <w:sz w:val="24"/>
                <w:highlight w:val="none"/>
              </w:rPr>
              <w:t>0.4</w:t>
            </w:r>
            <w:r>
              <w:rPr>
                <w:color w:val="auto"/>
                <w:kern w:val="0"/>
                <w:sz w:val="24"/>
                <w:highlight w:val="none"/>
              </w:rPr>
              <w:t>m</w:t>
            </w:r>
            <w:r>
              <w:rPr>
                <w:color w:val="auto"/>
                <w:kern w:val="0"/>
                <w:sz w:val="24"/>
                <w:highlight w:val="none"/>
                <w:vertAlign w:val="superscript"/>
              </w:rPr>
              <w:t>3</w:t>
            </w:r>
            <w:r>
              <w:rPr>
                <w:color w:val="auto"/>
                <w:kern w:val="0"/>
                <w:sz w:val="24"/>
                <w:highlight w:val="none"/>
              </w:rPr>
              <w:t>/d</w:t>
            </w:r>
            <w:r>
              <w:rPr>
                <w:rFonts w:hint="eastAsia"/>
                <w:color w:val="auto"/>
                <w:kern w:val="0"/>
                <w:sz w:val="24"/>
                <w:highlight w:val="none"/>
              </w:rPr>
              <w:t>，其</w:t>
            </w:r>
            <w:r>
              <w:rPr>
                <w:color w:val="auto"/>
                <w:sz w:val="24"/>
                <w:highlight w:val="none"/>
              </w:rPr>
              <w:t>主要污染物为COD、氨氮等。</w:t>
            </w:r>
          </w:p>
          <w:p w14:paraId="07A6F133">
            <w:pPr>
              <w:spacing w:line="360" w:lineRule="auto"/>
              <w:ind w:firstLine="482"/>
              <w:rPr>
                <w:rFonts w:ascii="宋体" w:hAnsi="宋体" w:cs="宋体"/>
                <w:color w:val="auto"/>
                <w:kern w:val="0"/>
                <w:sz w:val="24"/>
                <w:highlight w:val="none"/>
              </w:rPr>
            </w:pPr>
            <w:r>
              <w:rPr>
                <w:rFonts w:hint="eastAsia" w:ascii="宋体" w:hAnsi="宋体" w:cs="宋体"/>
                <w:b/>
                <w:bCs/>
                <w:color w:val="auto"/>
                <w:kern w:val="0"/>
                <w:sz w:val="24"/>
                <w:highlight w:val="none"/>
              </w:rPr>
              <w:t>治理措施：</w:t>
            </w:r>
            <w:r>
              <w:rPr>
                <w:rFonts w:hint="eastAsia" w:ascii="宋体" w:hAnsi="宋体" w:cs="宋体"/>
                <w:color w:val="auto"/>
                <w:kern w:val="0"/>
                <w:sz w:val="24"/>
                <w:highlight w:val="none"/>
              </w:rPr>
              <w:t>建设单位拟在厂区内新建化粪池</w:t>
            </w:r>
            <w:r>
              <w:rPr>
                <w:rFonts w:hint="eastAsia"/>
                <w:color w:val="auto"/>
                <w:sz w:val="24"/>
                <w:highlight w:val="none"/>
              </w:rPr>
              <w:t>（约3.0m</w:t>
            </w:r>
            <w:r>
              <w:rPr>
                <w:rFonts w:hint="eastAsia"/>
                <w:color w:val="auto"/>
                <w:sz w:val="24"/>
                <w:highlight w:val="none"/>
                <w:vertAlign w:val="superscript"/>
              </w:rPr>
              <w:t>3</w:t>
            </w:r>
            <w:r>
              <w:rPr>
                <w:rFonts w:hint="eastAsia"/>
                <w:color w:val="auto"/>
                <w:sz w:val="24"/>
                <w:highlight w:val="none"/>
              </w:rPr>
              <w:t>）一个，</w:t>
            </w:r>
            <w:r>
              <w:rPr>
                <w:rFonts w:hint="eastAsia"/>
                <w:color w:val="auto"/>
                <w:sz w:val="24"/>
                <w:highlight w:val="none"/>
                <w:lang w:eastAsia="zh-CN"/>
              </w:rPr>
              <w:t>餐饮废水经油水分离器处理后与</w:t>
            </w:r>
            <w:r>
              <w:rPr>
                <w:rFonts w:hint="eastAsia" w:ascii="宋体" w:hAnsi="宋体" w:cs="宋体"/>
                <w:color w:val="auto"/>
                <w:kern w:val="0"/>
                <w:sz w:val="24"/>
                <w:highlight w:val="none"/>
              </w:rPr>
              <w:t>生活污水</w:t>
            </w:r>
            <w:r>
              <w:rPr>
                <w:rFonts w:hint="eastAsia" w:ascii="宋体" w:hAnsi="宋体" w:cs="宋体"/>
                <w:color w:val="auto"/>
                <w:kern w:val="0"/>
                <w:sz w:val="24"/>
                <w:highlight w:val="none"/>
                <w:lang w:eastAsia="zh-CN"/>
              </w:rPr>
              <w:t>一同进入</w:t>
            </w:r>
            <w:r>
              <w:rPr>
                <w:rFonts w:hint="eastAsia" w:ascii="宋体" w:hAnsi="宋体" w:cs="宋体"/>
                <w:color w:val="auto"/>
                <w:kern w:val="0"/>
                <w:sz w:val="24"/>
                <w:highlight w:val="none"/>
              </w:rPr>
              <w:t>化粪池处理后</w:t>
            </w:r>
            <w:r>
              <w:rPr>
                <w:rFonts w:hint="eastAsia" w:ascii="宋体" w:hAnsi="宋体" w:cs="宋体"/>
                <w:color w:val="auto"/>
                <w:kern w:val="0"/>
                <w:sz w:val="24"/>
                <w:highlight w:val="none"/>
                <w:lang w:eastAsia="zh-CN"/>
              </w:rPr>
              <w:t>，</w:t>
            </w:r>
            <w:r>
              <w:rPr>
                <w:rFonts w:hint="eastAsia" w:ascii="宋体" w:hAnsi="宋体" w:cs="宋体"/>
                <w:color w:val="auto"/>
                <w:kern w:val="0"/>
                <w:sz w:val="24"/>
                <w:highlight w:val="none"/>
              </w:rPr>
              <w:t>用于周边农田施肥</w:t>
            </w:r>
            <w:r>
              <w:rPr>
                <w:rFonts w:hint="eastAsia" w:ascii="宋体" w:hAnsi="宋体" w:cs="宋体"/>
                <w:color w:val="auto"/>
                <w:kern w:val="0"/>
                <w:sz w:val="24"/>
                <w:highlight w:val="none"/>
                <w:lang w:eastAsia="zh-CN"/>
              </w:rPr>
              <w:t>，不外排</w:t>
            </w:r>
            <w:r>
              <w:rPr>
                <w:rFonts w:hint="eastAsia" w:ascii="宋体" w:hAnsi="宋体" w:cs="宋体"/>
                <w:color w:val="auto"/>
                <w:kern w:val="0"/>
                <w:sz w:val="24"/>
                <w:highlight w:val="none"/>
              </w:rPr>
              <w:t>。</w:t>
            </w:r>
          </w:p>
          <w:p w14:paraId="2A7FED66">
            <w:pPr>
              <w:adjustRightInd w:val="0"/>
              <w:snapToGrid w:val="0"/>
              <w:spacing w:line="360" w:lineRule="auto"/>
              <w:ind w:firstLine="482" w:firstLineChars="200"/>
              <w:rPr>
                <w:rFonts w:hint="eastAsia" w:ascii="Times New Roman" w:hAnsi="Times New Roman" w:eastAsia="宋体" w:cs="Times New Roman"/>
                <w:color w:val="auto"/>
                <w:sz w:val="24"/>
                <w:highlight w:val="none"/>
              </w:rPr>
            </w:pPr>
            <w:r>
              <w:rPr>
                <w:rFonts w:hint="eastAsia"/>
                <w:b/>
                <w:bCs/>
                <w:color w:val="auto"/>
                <w:sz w:val="24"/>
                <w:highlight w:val="none"/>
              </w:rPr>
              <w:t>可行性分析</w:t>
            </w:r>
            <w:r>
              <w:rPr>
                <w:b/>
                <w:bCs/>
                <w:color w:val="auto"/>
                <w:sz w:val="24"/>
                <w:highlight w:val="none"/>
              </w:rPr>
              <w:t>：</w:t>
            </w:r>
            <w:r>
              <w:rPr>
                <w:rFonts w:hint="eastAsia"/>
                <w:color w:val="auto"/>
                <w:sz w:val="24"/>
                <w:highlight w:val="none"/>
              </w:rPr>
              <w:t>生活污水产生量小于现有化粪池容积，故足以满足运营期生活污</w:t>
            </w:r>
            <w:r>
              <w:rPr>
                <w:rFonts w:hint="eastAsia" w:ascii="Times New Roman" w:hAnsi="Times New Roman" w:eastAsia="宋体" w:cs="Times New Roman"/>
                <w:color w:val="auto"/>
                <w:sz w:val="24"/>
                <w:highlight w:val="none"/>
              </w:rPr>
              <w:t>水的暂存及处理。化粪池是一种利用沉淀和厌氧发酵的原理，去除生活污水中悬浮性有机物的处理设施，属于初级的过渡性生活处理构筑物。根据调查项目东侧和西侧500m范围内有大量农地，足以接纳项目所产生的生活污水。</w:t>
            </w:r>
          </w:p>
          <w:p w14:paraId="4AD69A37">
            <w:pPr>
              <w:adjustRightInd w:val="0"/>
              <w:snapToGrid w:val="0"/>
              <w:spacing w:line="360" w:lineRule="auto"/>
              <w:ind w:firstLine="480" w:firstLineChars="200"/>
              <w:rPr>
                <w:rFonts w:hint="eastAsia"/>
                <w:color w:val="auto"/>
                <w:sz w:val="24"/>
                <w:highlight w:val="none"/>
                <w:lang w:val="en-US" w:eastAsia="zh-CN"/>
              </w:rPr>
            </w:pPr>
            <w:r>
              <w:rPr>
                <w:rFonts w:hint="eastAsia" w:ascii="Times New Roman" w:hAnsi="Times New Roman" w:eastAsia="宋体" w:cs="Times New Roman"/>
                <w:color w:val="auto"/>
                <w:sz w:val="24"/>
                <w:highlight w:val="none"/>
                <w:lang w:val="en-US" w:eastAsia="zh-CN"/>
              </w:rPr>
              <w:t>综</w:t>
            </w:r>
            <w:r>
              <w:rPr>
                <w:rFonts w:hint="eastAsia"/>
                <w:color w:val="auto"/>
                <w:sz w:val="24"/>
                <w:highlight w:val="none"/>
                <w:lang w:val="en-US" w:eastAsia="zh-CN"/>
              </w:rPr>
              <w:t>上，本项目生活污水处理措施可行。</w:t>
            </w:r>
          </w:p>
          <w:p w14:paraId="12FCE628">
            <w:pPr>
              <w:adjustRightInd w:val="0"/>
              <w:snapToGrid w:val="0"/>
              <w:spacing w:line="360" w:lineRule="auto"/>
              <w:ind w:firstLine="480" w:firstLineChars="200"/>
              <w:rPr>
                <w:rFonts w:hint="default"/>
                <w:color w:val="auto"/>
                <w:sz w:val="24"/>
                <w:highlight w:val="none"/>
                <w:lang w:val="en-US" w:eastAsia="zh-CN"/>
              </w:rPr>
            </w:pPr>
            <w:r>
              <w:rPr>
                <w:rFonts w:hint="eastAsia"/>
                <w:color w:val="auto"/>
                <w:sz w:val="24"/>
                <w:highlight w:val="none"/>
                <w:lang w:val="en-US" w:eastAsia="zh-CN"/>
              </w:rPr>
              <w:t>5、</w:t>
            </w:r>
            <w:r>
              <w:rPr>
                <w:rFonts w:hint="default"/>
                <w:color w:val="auto"/>
                <w:sz w:val="24"/>
                <w:highlight w:val="none"/>
                <w:lang w:val="en-US" w:eastAsia="zh-CN"/>
              </w:rPr>
              <w:t>废水监测计划</w:t>
            </w:r>
          </w:p>
          <w:p w14:paraId="244240BC">
            <w:pPr>
              <w:adjustRightInd w:val="0"/>
              <w:snapToGrid w:val="0"/>
              <w:spacing w:line="360" w:lineRule="auto"/>
              <w:ind w:firstLine="480" w:firstLineChars="200"/>
              <w:rPr>
                <w:rFonts w:hint="default"/>
                <w:color w:val="auto"/>
                <w:sz w:val="24"/>
                <w:highlight w:val="none"/>
                <w:lang w:val="en-US" w:eastAsia="zh-CN"/>
              </w:rPr>
            </w:pPr>
            <w:r>
              <w:rPr>
                <w:rFonts w:hint="eastAsia"/>
                <w:color w:val="auto"/>
                <w:sz w:val="24"/>
                <w:highlight w:val="none"/>
                <w:lang w:eastAsia="zh-CN"/>
              </w:rPr>
              <w:t>根据</w:t>
            </w:r>
            <w:r>
              <w:rPr>
                <w:rFonts w:hint="eastAsia"/>
                <w:color w:val="auto"/>
                <w:sz w:val="24"/>
                <w:highlight w:val="none"/>
              </w:rPr>
              <w:t>《排污单位自行监测技术指南—食品制造》（HJ1084-2020）</w:t>
            </w:r>
            <w:r>
              <w:rPr>
                <w:rFonts w:hint="eastAsia"/>
                <w:color w:val="auto"/>
                <w:sz w:val="24"/>
                <w:highlight w:val="none"/>
                <w:lang w:eastAsia="zh-CN"/>
              </w:rPr>
              <w:t>表</w:t>
            </w:r>
            <w:r>
              <w:rPr>
                <w:rFonts w:hint="eastAsia"/>
                <w:color w:val="auto"/>
                <w:sz w:val="24"/>
                <w:highlight w:val="none"/>
                <w:lang w:val="en-US" w:eastAsia="zh-CN"/>
              </w:rPr>
              <w:t>1可知，本项目废水运营期监测计划如下：</w:t>
            </w:r>
          </w:p>
          <w:p w14:paraId="719D9940">
            <w:pPr>
              <w:pStyle w:val="43"/>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表4-</w:t>
            </w:r>
            <w:r>
              <w:rPr>
                <w:rFonts w:hint="eastAsia" w:ascii="Times New Roman" w:hAnsi="Times New Roman" w:cs="Times New Roman"/>
                <w:b/>
                <w:color w:val="auto"/>
                <w:sz w:val="21"/>
                <w:szCs w:val="21"/>
                <w:highlight w:val="none"/>
                <w:lang w:val="en-US" w:eastAsia="zh-CN"/>
              </w:rPr>
              <w:t>9</w:t>
            </w:r>
            <w:r>
              <w:rPr>
                <w:rFonts w:hint="default" w:ascii="Times New Roman" w:hAnsi="Times New Roman" w:cs="Times New Roman"/>
                <w:b/>
                <w:color w:val="auto"/>
                <w:sz w:val="21"/>
                <w:szCs w:val="21"/>
                <w:highlight w:val="none"/>
                <w:lang w:val="en-US" w:eastAsia="zh-CN"/>
              </w:rPr>
              <w:t xml:space="preserve"> </w:t>
            </w:r>
            <w:r>
              <w:rPr>
                <w:rFonts w:hint="default" w:ascii="Times New Roman" w:hAnsi="Times New Roman" w:cs="Times New Roman"/>
                <w:b/>
                <w:color w:val="auto"/>
                <w:sz w:val="21"/>
                <w:szCs w:val="21"/>
                <w:highlight w:val="none"/>
              </w:rPr>
              <w:t xml:space="preserve"> 项目</w:t>
            </w:r>
            <w:r>
              <w:rPr>
                <w:rFonts w:hint="default" w:ascii="Times New Roman" w:hAnsi="Times New Roman" w:cs="Times New Roman"/>
                <w:b/>
                <w:color w:val="auto"/>
                <w:sz w:val="21"/>
                <w:szCs w:val="21"/>
                <w:highlight w:val="none"/>
                <w:lang w:eastAsia="zh-CN"/>
              </w:rPr>
              <w:t>废水</w:t>
            </w:r>
            <w:r>
              <w:rPr>
                <w:rFonts w:hint="default" w:ascii="Times New Roman" w:hAnsi="Times New Roman" w:cs="Times New Roman"/>
                <w:b/>
                <w:color w:val="auto"/>
                <w:sz w:val="21"/>
                <w:szCs w:val="21"/>
                <w:highlight w:val="none"/>
              </w:rPr>
              <w:t>监测计划一览表</w:t>
            </w:r>
          </w:p>
          <w:tbl>
            <w:tblPr>
              <w:tblStyle w:val="35"/>
              <w:tblW w:w="8502" w:type="dxa"/>
              <w:tblInd w:w="-108"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2017"/>
              <w:gridCol w:w="2700"/>
              <w:gridCol w:w="1766"/>
              <w:gridCol w:w="2019"/>
            </w:tblGrid>
            <w:tr w14:paraId="7820D30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41" w:hRule="atLeast"/>
              </w:trPr>
              <w:tc>
                <w:tcPr>
                  <w:tcW w:w="2017" w:type="dxa"/>
                  <w:tcBorders>
                    <w:tl2br w:val="nil"/>
                    <w:tr2bl w:val="nil"/>
                  </w:tcBorders>
                  <w:noWrap w:val="0"/>
                  <w:vAlign w:val="center"/>
                </w:tcPr>
                <w:p w14:paraId="5F63415E">
                  <w:pPr>
                    <w:spacing w:line="240" w:lineRule="auto"/>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监测点位</w:t>
                  </w:r>
                </w:p>
              </w:tc>
              <w:tc>
                <w:tcPr>
                  <w:tcW w:w="2700" w:type="dxa"/>
                  <w:tcBorders>
                    <w:tl2br w:val="nil"/>
                    <w:tr2bl w:val="nil"/>
                  </w:tcBorders>
                  <w:noWrap w:val="0"/>
                  <w:vAlign w:val="center"/>
                </w:tcPr>
                <w:p w14:paraId="07CE314A">
                  <w:pPr>
                    <w:spacing w:line="240" w:lineRule="auto"/>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监测项目</w:t>
                  </w:r>
                </w:p>
              </w:tc>
              <w:tc>
                <w:tcPr>
                  <w:tcW w:w="1766" w:type="dxa"/>
                  <w:tcBorders>
                    <w:tl2br w:val="nil"/>
                    <w:tr2bl w:val="nil"/>
                  </w:tcBorders>
                  <w:noWrap w:val="0"/>
                  <w:vAlign w:val="center"/>
                </w:tcPr>
                <w:p w14:paraId="63B661C0">
                  <w:pPr>
                    <w:spacing w:line="240" w:lineRule="auto"/>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监测频次</w:t>
                  </w:r>
                </w:p>
              </w:tc>
              <w:tc>
                <w:tcPr>
                  <w:tcW w:w="2019" w:type="dxa"/>
                  <w:tcBorders>
                    <w:tl2br w:val="nil"/>
                    <w:tr2bl w:val="nil"/>
                  </w:tcBorders>
                  <w:noWrap w:val="0"/>
                  <w:vAlign w:val="center"/>
                </w:tcPr>
                <w:p w14:paraId="29C3A30B">
                  <w:pPr>
                    <w:spacing w:line="240" w:lineRule="auto"/>
                    <w:jc w:val="center"/>
                    <w:rPr>
                      <w:rFonts w:hint="eastAsia" w:ascii="Times New Roman" w:hAnsi="Times New Roman" w:eastAsia="宋体" w:cs="Times New Roman"/>
                      <w:color w:val="auto"/>
                      <w:szCs w:val="21"/>
                      <w:highlight w:val="none"/>
                      <w:lang w:eastAsia="zh-CN"/>
                    </w:rPr>
                  </w:pPr>
                  <w:r>
                    <w:rPr>
                      <w:rFonts w:hint="eastAsia" w:ascii="Times New Roman" w:hAnsi="Times New Roman" w:cs="Times New Roman"/>
                      <w:color w:val="auto"/>
                      <w:szCs w:val="21"/>
                      <w:highlight w:val="none"/>
                      <w:lang w:eastAsia="zh-CN"/>
                    </w:rPr>
                    <w:t>执行标准</w:t>
                  </w:r>
                </w:p>
              </w:tc>
            </w:tr>
            <w:tr w14:paraId="717F77A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74" w:hRule="atLeast"/>
              </w:trPr>
              <w:tc>
                <w:tcPr>
                  <w:tcW w:w="2017" w:type="dxa"/>
                  <w:tcBorders>
                    <w:tl2br w:val="nil"/>
                    <w:tr2bl w:val="nil"/>
                  </w:tcBorders>
                  <w:noWrap w:val="0"/>
                  <w:vAlign w:val="center"/>
                </w:tcPr>
                <w:p w14:paraId="2D9EE8AE">
                  <w:pPr>
                    <w:spacing w:before="48" w:beforeLines="20" w:after="48" w:afterLines="20"/>
                    <w:jc w:val="center"/>
                    <w:rPr>
                      <w:rFonts w:hint="default" w:ascii="Times New Roman" w:hAnsi="Times New Roman" w:eastAsia="宋体" w:cs="Times New Roman"/>
                      <w:color w:val="auto"/>
                      <w:szCs w:val="21"/>
                      <w:highlight w:val="none"/>
                      <w:lang w:eastAsia="zh-CN"/>
                    </w:rPr>
                  </w:pPr>
                  <w:r>
                    <w:rPr>
                      <w:rFonts w:hint="eastAsia" w:ascii="Times New Roman" w:hAnsi="Times New Roman" w:cs="Times New Roman"/>
                      <w:color w:val="auto"/>
                      <w:szCs w:val="21"/>
                      <w:highlight w:val="none"/>
                      <w:lang w:eastAsia="zh-CN"/>
                    </w:rPr>
                    <w:t>污水处理站</w:t>
                  </w:r>
                  <w:r>
                    <w:rPr>
                      <w:rFonts w:hint="default" w:ascii="Times New Roman" w:hAnsi="Times New Roman" w:cs="Times New Roman"/>
                      <w:color w:val="auto"/>
                      <w:szCs w:val="21"/>
                      <w:highlight w:val="none"/>
                      <w:lang w:eastAsia="zh-CN"/>
                    </w:rPr>
                    <w:t>总排口</w:t>
                  </w:r>
                </w:p>
              </w:tc>
              <w:tc>
                <w:tcPr>
                  <w:tcW w:w="2700" w:type="dxa"/>
                  <w:tcBorders>
                    <w:tl2br w:val="nil"/>
                    <w:tr2bl w:val="nil"/>
                  </w:tcBorders>
                  <w:noWrap w:val="0"/>
                  <w:vAlign w:val="center"/>
                </w:tcPr>
                <w:p w14:paraId="7B89AAA3">
                  <w:pPr>
                    <w:spacing w:before="48" w:beforeLines="20" w:after="48" w:afterLines="20"/>
                    <w:jc w:val="center"/>
                    <w:rPr>
                      <w:rFonts w:hint="eastAsia"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pH、</w:t>
                  </w:r>
                  <w:r>
                    <w:rPr>
                      <w:rFonts w:hint="default" w:ascii="Times New Roman" w:hAnsi="Times New Roman" w:cs="Times New Roman"/>
                      <w:color w:val="auto"/>
                      <w:szCs w:val="21"/>
                      <w:highlight w:val="none"/>
                      <w:lang w:val="en-US" w:eastAsia="zh-CN"/>
                    </w:rPr>
                    <w:t>COD、BOD</w:t>
                  </w:r>
                  <w:r>
                    <w:rPr>
                      <w:rFonts w:hint="eastAsia" w:ascii="Times New Roman" w:hAnsi="Times New Roman" w:cs="Times New Roman"/>
                      <w:color w:val="auto"/>
                      <w:szCs w:val="21"/>
                      <w:highlight w:val="none"/>
                      <w:vertAlign w:val="subscript"/>
                      <w:lang w:val="en-US" w:eastAsia="zh-CN"/>
                    </w:rPr>
                    <w:t>5</w:t>
                  </w:r>
                  <w:r>
                    <w:rPr>
                      <w:rFonts w:hint="default" w:ascii="Times New Roman" w:hAnsi="Times New Roman" w:cs="Times New Roman"/>
                      <w:color w:val="auto"/>
                      <w:szCs w:val="21"/>
                      <w:highlight w:val="none"/>
                      <w:lang w:val="en-US" w:eastAsia="zh-CN"/>
                    </w:rPr>
                    <w:t>、</w:t>
                  </w:r>
                  <w:r>
                    <w:rPr>
                      <w:rFonts w:hint="default" w:ascii="Times New Roman" w:hAnsi="Times New Roman" w:cs="Times New Roman"/>
                      <w:color w:val="auto"/>
                      <w:kern w:val="0"/>
                      <w:szCs w:val="21"/>
                      <w:highlight w:val="none"/>
                    </w:rPr>
                    <w:t>SS</w:t>
                  </w:r>
                  <w:r>
                    <w:rPr>
                      <w:rFonts w:hint="eastAsia" w:ascii="Times New Roman" w:hAnsi="Times New Roman" w:cs="Times New Roman"/>
                      <w:color w:val="auto"/>
                      <w:kern w:val="0"/>
                      <w:szCs w:val="21"/>
                      <w:highlight w:val="none"/>
                      <w:lang w:eastAsia="zh-CN"/>
                    </w:rPr>
                    <w:t>、</w:t>
                  </w:r>
                  <w:r>
                    <w:rPr>
                      <w:rFonts w:hint="eastAsia" w:cs="Times New Roman"/>
                      <w:color w:val="auto"/>
                      <w:kern w:val="0"/>
                      <w:szCs w:val="21"/>
                      <w:highlight w:val="none"/>
                      <w:lang w:eastAsia="zh-CN"/>
                    </w:rPr>
                    <w:t>氨氮、</w:t>
                  </w:r>
                  <w:r>
                    <w:rPr>
                      <w:rFonts w:hint="eastAsia" w:ascii="Times New Roman" w:hAnsi="Times New Roman" w:cs="Times New Roman"/>
                      <w:color w:val="auto"/>
                      <w:kern w:val="0"/>
                      <w:szCs w:val="21"/>
                      <w:highlight w:val="none"/>
                      <w:lang w:eastAsia="zh-CN"/>
                    </w:rPr>
                    <w:t>氯化物</w:t>
                  </w:r>
                  <w:r>
                    <w:rPr>
                      <w:rFonts w:hint="eastAsia" w:cs="Times New Roman"/>
                      <w:color w:val="auto"/>
                      <w:kern w:val="0"/>
                      <w:szCs w:val="21"/>
                      <w:highlight w:val="none"/>
                      <w:lang w:eastAsia="zh-CN"/>
                    </w:rPr>
                    <w:t>等</w:t>
                  </w:r>
                </w:p>
              </w:tc>
              <w:tc>
                <w:tcPr>
                  <w:tcW w:w="1766" w:type="dxa"/>
                  <w:tcBorders>
                    <w:tl2br w:val="nil"/>
                    <w:tr2bl w:val="nil"/>
                  </w:tcBorders>
                  <w:noWrap w:val="0"/>
                  <w:vAlign w:val="center"/>
                </w:tcPr>
                <w:p w14:paraId="610881F8">
                  <w:pPr>
                    <w:spacing w:before="48" w:beforeLines="20" w:after="48" w:afterLines="2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每</w:t>
                  </w:r>
                  <w:r>
                    <w:rPr>
                      <w:rFonts w:hint="eastAsia" w:ascii="Times New Roman" w:hAnsi="Times New Roman" w:cs="Times New Roman"/>
                      <w:color w:val="auto"/>
                      <w:szCs w:val="21"/>
                      <w:highlight w:val="none"/>
                      <w:lang w:eastAsia="zh-CN"/>
                    </w:rPr>
                    <w:t>季度</w:t>
                  </w:r>
                  <w:r>
                    <w:rPr>
                      <w:rFonts w:hint="default" w:ascii="Times New Roman" w:hAnsi="Times New Roman" w:cs="Times New Roman"/>
                      <w:color w:val="auto"/>
                      <w:szCs w:val="21"/>
                      <w:highlight w:val="none"/>
                    </w:rPr>
                    <w:t>监测1次</w:t>
                  </w:r>
                </w:p>
              </w:tc>
              <w:tc>
                <w:tcPr>
                  <w:tcW w:w="2019" w:type="dxa"/>
                  <w:tcBorders>
                    <w:tl2br w:val="nil"/>
                    <w:tr2bl w:val="nil"/>
                  </w:tcBorders>
                  <w:noWrap w:val="0"/>
                  <w:vAlign w:val="center"/>
                </w:tcPr>
                <w:p w14:paraId="0201C966">
                  <w:pPr>
                    <w:spacing w:before="48" w:beforeLines="20" w:after="48" w:afterLines="2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《农田灌溉水质标准》（GB5084-2021）</w:t>
                  </w:r>
                </w:p>
              </w:tc>
            </w:tr>
          </w:tbl>
          <w:p w14:paraId="3FDE6B6A">
            <w:pPr>
              <w:adjustRightInd w:val="0"/>
              <w:snapToGrid w:val="0"/>
              <w:spacing w:line="360" w:lineRule="auto"/>
              <w:rPr>
                <w:b/>
                <w:color w:val="auto"/>
                <w:kern w:val="0"/>
                <w:sz w:val="24"/>
                <w:highlight w:val="none"/>
              </w:rPr>
            </w:pPr>
            <w:r>
              <w:rPr>
                <w:rFonts w:hint="eastAsia"/>
                <w:b/>
                <w:color w:val="auto"/>
                <w:kern w:val="0"/>
                <w:sz w:val="24"/>
                <w:highlight w:val="none"/>
              </w:rPr>
              <w:t>（</w:t>
            </w:r>
            <w:r>
              <w:rPr>
                <w:b/>
                <w:color w:val="auto"/>
                <w:kern w:val="0"/>
                <w:sz w:val="24"/>
                <w:highlight w:val="none"/>
              </w:rPr>
              <w:t>三</w:t>
            </w:r>
            <w:r>
              <w:rPr>
                <w:rFonts w:hint="eastAsia"/>
                <w:b/>
                <w:color w:val="auto"/>
                <w:kern w:val="0"/>
                <w:sz w:val="24"/>
                <w:highlight w:val="none"/>
              </w:rPr>
              <w:t>）</w:t>
            </w:r>
            <w:r>
              <w:rPr>
                <w:b/>
                <w:color w:val="auto"/>
                <w:kern w:val="0"/>
                <w:sz w:val="24"/>
                <w:highlight w:val="none"/>
              </w:rPr>
              <w:t>噪声环境影响分析</w:t>
            </w:r>
          </w:p>
          <w:p w14:paraId="52CB9354">
            <w:pPr>
              <w:widowControl/>
              <w:spacing w:line="360" w:lineRule="auto"/>
              <w:ind w:firstLine="480" w:firstLineChars="200"/>
              <w:rPr>
                <w:color w:val="auto"/>
                <w:sz w:val="24"/>
                <w:highlight w:val="none"/>
              </w:rPr>
            </w:pPr>
            <w:r>
              <w:rPr>
                <w:rFonts w:hint="eastAsia"/>
                <w:color w:val="auto"/>
                <w:sz w:val="24"/>
                <w:highlight w:val="none"/>
              </w:rPr>
              <w:t>1、噪声源强</w:t>
            </w:r>
          </w:p>
          <w:p w14:paraId="66DFE4D7">
            <w:pPr>
              <w:widowControl/>
              <w:spacing w:line="360" w:lineRule="auto"/>
              <w:ind w:firstLine="480" w:firstLineChars="200"/>
              <w:rPr>
                <w:b/>
                <w:bCs/>
                <w:color w:val="auto"/>
                <w:szCs w:val="21"/>
                <w:highlight w:val="none"/>
              </w:rPr>
            </w:pPr>
            <w:r>
              <w:rPr>
                <w:rFonts w:hint="eastAsia"/>
                <w:color w:val="auto"/>
                <w:sz w:val="24"/>
                <w:highlight w:val="none"/>
              </w:rPr>
              <w:t>本项目运行过程中噪声主要来源于</w:t>
            </w:r>
            <w:r>
              <w:rPr>
                <w:rFonts w:hint="eastAsia"/>
                <w:color w:val="auto"/>
                <w:sz w:val="24"/>
                <w:highlight w:val="none"/>
                <w:lang w:bidi="ar"/>
              </w:rPr>
              <w:t>各类加工</w:t>
            </w:r>
            <w:r>
              <w:rPr>
                <w:color w:val="auto"/>
                <w:sz w:val="24"/>
                <w:highlight w:val="none"/>
                <w:lang w:bidi="ar"/>
              </w:rPr>
              <w:t>设备</w:t>
            </w:r>
            <w:r>
              <w:rPr>
                <w:color w:val="auto"/>
                <w:sz w:val="24"/>
                <w:highlight w:val="none"/>
              </w:rPr>
              <w:t>，</w:t>
            </w:r>
            <w:r>
              <w:rPr>
                <w:rFonts w:hint="eastAsia"/>
                <w:color w:val="auto"/>
                <w:sz w:val="24"/>
                <w:highlight w:val="none"/>
              </w:rPr>
              <w:t>噪声</w:t>
            </w:r>
            <w:r>
              <w:rPr>
                <w:color w:val="auto"/>
                <w:sz w:val="24"/>
                <w:highlight w:val="none"/>
              </w:rPr>
              <w:t>源强</w:t>
            </w:r>
            <w:r>
              <w:rPr>
                <w:rFonts w:hint="eastAsia"/>
                <w:color w:val="auto"/>
                <w:sz w:val="24"/>
                <w:highlight w:val="none"/>
              </w:rPr>
              <w:t>维持在80</w:t>
            </w:r>
            <w:r>
              <w:rPr>
                <w:color w:val="auto"/>
                <w:sz w:val="24"/>
                <w:highlight w:val="none"/>
              </w:rPr>
              <w:t>～</w:t>
            </w:r>
            <w:r>
              <w:rPr>
                <w:rFonts w:hint="eastAsia"/>
                <w:color w:val="auto"/>
                <w:sz w:val="24"/>
                <w:highlight w:val="none"/>
              </w:rPr>
              <w:t>85</w:t>
            </w:r>
            <w:r>
              <w:rPr>
                <w:color w:val="auto"/>
                <w:sz w:val="24"/>
                <w:highlight w:val="none"/>
              </w:rPr>
              <w:t>dB(A)</w:t>
            </w:r>
            <w:r>
              <w:rPr>
                <w:rFonts w:hint="eastAsia"/>
                <w:color w:val="auto"/>
                <w:sz w:val="24"/>
                <w:highlight w:val="none"/>
              </w:rPr>
              <w:t>之间</w:t>
            </w:r>
            <w:r>
              <w:rPr>
                <w:color w:val="auto"/>
                <w:sz w:val="24"/>
                <w:highlight w:val="none"/>
              </w:rPr>
              <w:t>。各主要噪声源、声压级及治理措施具体见表4-</w:t>
            </w:r>
            <w:r>
              <w:rPr>
                <w:rFonts w:hint="eastAsia"/>
                <w:color w:val="auto"/>
                <w:sz w:val="24"/>
                <w:highlight w:val="none"/>
                <w:lang w:val="en-US" w:eastAsia="zh-CN"/>
              </w:rPr>
              <w:t>10</w:t>
            </w:r>
            <w:r>
              <w:rPr>
                <w:rFonts w:hint="eastAsia"/>
                <w:color w:val="auto"/>
                <w:sz w:val="24"/>
                <w:highlight w:val="none"/>
              </w:rPr>
              <w:t>。</w:t>
            </w:r>
          </w:p>
          <w:p w14:paraId="365AF874">
            <w:pPr>
              <w:widowControl/>
              <w:ind w:firstLine="422" w:firstLineChars="200"/>
              <w:jc w:val="center"/>
              <w:rPr>
                <w:b/>
                <w:bCs/>
                <w:color w:val="auto"/>
                <w:szCs w:val="21"/>
                <w:highlight w:val="none"/>
              </w:rPr>
            </w:pPr>
            <w:r>
              <w:rPr>
                <w:rFonts w:hint="eastAsia"/>
                <w:b/>
                <w:bCs/>
                <w:color w:val="auto"/>
                <w:szCs w:val="21"/>
                <w:highlight w:val="none"/>
              </w:rPr>
              <w:t>表</w:t>
            </w:r>
            <w:r>
              <w:rPr>
                <w:b/>
                <w:bCs/>
                <w:color w:val="auto"/>
                <w:szCs w:val="21"/>
                <w:highlight w:val="none"/>
              </w:rPr>
              <w:t>4-</w:t>
            </w:r>
            <w:r>
              <w:rPr>
                <w:rFonts w:hint="eastAsia"/>
                <w:b/>
                <w:bCs/>
                <w:color w:val="auto"/>
                <w:szCs w:val="21"/>
                <w:highlight w:val="none"/>
                <w:lang w:val="en-US" w:eastAsia="zh-CN"/>
              </w:rPr>
              <w:t>10</w:t>
            </w:r>
            <w:r>
              <w:rPr>
                <w:b/>
                <w:bCs/>
                <w:color w:val="auto"/>
                <w:szCs w:val="21"/>
                <w:highlight w:val="none"/>
              </w:rPr>
              <w:t xml:space="preserve">  </w:t>
            </w:r>
            <w:r>
              <w:rPr>
                <w:rFonts w:hint="eastAsia"/>
                <w:b/>
                <w:bCs/>
                <w:color w:val="auto"/>
                <w:highlight w:val="none"/>
              </w:rPr>
              <w:t>本项目</w:t>
            </w:r>
            <w:r>
              <w:rPr>
                <w:rFonts w:hint="eastAsia"/>
                <w:b/>
                <w:bCs/>
                <w:color w:val="auto"/>
                <w:szCs w:val="21"/>
                <w:highlight w:val="none"/>
              </w:rPr>
              <w:t>设备噪声声级一览表    单位：</w:t>
            </w:r>
            <w:r>
              <w:rPr>
                <w:b/>
                <w:bCs/>
                <w:color w:val="auto"/>
                <w:szCs w:val="21"/>
                <w:highlight w:val="none"/>
              </w:rPr>
              <w:t>dB(A)</w:t>
            </w:r>
          </w:p>
          <w:tbl>
            <w:tblPr>
              <w:tblStyle w:val="35"/>
              <w:tblW w:w="8495"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71"/>
              <w:gridCol w:w="1795"/>
              <w:gridCol w:w="716"/>
              <w:gridCol w:w="1084"/>
              <w:gridCol w:w="1000"/>
              <w:gridCol w:w="2030"/>
              <w:gridCol w:w="1199"/>
            </w:tblGrid>
            <w:tr w14:paraId="1695EA1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71" w:type="dxa"/>
                  <w:tcBorders>
                    <w:tl2br w:val="nil"/>
                    <w:tr2bl w:val="nil"/>
                  </w:tcBorders>
                  <w:vAlign w:val="center"/>
                </w:tcPr>
                <w:p w14:paraId="5AFA46A4">
                  <w:pPr>
                    <w:snapToGrid w:val="0"/>
                    <w:spacing w:before="72" w:beforeLines="30" w:after="72" w:afterLines="30"/>
                    <w:jc w:val="center"/>
                    <w:rPr>
                      <w:color w:val="auto"/>
                      <w:highlight w:val="none"/>
                    </w:rPr>
                  </w:pPr>
                  <w:r>
                    <w:rPr>
                      <w:rFonts w:hint="eastAsia" w:cs="宋体"/>
                      <w:color w:val="auto"/>
                      <w:szCs w:val="21"/>
                      <w:highlight w:val="none"/>
                    </w:rPr>
                    <w:t>序号</w:t>
                  </w:r>
                </w:p>
              </w:tc>
              <w:tc>
                <w:tcPr>
                  <w:tcW w:w="1795" w:type="dxa"/>
                  <w:tcBorders>
                    <w:tl2br w:val="nil"/>
                    <w:tr2bl w:val="nil"/>
                  </w:tcBorders>
                  <w:vAlign w:val="center"/>
                </w:tcPr>
                <w:p w14:paraId="4E74ECE0">
                  <w:pPr>
                    <w:snapToGrid w:val="0"/>
                    <w:spacing w:before="72" w:beforeLines="30" w:after="72" w:afterLines="30"/>
                    <w:jc w:val="center"/>
                    <w:rPr>
                      <w:color w:val="auto"/>
                      <w:highlight w:val="none"/>
                    </w:rPr>
                  </w:pPr>
                  <w:r>
                    <w:rPr>
                      <w:rFonts w:hint="eastAsia" w:cs="宋体"/>
                      <w:color w:val="auto"/>
                      <w:szCs w:val="21"/>
                      <w:highlight w:val="none"/>
                    </w:rPr>
                    <w:t>噪声源</w:t>
                  </w:r>
                </w:p>
              </w:tc>
              <w:tc>
                <w:tcPr>
                  <w:tcW w:w="716" w:type="dxa"/>
                  <w:tcBorders>
                    <w:tl2br w:val="nil"/>
                    <w:tr2bl w:val="nil"/>
                  </w:tcBorders>
                  <w:vAlign w:val="center"/>
                </w:tcPr>
                <w:p w14:paraId="76B02B68">
                  <w:pPr>
                    <w:snapToGrid w:val="0"/>
                    <w:spacing w:before="72" w:beforeLines="30" w:after="72" w:afterLines="30"/>
                    <w:jc w:val="center"/>
                    <w:rPr>
                      <w:color w:val="auto"/>
                      <w:highlight w:val="none"/>
                    </w:rPr>
                  </w:pPr>
                  <w:r>
                    <w:rPr>
                      <w:rFonts w:hint="eastAsia" w:cs="宋体"/>
                      <w:color w:val="auto"/>
                      <w:szCs w:val="21"/>
                      <w:highlight w:val="none"/>
                    </w:rPr>
                    <w:t>数量</w:t>
                  </w:r>
                </w:p>
              </w:tc>
              <w:tc>
                <w:tcPr>
                  <w:tcW w:w="1084" w:type="dxa"/>
                  <w:tcBorders>
                    <w:tl2br w:val="nil"/>
                    <w:tr2bl w:val="nil"/>
                  </w:tcBorders>
                  <w:vAlign w:val="center"/>
                </w:tcPr>
                <w:p w14:paraId="5F7E3369">
                  <w:pPr>
                    <w:snapToGrid w:val="0"/>
                    <w:spacing w:before="72" w:beforeLines="30" w:after="72" w:afterLines="30"/>
                    <w:jc w:val="center"/>
                    <w:rPr>
                      <w:color w:val="auto"/>
                      <w:highlight w:val="none"/>
                    </w:rPr>
                  </w:pPr>
                  <w:r>
                    <w:rPr>
                      <w:rFonts w:hint="eastAsia" w:cs="宋体"/>
                      <w:color w:val="auto"/>
                      <w:szCs w:val="21"/>
                      <w:highlight w:val="none"/>
                    </w:rPr>
                    <w:t>产生源强</w:t>
                  </w:r>
                </w:p>
              </w:tc>
              <w:tc>
                <w:tcPr>
                  <w:tcW w:w="1000" w:type="dxa"/>
                  <w:tcBorders>
                    <w:tl2br w:val="nil"/>
                    <w:tr2bl w:val="nil"/>
                  </w:tcBorders>
                  <w:vAlign w:val="center"/>
                </w:tcPr>
                <w:p w14:paraId="07871C17">
                  <w:pPr>
                    <w:snapToGrid w:val="0"/>
                    <w:spacing w:before="72" w:beforeLines="30" w:after="72" w:afterLines="30"/>
                    <w:jc w:val="center"/>
                    <w:rPr>
                      <w:rFonts w:ascii="宋体" w:hAnsi="宋体" w:cs="宋体"/>
                      <w:color w:val="auto"/>
                      <w:highlight w:val="none"/>
                    </w:rPr>
                  </w:pPr>
                  <w:r>
                    <w:rPr>
                      <w:rFonts w:hint="eastAsia" w:ascii="宋体" w:hAnsi="宋体" w:cs="宋体"/>
                      <w:color w:val="auto"/>
                      <w:szCs w:val="21"/>
                      <w:highlight w:val="none"/>
                    </w:rPr>
                    <w:t>类型</w:t>
                  </w:r>
                </w:p>
              </w:tc>
              <w:tc>
                <w:tcPr>
                  <w:tcW w:w="2030" w:type="dxa"/>
                  <w:tcBorders>
                    <w:tl2br w:val="nil"/>
                    <w:tr2bl w:val="nil"/>
                  </w:tcBorders>
                  <w:vAlign w:val="center"/>
                </w:tcPr>
                <w:p w14:paraId="654D42C5">
                  <w:pPr>
                    <w:snapToGrid w:val="0"/>
                    <w:spacing w:before="72" w:beforeLines="30" w:after="72" w:afterLines="30"/>
                    <w:jc w:val="center"/>
                    <w:rPr>
                      <w:rFonts w:ascii="宋体" w:hAnsi="宋体" w:cs="宋体"/>
                      <w:color w:val="auto"/>
                      <w:highlight w:val="none"/>
                    </w:rPr>
                  </w:pPr>
                  <w:r>
                    <w:rPr>
                      <w:rFonts w:hint="eastAsia" w:cs="宋体"/>
                      <w:color w:val="auto"/>
                      <w:szCs w:val="21"/>
                      <w:highlight w:val="none"/>
                    </w:rPr>
                    <w:t>治理措施</w:t>
                  </w:r>
                </w:p>
              </w:tc>
              <w:tc>
                <w:tcPr>
                  <w:tcW w:w="1199" w:type="dxa"/>
                  <w:tcBorders>
                    <w:tl2br w:val="nil"/>
                    <w:tr2bl w:val="nil"/>
                  </w:tcBorders>
                  <w:vAlign w:val="center"/>
                </w:tcPr>
                <w:p w14:paraId="6007640B">
                  <w:pPr>
                    <w:snapToGrid w:val="0"/>
                    <w:spacing w:before="72" w:beforeLines="30" w:after="72" w:afterLines="30"/>
                    <w:jc w:val="center"/>
                    <w:rPr>
                      <w:rFonts w:ascii="宋体" w:hAnsi="宋体" w:cs="宋体"/>
                      <w:color w:val="auto"/>
                      <w:highlight w:val="none"/>
                    </w:rPr>
                  </w:pPr>
                  <w:r>
                    <w:rPr>
                      <w:rFonts w:hint="eastAsia" w:ascii="宋体" w:hAnsi="宋体" w:cs="宋体"/>
                      <w:color w:val="auto"/>
                      <w:szCs w:val="21"/>
                      <w:highlight w:val="none"/>
                    </w:rPr>
                    <w:t>排放源强</w:t>
                  </w:r>
                </w:p>
              </w:tc>
            </w:tr>
            <w:tr w14:paraId="4A04E89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71" w:type="dxa"/>
                  <w:tcBorders>
                    <w:tl2br w:val="nil"/>
                    <w:tr2bl w:val="nil"/>
                  </w:tcBorders>
                  <w:vAlign w:val="center"/>
                </w:tcPr>
                <w:p w14:paraId="10424402">
                  <w:pPr>
                    <w:jc w:val="center"/>
                    <w:rPr>
                      <w:color w:val="auto"/>
                      <w:spacing w:val="-1"/>
                      <w:szCs w:val="21"/>
                      <w:highlight w:val="none"/>
                    </w:rPr>
                  </w:pPr>
                  <w:r>
                    <w:rPr>
                      <w:color w:val="auto"/>
                      <w:spacing w:val="-1"/>
                      <w:szCs w:val="21"/>
                      <w:highlight w:val="none"/>
                    </w:rPr>
                    <w:t>1</w:t>
                  </w:r>
                </w:p>
              </w:tc>
              <w:tc>
                <w:tcPr>
                  <w:tcW w:w="1795" w:type="dxa"/>
                  <w:tcBorders>
                    <w:tl2br w:val="nil"/>
                    <w:tr2bl w:val="nil"/>
                  </w:tcBorders>
                  <w:vAlign w:val="center"/>
                </w:tcPr>
                <w:p w14:paraId="5937B76C">
                  <w:pPr>
                    <w:widowControl/>
                    <w:adjustRightInd w:val="0"/>
                    <w:snapToGrid w:val="0"/>
                    <w:jc w:val="center"/>
                    <w:rPr>
                      <w:color w:val="auto"/>
                      <w:szCs w:val="21"/>
                      <w:highlight w:val="none"/>
                    </w:rPr>
                  </w:pPr>
                  <w:r>
                    <w:rPr>
                      <w:color w:val="auto"/>
                      <w:kern w:val="0"/>
                      <w:szCs w:val="21"/>
                      <w:highlight w:val="none"/>
                    </w:rPr>
                    <w:t>双排挑选台</w:t>
                  </w:r>
                </w:p>
              </w:tc>
              <w:tc>
                <w:tcPr>
                  <w:tcW w:w="716" w:type="dxa"/>
                  <w:tcBorders>
                    <w:tl2br w:val="nil"/>
                    <w:tr2bl w:val="nil"/>
                  </w:tcBorders>
                  <w:vAlign w:val="center"/>
                </w:tcPr>
                <w:p w14:paraId="49849B00">
                  <w:pPr>
                    <w:widowControl/>
                    <w:adjustRightInd w:val="0"/>
                    <w:snapToGrid w:val="0"/>
                    <w:jc w:val="center"/>
                    <w:rPr>
                      <w:color w:val="auto"/>
                      <w:spacing w:val="-1"/>
                      <w:highlight w:val="none"/>
                    </w:rPr>
                  </w:pPr>
                  <w:r>
                    <w:rPr>
                      <w:rFonts w:hint="eastAsia"/>
                      <w:color w:val="auto"/>
                      <w:kern w:val="0"/>
                      <w:szCs w:val="21"/>
                      <w:highlight w:val="none"/>
                    </w:rPr>
                    <w:t>1台</w:t>
                  </w:r>
                </w:p>
              </w:tc>
              <w:tc>
                <w:tcPr>
                  <w:tcW w:w="1084" w:type="dxa"/>
                  <w:tcBorders>
                    <w:tl2br w:val="nil"/>
                    <w:tr2bl w:val="nil"/>
                  </w:tcBorders>
                  <w:vAlign w:val="center"/>
                </w:tcPr>
                <w:p w14:paraId="7F3B36FF">
                  <w:pPr>
                    <w:jc w:val="center"/>
                    <w:rPr>
                      <w:color w:val="auto"/>
                      <w:szCs w:val="21"/>
                      <w:highlight w:val="none"/>
                    </w:rPr>
                  </w:pPr>
                  <w:r>
                    <w:rPr>
                      <w:rFonts w:hint="eastAsia"/>
                      <w:color w:val="auto"/>
                      <w:szCs w:val="21"/>
                      <w:highlight w:val="none"/>
                    </w:rPr>
                    <w:t>80</w:t>
                  </w:r>
                </w:p>
              </w:tc>
              <w:tc>
                <w:tcPr>
                  <w:tcW w:w="1000" w:type="dxa"/>
                  <w:tcBorders>
                    <w:tl2br w:val="nil"/>
                    <w:tr2bl w:val="nil"/>
                  </w:tcBorders>
                  <w:vAlign w:val="center"/>
                </w:tcPr>
                <w:p w14:paraId="1DB9D956">
                  <w:pPr>
                    <w:jc w:val="center"/>
                    <w:rPr>
                      <w:color w:val="auto"/>
                      <w:highlight w:val="none"/>
                    </w:rPr>
                  </w:pPr>
                  <w:r>
                    <w:rPr>
                      <w:rFonts w:hint="eastAsia"/>
                      <w:color w:val="auto"/>
                      <w:highlight w:val="none"/>
                    </w:rPr>
                    <w:t>稳态</w:t>
                  </w:r>
                </w:p>
              </w:tc>
              <w:tc>
                <w:tcPr>
                  <w:tcW w:w="2030" w:type="dxa"/>
                  <w:vMerge w:val="restart"/>
                  <w:tcBorders>
                    <w:tl2br w:val="nil"/>
                    <w:tr2bl w:val="nil"/>
                  </w:tcBorders>
                  <w:vAlign w:val="center"/>
                </w:tcPr>
                <w:p w14:paraId="579BF5A6">
                  <w:pPr>
                    <w:jc w:val="center"/>
                    <w:rPr>
                      <w:color w:val="auto"/>
                      <w:highlight w:val="none"/>
                    </w:rPr>
                  </w:pPr>
                  <w:r>
                    <w:rPr>
                      <w:rFonts w:hint="eastAsia" w:ascii="宋体" w:hAnsi="宋体" w:cs="宋体"/>
                      <w:color w:val="auto"/>
                      <w:szCs w:val="21"/>
                      <w:highlight w:val="none"/>
                    </w:rPr>
                    <w:t>选用</w:t>
                  </w:r>
                  <w:r>
                    <w:rPr>
                      <w:rFonts w:hint="eastAsia" w:cs="宋体"/>
                      <w:color w:val="auto"/>
                      <w:szCs w:val="21"/>
                      <w:highlight w:val="none"/>
                    </w:rPr>
                    <w:t>低噪声设备，</w:t>
                  </w:r>
                  <w:r>
                    <w:rPr>
                      <w:rFonts w:hint="eastAsia" w:ascii="宋体" w:hAnsi="宋体" w:cs="宋体"/>
                      <w:color w:val="auto"/>
                      <w:szCs w:val="21"/>
                      <w:highlight w:val="none"/>
                    </w:rPr>
                    <w:t>合理布局；设置减振垫、厂房封闭隔声、</w:t>
                  </w:r>
                  <w:r>
                    <w:rPr>
                      <w:rFonts w:hint="eastAsia" w:cs="宋体"/>
                      <w:color w:val="auto"/>
                      <w:szCs w:val="21"/>
                      <w:highlight w:val="none"/>
                    </w:rPr>
                    <w:t>距离衰减</w:t>
                  </w:r>
                  <w:r>
                    <w:rPr>
                      <w:rFonts w:hint="eastAsia" w:ascii="宋体" w:hAnsi="宋体" w:cs="宋体"/>
                      <w:color w:val="auto"/>
                      <w:szCs w:val="21"/>
                      <w:highlight w:val="none"/>
                    </w:rPr>
                    <w:t>等</w:t>
                  </w:r>
                </w:p>
              </w:tc>
              <w:tc>
                <w:tcPr>
                  <w:tcW w:w="1199" w:type="dxa"/>
                  <w:tcBorders>
                    <w:tl2br w:val="nil"/>
                    <w:tr2bl w:val="nil"/>
                  </w:tcBorders>
                  <w:vAlign w:val="center"/>
                </w:tcPr>
                <w:p w14:paraId="152BBD2B">
                  <w:pPr>
                    <w:jc w:val="center"/>
                    <w:rPr>
                      <w:color w:val="auto"/>
                      <w:highlight w:val="none"/>
                    </w:rPr>
                  </w:pPr>
                  <w:r>
                    <w:rPr>
                      <w:color w:val="auto"/>
                      <w:highlight w:val="none"/>
                    </w:rPr>
                    <w:t>＜</w:t>
                  </w:r>
                  <w:r>
                    <w:rPr>
                      <w:rFonts w:hint="eastAsia"/>
                      <w:color w:val="auto"/>
                      <w:highlight w:val="none"/>
                    </w:rPr>
                    <w:t>65</w:t>
                  </w:r>
                </w:p>
              </w:tc>
            </w:tr>
            <w:tr w14:paraId="671F1E8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71" w:type="dxa"/>
                  <w:tcBorders>
                    <w:tl2br w:val="nil"/>
                    <w:tr2bl w:val="nil"/>
                  </w:tcBorders>
                  <w:vAlign w:val="center"/>
                </w:tcPr>
                <w:p w14:paraId="395CF8F9">
                  <w:pPr>
                    <w:jc w:val="center"/>
                    <w:rPr>
                      <w:color w:val="auto"/>
                      <w:spacing w:val="-1"/>
                      <w:highlight w:val="none"/>
                    </w:rPr>
                  </w:pPr>
                  <w:r>
                    <w:rPr>
                      <w:color w:val="auto"/>
                      <w:spacing w:val="-1"/>
                      <w:szCs w:val="21"/>
                      <w:highlight w:val="none"/>
                    </w:rPr>
                    <w:t>2</w:t>
                  </w:r>
                </w:p>
              </w:tc>
              <w:tc>
                <w:tcPr>
                  <w:tcW w:w="1795" w:type="dxa"/>
                  <w:tcBorders>
                    <w:tl2br w:val="nil"/>
                    <w:tr2bl w:val="nil"/>
                  </w:tcBorders>
                  <w:vAlign w:val="center"/>
                </w:tcPr>
                <w:p w14:paraId="3EC840CC">
                  <w:pPr>
                    <w:widowControl/>
                    <w:adjustRightInd w:val="0"/>
                    <w:snapToGrid w:val="0"/>
                    <w:jc w:val="center"/>
                    <w:rPr>
                      <w:color w:val="auto"/>
                      <w:spacing w:val="-1"/>
                      <w:szCs w:val="21"/>
                      <w:highlight w:val="none"/>
                    </w:rPr>
                  </w:pPr>
                  <w:r>
                    <w:rPr>
                      <w:color w:val="auto"/>
                      <w:kern w:val="0"/>
                      <w:szCs w:val="21"/>
                      <w:highlight w:val="none"/>
                    </w:rPr>
                    <w:t>多功能切片机</w:t>
                  </w:r>
                </w:p>
              </w:tc>
              <w:tc>
                <w:tcPr>
                  <w:tcW w:w="716" w:type="dxa"/>
                  <w:tcBorders>
                    <w:tl2br w:val="nil"/>
                    <w:tr2bl w:val="nil"/>
                  </w:tcBorders>
                  <w:vAlign w:val="center"/>
                </w:tcPr>
                <w:p w14:paraId="236AB1DF">
                  <w:pPr>
                    <w:widowControl/>
                    <w:adjustRightInd w:val="0"/>
                    <w:snapToGrid w:val="0"/>
                    <w:jc w:val="center"/>
                    <w:rPr>
                      <w:color w:val="auto"/>
                      <w:spacing w:val="-1"/>
                      <w:highlight w:val="none"/>
                    </w:rPr>
                  </w:pPr>
                  <w:r>
                    <w:rPr>
                      <w:rFonts w:hint="eastAsia"/>
                      <w:color w:val="auto"/>
                      <w:kern w:val="0"/>
                      <w:szCs w:val="21"/>
                      <w:highlight w:val="none"/>
                    </w:rPr>
                    <w:t>2台</w:t>
                  </w:r>
                </w:p>
              </w:tc>
              <w:tc>
                <w:tcPr>
                  <w:tcW w:w="1084" w:type="dxa"/>
                  <w:tcBorders>
                    <w:tl2br w:val="nil"/>
                    <w:tr2bl w:val="nil"/>
                  </w:tcBorders>
                  <w:vAlign w:val="center"/>
                </w:tcPr>
                <w:p w14:paraId="4F3670BB">
                  <w:pPr>
                    <w:jc w:val="center"/>
                    <w:rPr>
                      <w:color w:val="auto"/>
                      <w:highlight w:val="none"/>
                    </w:rPr>
                  </w:pPr>
                  <w:r>
                    <w:rPr>
                      <w:rFonts w:hint="eastAsia"/>
                      <w:color w:val="auto"/>
                      <w:szCs w:val="21"/>
                      <w:highlight w:val="none"/>
                    </w:rPr>
                    <w:t>85</w:t>
                  </w:r>
                </w:p>
              </w:tc>
              <w:tc>
                <w:tcPr>
                  <w:tcW w:w="1000" w:type="dxa"/>
                  <w:tcBorders>
                    <w:tl2br w:val="nil"/>
                    <w:tr2bl w:val="nil"/>
                  </w:tcBorders>
                  <w:vAlign w:val="center"/>
                </w:tcPr>
                <w:p w14:paraId="768FA307">
                  <w:pPr>
                    <w:jc w:val="center"/>
                    <w:rPr>
                      <w:color w:val="auto"/>
                      <w:highlight w:val="none"/>
                    </w:rPr>
                  </w:pPr>
                  <w:r>
                    <w:rPr>
                      <w:rFonts w:hint="eastAsia"/>
                      <w:color w:val="auto"/>
                      <w:highlight w:val="none"/>
                    </w:rPr>
                    <w:t>稳态</w:t>
                  </w:r>
                </w:p>
              </w:tc>
              <w:tc>
                <w:tcPr>
                  <w:tcW w:w="2030" w:type="dxa"/>
                  <w:vMerge w:val="continue"/>
                  <w:tcBorders>
                    <w:tl2br w:val="nil"/>
                    <w:tr2bl w:val="nil"/>
                  </w:tcBorders>
                  <w:vAlign w:val="center"/>
                </w:tcPr>
                <w:p w14:paraId="7F6E2F5C">
                  <w:pPr>
                    <w:rPr>
                      <w:color w:val="auto"/>
                      <w:highlight w:val="none"/>
                    </w:rPr>
                  </w:pPr>
                </w:p>
              </w:tc>
              <w:tc>
                <w:tcPr>
                  <w:tcW w:w="1199" w:type="dxa"/>
                  <w:tcBorders>
                    <w:tl2br w:val="nil"/>
                    <w:tr2bl w:val="nil"/>
                  </w:tcBorders>
                  <w:vAlign w:val="center"/>
                </w:tcPr>
                <w:p w14:paraId="411BEB4F">
                  <w:pPr>
                    <w:jc w:val="center"/>
                    <w:rPr>
                      <w:color w:val="auto"/>
                      <w:highlight w:val="none"/>
                    </w:rPr>
                  </w:pPr>
                  <w:r>
                    <w:rPr>
                      <w:color w:val="auto"/>
                      <w:highlight w:val="none"/>
                    </w:rPr>
                    <w:t>＜</w:t>
                  </w:r>
                  <w:r>
                    <w:rPr>
                      <w:rFonts w:hint="eastAsia"/>
                      <w:color w:val="auto"/>
                      <w:highlight w:val="none"/>
                    </w:rPr>
                    <w:t>70</w:t>
                  </w:r>
                </w:p>
              </w:tc>
            </w:tr>
            <w:tr w14:paraId="2689D1F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71" w:type="dxa"/>
                  <w:tcBorders>
                    <w:tl2br w:val="nil"/>
                    <w:tr2bl w:val="nil"/>
                  </w:tcBorders>
                  <w:vAlign w:val="center"/>
                </w:tcPr>
                <w:p w14:paraId="2FE2D8F1">
                  <w:pPr>
                    <w:jc w:val="center"/>
                    <w:rPr>
                      <w:color w:val="auto"/>
                      <w:spacing w:val="-1"/>
                      <w:highlight w:val="none"/>
                    </w:rPr>
                  </w:pPr>
                  <w:r>
                    <w:rPr>
                      <w:color w:val="auto"/>
                      <w:spacing w:val="-1"/>
                      <w:szCs w:val="21"/>
                      <w:highlight w:val="none"/>
                    </w:rPr>
                    <w:t>3</w:t>
                  </w:r>
                </w:p>
              </w:tc>
              <w:tc>
                <w:tcPr>
                  <w:tcW w:w="1795" w:type="dxa"/>
                  <w:tcBorders>
                    <w:tl2br w:val="nil"/>
                    <w:tr2bl w:val="nil"/>
                  </w:tcBorders>
                  <w:vAlign w:val="center"/>
                </w:tcPr>
                <w:p w14:paraId="2CA95C5C">
                  <w:pPr>
                    <w:widowControl/>
                    <w:adjustRightInd w:val="0"/>
                    <w:snapToGrid w:val="0"/>
                    <w:jc w:val="center"/>
                    <w:rPr>
                      <w:color w:val="auto"/>
                      <w:spacing w:val="-1"/>
                      <w:szCs w:val="21"/>
                      <w:highlight w:val="none"/>
                    </w:rPr>
                  </w:pPr>
                  <w:r>
                    <w:rPr>
                      <w:color w:val="auto"/>
                      <w:kern w:val="0"/>
                      <w:szCs w:val="21"/>
                      <w:highlight w:val="none"/>
                    </w:rPr>
                    <w:t>提升机</w:t>
                  </w:r>
                </w:p>
              </w:tc>
              <w:tc>
                <w:tcPr>
                  <w:tcW w:w="716" w:type="dxa"/>
                  <w:tcBorders>
                    <w:tl2br w:val="nil"/>
                    <w:tr2bl w:val="nil"/>
                  </w:tcBorders>
                  <w:vAlign w:val="center"/>
                </w:tcPr>
                <w:p w14:paraId="784901D8">
                  <w:pPr>
                    <w:widowControl/>
                    <w:adjustRightInd w:val="0"/>
                    <w:snapToGrid w:val="0"/>
                    <w:jc w:val="center"/>
                    <w:rPr>
                      <w:color w:val="auto"/>
                      <w:highlight w:val="none"/>
                    </w:rPr>
                  </w:pPr>
                  <w:r>
                    <w:rPr>
                      <w:rFonts w:hint="eastAsia"/>
                      <w:color w:val="auto"/>
                      <w:kern w:val="0"/>
                      <w:szCs w:val="21"/>
                      <w:highlight w:val="none"/>
                    </w:rPr>
                    <w:t>2台</w:t>
                  </w:r>
                </w:p>
              </w:tc>
              <w:tc>
                <w:tcPr>
                  <w:tcW w:w="1084" w:type="dxa"/>
                  <w:tcBorders>
                    <w:tl2br w:val="nil"/>
                    <w:tr2bl w:val="nil"/>
                  </w:tcBorders>
                  <w:vAlign w:val="center"/>
                </w:tcPr>
                <w:p w14:paraId="23D8C62A">
                  <w:pPr>
                    <w:jc w:val="center"/>
                    <w:rPr>
                      <w:color w:val="auto"/>
                      <w:highlight w:val="none"/>
                    </w:rPr>
                  </w:pPr>
                  <w:r>
                    <w:rPr>
                      <w:rFonts w:hint="eastAsia"/>
                      <w:color w:val="auto"/>
                      <w:szCs w:val="21"/>
                      <w:highlight w:val="none"/>
                    </w:rPr>
                    <w:t>85</w:t>
                  </w:r>
                </w:p>
              </w:tc>
              <w:tc>
                <w:tcPr>
                  <w:tcW w:w="1000" w:type="dxa"/>
                  <w:tcBorders>
                    <w:tl2br w:val="nil"/>
                    <w:tr2bl w:val="nil"/>
                  </w:tcBorders>
                  <w:vAlign w:val="center"/>
                </w:tcPr>
                <w:p w14:paraId="4E36F520">
                  <w:pPr>
                    <w:jc w:val="center"/>
                    <w:rPr>
                      <w:color w:val="auto"/>
                      <w:highlight w:val="none"/>
                    </w:rPr>
                  </w:pPr>
                  <w:r>
                    <w:rPr>
                      <w:rFonts w:hint="eastAsia"/>
                      <w:color w:val="auto"/>
                      <w:highlight w:val="none"/>
                    </w:rPr>
                    <w:t>稳态</w:t>
                  </w:r>
                </w:p>
              </w:tc>
              <w:tc>
                <w:tcPr>
                  <w:tcW w:w="2030" w:type="dxa"/>
                  <w:vMerge w:val="continue"/>
                  <w:tcBorders>
                    <w:tl2br w:val="nil"/>
                    <w:tr2bl w:val="nil"/>
                  </w:tcBorders>
                </w:tcPr>
                <w:p w14:paraId="2D66AB7C">
                  <w:pPr>
                    <w:rPr>
                      <w:rFonts w:ascii="Calibri" w:hAnsi="Calibri" w:cs="Calibri"/>
                      <w:color w:val="auto"/>
                      <w:szCs w:val="22"/>
                      <w:highlight w:val="none"/>
                    </w:rPr>
                  </w:pPr>
                </w:p>
              </w:tc>
              <w:tc>
                <w:tcPr>
                  <w:tcW w:w="1199" w:type="dxa"/>
                  <w:tcBorders>
                    <w:tl2br w:val="nil"/>
                    <w:tr2bl w:val="nil"/>
                  </w:tcBorders>
                  <w:vAlign w:val="center"/>
                </w:tcPr>
                <w:p w14:paraId="56CD8C3D">
                  <w:pPr>
                    <w:jc w:val="center"/>
                    <w:rPr>
                      <w:color w:val="auto"/>
                      <w:highlight w:val="none"/>
                    </w:rPr>
                  </w:pPr>
                  <w:r>
                    <w:rPr>
                      <w:color w:val="auto"/>
                      <w:highlight w:val="none"/>
                    </w:rPr>
                    <w:t>＜</w:t>
                  </w:r>
                  <w:r>
                    <w:rPr>
                      <w:rFonts w:hint="eastAsia"/>
                      <w:color w:val="auto"/>
                      <w:highlight w:val="none"/>
                    </w:rPr>
                    <w:t>70</w:t>
                  </w:r>
                </w:p>
              </w:tc>
            </w:tr>
            <w:tr w14:paraId="1C79A96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71" w:type="dxa"/>
                  <w:tcBorders>
                    <w:tl2br w:val="nil"/>
                    <w:tr2bl w:val="nil"/>
                  </w:tcBorders>
                  <w:vAlign w:val="center"/>
                </w:tcPr>
                <w:p w14:paraId="10497183">
                  <w:pPr>
                    <w:jc w:val="center"/>
                    <w:rPr>
                      <w:color w:val="auto"/>
                      <w:spacing w:val="-1"/>
                      <w:szCs w:val="21"/>
                      <w:highlight w:val="none"/>
                    </w:rPr>
                  </w:pPr>
                  <w:r>
                    <w:rPr>
                      <w:rFonts w:hint="eastAsia"/>
                      <w:color w:val="auto"/>
                      <w:spacing w:val="-1"/>
                      <w:szCs w:val="21"/>
                      <w:highlight w:val="none"/>
                    </w:rPr>
                    <w:t>4</w:t>
                  </w:r>
                </w:p>
              </w:tc>
              <w:tc>
                <w:tcPr>
                  <w:tcW w:w="1795" w:type="dxa"/>
                  <w:tcBorders>
                    <w:tl2br w:val="nil"/>
                    <w:tr2bl w:val="nil"/>
                  </w:tcBorders>
                  <w:vAlign w:val="center"/>
                </w:tcPr>
                <w:p w14:paraId="6C947492">
                  <w:pPr>
                    <w:widowControl/>
                    <w:adjustRightInd w:val="0"/>
                    <w:snapToGrid w:val="0"/>
                    <w:jc w:val="center"/>
                    <w:rPr>
                      <w:color w:val="auto"/>
                      <w:szCs w:val="21"/>
                      <w:highlight w:val="none"/>
                    </w:rPr>
                  </w:pPr>
                  <w:r>
                    <w:rPr>
                      <w:color w:val="auto"/>
                      <w:kern w:val="0"/>
                      <w:szCs w:val="21"/>
                      <w:highlight w:val="none"/>
                    </w:rPr>
                    <w:t>除渣涡流清洗机</w:t>
                  </w:r>
                </w:p>
              </w:tc>
              <w:tc>
                <w:tcPr>
                  <w:tcW w:w="716" w:type="dxa"/>
                  <w:tcBorders>
                    <w:tl2br w:val="nil"/>
                    <w:tr2bl w:val="nil"/>
                  </w:tcBorders>
                  <w:vAlign w:val="center"/>
                </w:tcPr>
                <w:p w14:paraId="1648F7E8">
                  <w:pPr>
                    <w:widowControl/>
                    <w:adjustRightInd w:val="0"/>
                    <w:snapToGrid w:val="0"/>
                    <w:jc w:val="center"/>
                    <w:rPr>
                      <w:color w:val="auto"/>
                      <w:szCs w:val="21"/>
                      <w:highlight w:val="none"/>
                    </w:rPr>
                  </w:pPr>
                  <w:r>
                    <w:rPr>
                      <w:color w:val="auto"/>
                      <w:kern w:val="0"/>
                      <w:szCs w:val="21"/>
                      <w:highlight w:val="none"/>
                    </w:rPr>
                    <w:t>1</w:t>
                  </w:r>
                  <w:r>
                    <w:rPr>
                      <w:rFonts w:hint="eastAsia"/>
                      <w:color w:val="auto"/>
                      <w:kern w:val="0"/>
                      <w:szCs w:val="21"/>
                      <w:highlight w:val="none"/>
                    </w:rPr>
                    <w:t>台</w:t>
                  </w:r>
                </w:p>
              </w:tc>
              <w:tc>
                <w:tcPr>
                  <w:tcW w:w="1084" w:type="dxa"/>
                  <w:tcBorders>
                    <w:tl2br w:val="nil"/>
                    <w:tr2bl w:val="nil"/>
                  </w:tcBorders>
                  <w:vAlign w:val="center"/>
                </w:tcPr>
                <w:p w14:paraId="085B444B">
                  <w:pPr>
                    <w:jc w:val="center"/>
                    <w:rPr>
                      <w:color w:val="auto"/>
                      <w:szCs w:val="21"/>
                      <w:highlight w:val="none"/>
                    </w:rPr>
                  </w:pPr>
                  <w:r>
                    <w:rPr>
                      <w:rFonts w:hint="eastAsia"/>
                      <w:color w:val="auto"/>
                      <w:szCs w:val="21"/>
                      <w:highlight w:val="none"/>
                    </w:rPr>
                    <w:t>85</w:t>
                  </w:r>
                </w:p>
              </w:tc>
              <w:tc>
                <w:tcPr>
                  <w:tcW w:w="1000" w:type="dxa"/>
                  <w:tcBorders>
                    <w:tl2br w:val="nil"/>
                    <w:tr2bl w:val="nil"/>
                  </w:tcBorders>
                  <w:vAlign w:val="center"/>
                </w:tcPr>
                <w:p w14:paraId="3057AFE3">
                  <w:pPr>
                    <w:jc w:val="center"/>
                    <w:rPr>
                      <w:color w:val="auto"/>
                      <w:highlight w:val="none"/>
                    </w:rPr>
                  </w:pPr>
                  <w:r>
                    <w:rPr>
                      <w:rFonts w:hint="eastAsia"/>
                      <w:color w:val="auto"/>
                      <w:highlight w:val="none"/>
                    </w:rPr>
                    <w:t>稳态</w:t>
                  </w:r>
                </w:p>
              </w:tc>
              <w:tc>
                <w:tcPr>
                  <w:tcW w:w="2030" w:type="dxa"/>
                  <w:vMerge w:val="continue"/>
                  <w:tcBorders>
                    <w:tl2br w:val="nil"/>
                    <w:tr2bl w:val="nil"/>
                  </w:tcBorders>
                </w:tcPr>
                <w:p w14:paraId="2F036B9C">
                  <w:pPr>
                    <w:rPr>
                      <w:rFonts w:ascii="Calibri" w:hAnsi="Calibri" w:cs="Calibri"/>
                      <w:color w:val="auto"/>
                      <w:szCs w:val="22"/>
                      <w:highlight w:val="none"/>
                    </w:rPr>
                  </w:pPr>
                </w:p>
              </w:tc>
              <w:tc>
                <w:tcPr>
                  <w:tcW w:w="1199" w:type="dxa"/>
                  <w:tcBorders>
                    <w:tl2br w:val="nil"/>
                    <w:tr2bl w:val="nil"/>
                  </w:tcBorders>
                  <w:vAlign w:val="center"/>
                </w:tcPr>
                <w:p w14:paraId="314418D6">
                  <w:pPr>
                    <w:jc w:val="center"/>
                    <w:rPr>
                      <w:color w:val="auto"/>
                      <w:highlight w:val="none"/>
                    </w:rPr>
                  </w:pPr>
                  <w:r>
                    <w:rPr>
                      <w:color w:val="auto"/>
                      <w:highlight w:val="none"/>
                    </w:rPr>
                    <w:t>＜</w:t>
                  </w:r>
                  <w:r>
                    <w:rPr>
                      <w:rFonts w:hint="eastAsia"/>
                      <w:color w:val="auto"/>
                      <w:highlight w:val="none"/>
                    </w:rPr>
                    <w:t>70</w:t>
                  </w:r>
                </w:p>
              </w:tc>
            </w:tr>
            <w:tr w14:paraId="418DA7A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71" w:type="dxa"/>
                  <w:tcBorders>
                    <w:tl2br w:val="nil"/>
                    <w:tr2bl w:val="nil"/>
                  </w:tcBorders>
                  <w:vAlign w:val="center"/>
                </w:tcPr>
                <w:p w14:paraId="026592B8">
                  <w:pPr>
                    <w:jc w:val="center"/>
                    <w:rPr>
                      <w:color w:val="auto"/>
                      <w:spacing w:val="-1"/>
                      <w:szCs w:val="21"/>
                      <w:highlight w:val="none"/>
                    </w:rPr>
                  </w:pPr>
                  <w:r>
                    <w:rPr>
                      <w:rFonts w:hint="eastAsia"/>
                      <w:color w:val="auto"/>
                      <w:spacing w:val="-1"/>
                      <w:szCs w:val="21"/>
                      <w:highlight w:val="none"/>
                    </w:rPr>
                    <w:t>5</w:t>
                  </w:r>
                </w:p>
              </w:tc>
              <w:tc>
                <w:tcPr>
                  <w:tcW w:w="1795" w:type="dxa"/>
                  <w:tcBorders>
                    <w:tl2br w:val="nil"/>
                    <w:tr2bl w:val="nil"/>
                  </w:tcBorders>
                  <w:vAlign w:val="center"/>
                </w:tcPr>
                <w:p w14:paraId="0DBA4156">
                  <w:pPr>
                    <w:widowControl/>
                    <w:adjustRightInd w:val="0"/>
                    <w:snapToGrid w:val="0"/>
                    <w:jc w:val="center"/>
                    <w:rPr>
                      <w:color w:val="auto"/>
                      <w:szCs w:val="21"/>
                      <w:highlight w:val="none"/>
                    </w:rPr>
                  </w:pPr>
                  <w:r>
                    <w:rPr>
                      <w:color w:val="auto"/>
                      <w:kern w:val="0"/>
                      <w:szCs w:val="21"/>
                      <w:highlight w:val="none"/>
                    </w:rPr>
                    <w:t>涡流清洗机</w:t>
                  </w:r>
                </w:p>
              </w:tc>
              <w:tc>
                <w:tcPr>
                  <w:tcW w:w="716" w:type="dxa"/>
                  <w:tcBorders>
                    <w:tl2br w:val="nil"/>
                    <w:tr2bl w:val="nil"/>
                  </w:tcBorders>
                  <w:vAlign w:val="center"/>
                </w:tcPr>
                <w:p w14:paraId="3D694554">
                  <w:pPr>
                    <w:widowControl/>
                    <w:adjustRightInd w:val="0"/>
                    <w:snapToGrid w:val="0"/>
                    <w:jc w:val="center"/>
                    <w:rPr>
                      <w:color w:val="auto"/>
                      <w:szCs w:val="21"/>
                      <w:highlight w:val="none"/>
                    </w:rPr>
                  </w:pPr>
                  <w:r>
                    <w:rPr>
                      <w:color w:val="auto"/>
                      <w:kern w:val="0"/>
                      <w:szCs w:val="21"/>
                      <w:highlight w:val="none"/>
                    </w:rPr>
                    <w:t>1</w:t>
                  </w:r>
                  <w:r>
                    <w:rPr>
                      <w:rFonts w:hint="eastAsia"/>
                      <w:color w:val="auto"/>
                      <w:kern w:val="0"/>
                      <w:szCs w:val="21"/>
                      <w:highlight w:val="none"/>
                    </w:rPr>
                    <w:t>台</w:t>
                  </w:r>
                </w:p>
              </w:tc>
              <w:tc>
                <w:tcPr>
                  <w:tcW w:w="1084" w:type="dxa"/>
                  <w:tcBorders>
                    <w:tl2br w:val="nil"/>
                    <w:tr2bl w:val="nil"/>
                  </w:tcBorders>
                  <w:vAlign w:val="center"/>
                </w:tcPr>
                <w:p w14:paraId="0A958421">
                  <w:pPr>
                    <w:jc w:val="center"/>
                    <w:rPr>
                      <w:color w:val="auto"/>
                      <w:szCs w:val="21"/>
                      <w:highlight w:val="none"/>
                    </w:rPr>
                  </w:pPr>
                  <w:r>
                    <w:rPr>
                      <w:rFonts w:hint="eastAsia"/>
                      <w:color w:val="auto"/>
                      <w:szCs w:val="21"/>
                      <w:highlight w:val="none"/>
                    </w:rPr>
                    <w:t>85</w:t>
                  </w:r>
                </w:p>
              </w:tc>
              <w:tc>
                <w:tcPr>
                  <w:tcW w:w="1000" w:type="dxa"/>
                  <w:tcBorders>
                    <w:tl2br w:val="nil"/>
                    <w:tr2bl w:val="nil"/>
                  </w:tcBorders>
                  <w:vAlign w:val="center"/>
                </w:tcPr>
                <w:p w14:paraId="24FAACF3">
                  <w:pPr>
                    <w:jc w:val="center"/>
                    <w:rPr>
                      <w:color w:val="auto"/>
                      <w:highlight w:val="none"/>
                    </w:rPr>
                  </w:pPr>
                  <w:r>
                    <w:rPr>
                      <w:rFonts w:hint="eastAsia"/>
                      <w:color w:val="auto"/>
                      <w:highlight w:val="none"/>
                    </w:rPr>
                    <w:t>稳态</w:t>
                  </w:r>
                </w:p>
              </w:tc>
              <w:tc>
                <w:tcPr>
                  <w:tcW w:w="2030" w:type="dxa"/>
                  <w:vMerge w:val="continue"/>
                  <w:tcBorders>
                    <w:tl2br w:val="nil"/>
                    <w:tr2bl w:val="nil"/>
                  </w:tcBorders>
                </w:tcPr>
                <w:p w14:paraId="3FC99A47">
                  <w:pPr>
                    <w:rPr>
                      <w:rFonts w:ascii="Calibri" w:hAnsi="Calibri" w:cs="Calibri"/>
                      <w:color w:val="auto"/>
                      <w:szCs w:val="22"/>
                      <w:highlight w:val="none"/>
                    </w:rPr>
                  </w:pPr>
                </w:p>
              </w:tc>
              <w:tc>
                <w:tcPr>
                  <w:tcW w:w="1199" w:type="dxa"/>
                  <w:tcBorders>
                    <w:tl2br w:val="nil"/>
                    <w:tr2bl w:val="nil"/>
                  </w:tcBorders>
                  <w:vAlign w:val="center"/>
                </w:tcPr>
                <w:p w14:paraId="343071E2">
                  <w:pPr>
                    <w:jc w:val="center"/>
                    <w:rPr>
                      <w:color w:val="auto"/>
                      <w:highlight w:val="none"/>
                    </w:rPr>
                  </w:pPr>
                  <w:r>
                    <w:rPr>
                      <w:color w:val="auto"/>
                      <w:highlight w:val="none"/>
                    </w:rPr>
                    <w:t>＜</w:t>
                  </w:r>
                  <w:r>
                    <w:rPr>
                      <w:rFonts w:hint="eastAsia"/>
                      <w:color w:val="auto"/>
                      <w:highlight w:val="none"/>
                    </w:rPr>
                    <w:t>70</w:t>
                  </w:r>
                </w:p>
              </w:tc>
            </w:tr>
            <w:tr w14:paraId="4EAFE30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71" w:type="dxa"/>
                  <w:tcBorders>
                    <w:tl2br w:val="nil"/>
                    <w:tr2bl w:val="nil"/>
                  </w:tcBorders>
                  <w:vAlign w:val="center"/>
                </w:tcPr>
                <w:p w14:paraId="726535C9">
                  <w:pPr>
                    <w:jc w:val="center"/>
                    <w:rPr>
                      <w:color w:val="auto"/>
                      <w:spacing w:val="-1"/>
                      <w:szCs w:val="21"/>
                      <w:highlight w:val="none"/>
                    </w:rPr>
                  </w:pPr>
                  <w:r>
                    <w:rPr>
                      <w:rFonts w:hint="eastAsia"/>
                      <w:color w:val="auto"/>
                      <w:spacing w:val="-1"/>
                      <w:szCs w:val="21"/>
                      <w:highlight w:val="none"/>
                    </w:rPr>
                    <w:t>6</w:t>
                  </w:r>
                </w:p>
              </w:tc>
              <w:tc>
                <w:tcPr>
                  <w:tcW w:w="1795" w:type="dxa"/>
                  <w:tcBorders>
                    <w:tl2br w:val="nil"/>
                    <w:tr2bl w:val="nil"/>
                  </w:tcBorders>
                  <w:vAlign w:val="center"/>
                </w:tcPr>
                <w:p w14:paraId="2FCD5FD9">
                  <w:pPr>
                    <w:widowControl/>
                    <w:adjustRightInd w:val="0"/>
                    <w:snapToGrid w:val="0"/>
                    <w:jc w:val="center"/>
                    <w:rPr>
                      <w:color w:val="auto"/>
                      <w:szCs w:val="21"/>
                      <w:highlight w:val="none"/>
                    </w:rPr>
                  </w:pPr>
                  <w:r>
                    <w:rPr>
                      <w:color w:val="auto"/>
                      <w:kern w:val="0"/>
                      <w:szCs w:val="21"/>
                      <w:highlight w:val="none"/>
                    </w:rPr>
                    <w:t>风干机</w:t>
                  </w:r>
                </w:p>
              </w:tc>
              <w:tc>
                <w:tcPr>
                  <w:tcW w:w="716" w:type="dxa"/>
                  <w:tcBorders>
                    <w:tl2br w:val="nil"/>
                    <w:tr2bl w:val="nil"/>
                  </w:tcBorders>
                  <w:vAlign w:val="center"/>
                </w:tcPr>
                <w:p w14:paraId="74E2DD2C">
                  <w:pPr>
                    <w:widowControl/>
                    <w:adjustRightInd w:val="0"/>
                    <w:snapToGrid w:val="0"/>
                    <w:jc w:val="center"/>
                    <w:rPr>
                      <w:color w:val="auto"/>
                      <w:szCs w:val="21"/>
                      <w:highlight w:val="none"/>
                    </w:rPr>
                  </w:pPr>
                  <w:r>
                    <w:rPr>
                      <w:color w:val="auto"/>
                      <w:kern w:val="0"/>
                      <w:szCs w:val="21"/>
                      <w:highlight w:val="none"/>
                    </w:rPr>
                    <w:t>1</w:t>
                  </w:r>
                  <w:r>
                    <w:rPr>
                      <w:rFonts w:hint="eastAsia"/>
                      <w:color w:val="auto"/>
                      <w:kern w:val="0"/>
                      <w:szCs w:val="21"/>
                      <w:highlight w:val="none"/>
                    </w:rPr>
                    <w:t>台</w:t>
                  </w:r>
                </w:p>
              </w:tc>
              <w:tc>
                <w:tcPr>
                  <w:tcW w:w="1084" w:type="dxa"/>
                  <w:tcBorders>
                    <w:tl2br w:val="nil"/>
                    <w:tr2bl w:val="nil"/>
                  </w:tcBorders>
                  <w:vAlign w:val="center"/>
                </w:tcPr>
                <w:p w14:paraId="3E4BDCEB">
                  <w:pPr>
                    <w:jc w:val="center"/>
                    <w:rPr>
                      <w:color w:val="auto"/>
                      <w:szCs w:val="21"/>
                      <w:highlight w:val="none"/>
                    </w:rPr>
                  </w:pPr>
                  <w:r>
                    <w:rPr>
                      <w:rFonts w:hint="eastAsia"/>
                      <w:color w:val="auto"/>
                      <w:szCs w:val="21"/>
                      <w:highlight w:val="none"/>
                    </w:rPr>
                    <w:t>85</w:t>
                  </w:r>
                </w:p>
              </w:tc>
              <w:tc>
                <w:tcPr>
                  <w:tcW w:w="1000" w:type="dxa"/>
                  <w:tcBorders>
                    <w:tl2br w:val="nil"/>
                    <w:tr2bl w:val="nil"/>
                  </w:tcBorders>
                  <w:vAlign w:val="center"/>
                </w:tcPr>
                <w:p w14:paraId="7F66E7A1">
                  <w:pPr>
                    <w:jc w:val="center"/>
                    <w:rPr>
                      <w:color w:val="auto"/>
                      <w:highlight w:val="none"/>
                    </w:rPr>
                  </w:pPr>
                  <w:r>
                    <w:rPr>
                      <w:rFonts w:hint="eastAsia"/>
                      <w:color w:val="auto"/>
                      <w:highlight w:val="none"/>
                    </w:rPr>
                    <w:t>稳态</w:t>
                  </w:r>
                </w:p>
              </w:tc>
              <w:tc>
                <w:tcPr>
                  <w:tcW w:w="2030" w:type="dxa"/>
                  <w:vMerge w:val="continue"/>
                  <w:tcBorders>
                    <w:tl2br w:val="nil"/>
                    <w:tr2bl w:val="nil"/>
                  </w:tcBorders>
                </w:tcPr>
                <w:p w14:paraId="29D0F789">
                  <w:pPr>
                    <w:rPr>
                      <w:rFonts w:ascii="Calibri" w:hAnsi="Calibri" w:cs="Calibri"/>
                      <w:color w:val="auto"/>
                      <w:szCs w:val="22"/>
                      <w:highlight w:val="none"/>
                    </w:rPr>
                  </w:pPr>
                </w:p>
              </w:tc>
              <w:tc>
                <w:tcPr>
                  <w:tcW w:w="1199" w:type="dxa"/>
                  <w:tcBorders>
                    <w:tl2br w:val="nil"/>
                    <w:tr2bl w:val="nil"/>
                  </w:tcBorders>
                  <w:vAlign w:val="center"/>
                </w:tcPr>
                <w:p w14:paraId="50B519E9">
                  <w:pPr>
                    <w:jc w:val="center"/>
                    <w:rPr>
                      <w:color w:val="auto"/>
                      <w:highlight w:val="none"/>
                    </w:rPr>
                  </w:pPr>
                  <w:r>
                    <w:rPr>
                      <w:color w:val="auto"/>
                      <w:highlight w:val="none"/>
                    </w:rPr>
                    <w:t>＜</w:t>
                  </w:r>
                  <w:r>
                    <w:rPr>
                      <w:rFonts w:hint="eastAsia"/>
                      <w:color w:val="auto"/>
                      <w:highlight w:val="none"/>
                    </w:rPr>
                    <w:t>70</w:t>
                  </w:r>
                </w:p>
              </w:tc>
            </w:tr>
            <w:tr w14:paraId="7534360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71" w:type="dxa"/>
                  <w:tcBorders>
                    <w:tl2br w:val="nil"/>
                    <w:tr2bl w:val="nil"/>
                  </w:tcBorders>
                  <w:vAlign w:val="center"/>
                </w:tcPr>
                <w:p w14:paraId="4CA44B4B">
                  <w:pPr>
                    <w:jc w:val="center"/>
                    <w:rPr>
                      <w:color w:val="auto"/>
                      <w:spacing w:val="-1"/>
                      <w:szCs w:val="21"/>
                      <w:highlight w:val="none"/>
                    </w:rPr>
                  </w:pPr>
                  <w:r>
                    <w:rPr>
                      <w:rFonts w:hint="eastAsia"/>
                      <w:color w:val="auto"/>
                      <w:spacing w:val="-1"/>
                      <w:szCs w:val="21"/>
                      <w:highlight w:val="none"/>
                    </w:rPr>
                    <w:t>7</w:t>
                  </w:r>
                </w:p>
              </w:tc>
              <w:tc>
                <w:tcPr>
                  <w:tcW w:w="1795" w:type="dxa"/>
                  <w:tcBorders>
                    <w:tl2br w:val="nil"/>
                    <w:tr2bl w:val="nil"/>
                  </w:tcBorders>
                  <w:vAlign w:val="center"/>
                </w:tcPr>
                <w:p w14:paraId="55E96359">
                  <w:pPr>
                    <w:widowControl/>
                    <w:adjustRightInd w:val="0"/>
                    <w:snapToGrid w:val="0"/>
                    <w:jc w:val="center"/>
                    <w:rPr>
                      <w:color w:val="auto"/>
                      <w:szCs w:val="21"/>
                      <w:highlight w:val="none"/>
                    </w:rPr>
                  </w:pPr>
                  <w:r>
                    <w:rPr>
                      <w:color w:val="auto"/>
                      <w:kern w:val="0"/>
                      <w:szCs w:val="21"/>
                      <w:highlight w:val="none"/>
                    </w:rPr>
                    <w:t>真空包装机</w:t>
                  </w:r>
                </w:p>
              </w:tc>
              <w:tc>
                <w:tcPr>
                  <w:tcW w:w="716" w:type="dxa"/>
                  <w:tcBorders>
                    <w:tl2br w:val="nil"/>
                    <w:tr2bl w:val="nil"/>
                  </w:tcBorders>
                  <w:vAlign w:val="center"/>
                </w:tcPr>
                <w:p w14:paraId="759524C5">
                  <w:pPr>
                    <w:widowControl/>
                    <w:adjustRightInd w:val="0"/>
                    <w:snapToGrid w:val="0"/>
                    <w:jc w:val="center"/>
                    <w:rPr>
                      <w:color w:val="auto"/>
                      <w:szCs w:val="21"/>
                      <w:highlight w:val="none"/>
                    </w:rPr>
                  </w:pPr>
                  <w:r>
                    <w:rPr>
                      <w:color w:val="auto"/>
                      <w:kern w:val="0"/>
                      <w:szCs w:val="21"/>
                      <w:highlight w:val="none"/>
                    </w:rPr>
                    <w:t>1</w:t>
                  </w:r>
                  <w:r>
                    <w:rPr>
                      <w:rFonts w:hint="eastAsia"/>
                      <w:color w:val="auto"/>
                      <w:kern w:val="0"/>
                      <w:szCs w:val="21"/>
                      <w:highlight w:val="none"/>
                    </w:rPr>
                    <w:t>台</w:t>
                  </w:r>
                </w:p>
              </w:tc>
              <w:tc>
                <w:tcPr>
                  <w:tcW w:w="1084" w:type="dxa"/>
                  <w:tcBorders>
                    <w:tl2br w:val="nil"/>
                    <w:tr2bl w:val="nil"/>
                  </w:tcBorders>
                  <w:vAlign w:val="center"/>
                </w:tcPr>
                <w:p w14:paraId="75B098CB">
                  <w:pPr>
                    <w:jc w:val="center"/>
                    <w:rPr>
                      <w:color w:val="auto"/>
                      <w:szCs w:val="21"/>
                      <w:highlight w:val="none"/>
                    </w:rPr>
                  </w:pPr>
                  <w:r>
                    <w:rPr>
                      <w:rFonts w:hint="eastAsia"/>
                      <w:color w:val="auto"/>
                      <w:szCs w:val="21"/>
                      <w:highlight w:val="none"/>
                    </w:rPr>
                    <w:t>80</w:t>
                  </w:r>
                </w:p>
              </w:tc>
              <w:tc>
                <w:tcPr>
                  <w:tcW w:w="1000" w:type="dxa"/>
                  <w:tcBorders>
                    <w:tl2br w:val="nil"/>
                    <w:tr2bl w:val="nil"/>
                  </w:tcBorders>
                  <w:vAlign w:val="center"/>
                </w:tcPr>
                <w:p w14:paraId="12E28E13">
                  <w:pPr>
                    <w:jc w:val="center"/>
                    <w:rPr>
                      <w:color w:val="auto"/>
                      <w:highlight w:val="none"/>
                    </w:rPr>
                  </w:pPr>
                  <w:r>
                    <w:rPr>
                      <w:rFonts w:hint="eastAsia"/>
                      <w:color w:val="auto"/>
                      <w:highlight w:val="none"/>
                    </w:rPr>
                    <w:t>稳态</w:t>
                  </w:r>
                </w:p>
              </w:tc>
              <w:tc>
                <w:tcPr>
                  <w:tcW w:w="2030" w:type="dxa"/>
                  <w:vMerge w:val="continue"/>
                  <w:tcBorders>
                    <w:tl2br w:val="nil"/>
                    <w:tr2bl w:val="nil"/>
                  </w:tcBorders>
                </w:tcPr>
                <w:p w14:paraId="187118CA">
                  <w:pPr>
                    <w:rPr>
                      <w:rFonts w:ascii="Calibri" w:hAnsi="Calibri" w:cs="Calibri"/>
                      <w:color w:val="auto"/>
                      <w:szCs w:val="22"/>
                      <w:highlight w:val="none"/>
                    </w:rPr>
                  </w:pPr>
                </w:p>
              </w:tc>
              <w:tc>
                <w:tcPr>
                  <w:tcW w:w="1199" w:type="dxa"/>
                  <w:tcBorders>
                    <w:tl2br w:val="nil"/>
                    <w:tr2bl w:val="nil"/>
                  </w:tcBorders>
                  <w:vAlign w:val="center"/>
                </w:tcPr>
                <w:p w14:paraId="45D0C577">
                  <w:pPr>
                    <w:jc w:val="center"/>
                    <w:rPr>
                      <w:color w:val="auto"/>
                      <w:highlight w:val="none"/>
                    </w:rPr>
                  </w:pPr>
                  <w:r>
                    <w:rPr>
                      <w:color w:val="auto"/>
                      <w:highlight w:val="none"/>
                    </w:rPr>
                    <w:t>＜</w:t>
                  </w:r>
                  <w:r>
                    <w:rPr>
                      <w:rFonts w:hint="eastAsia"/>
                      <w:color w:val="auto"/>
                      <w:highlight w:val="none"/>
                    </w:rPr>
                    <w:t>65</w:t>
                  </w:r>
                </w:p>
              </w:tc>
            </w:tr>
            <w:tr w14:paraId="35FE39B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71" w:type="dxa"/>
                  <w:tcBorders>
                    <w:tl2br w:val="nil"/>
                    <w:tr2bl w:val="nil"/>
                  </w:tcBorders>
                  <w:vAlign w:val="center"/>
                </w:tcPr>
                <w:p w14:paraId="6F09958A">
                  <w:pPr>
                    <w:jc w:val="center"/>
                    <w:rPr>
                      <w:color w:val="auto"/>
                      <w:spacing w:val="-1"/>
                      <w:szCs w:val="21"/>
                      <w:highlight w:val="none"/>
                    </w:rPr>
                  </w:pPr>
                  <w:r>
                    <w:rPr>
                      <w:rFonts w:hint="eastAsia"/>
                      <w:color w:val="auto"/>
                      <w:spacing w:val="-1"/>
                      <w:szCs w:val="21"/>
                      <w:highlight w:val="none"/>
                    </w:rPr>
                    <w:t>8</w:t>
                  </w:r>
                </w:p>
              </w:tc>
              <w:tc>
                <w:tcPr>
                  <w:tcW w:w="1795" w:type="dxa"/>
                  <w:tcBorders>
                    <w:tl2br w:val="nil"/>
                    <w:tr2bl w:val="nil"/>
                  </w:tcBorders>
                  <w:vAlign w:val="center"/>
                </w:tcPr>
                <w:p w14:paraId="5DBAB7A8">
                  <w:pPr>
                    <w:widowControl/>
                    <w:adjustRightInd w:val="0"/>
                    <w:snapToGrid w:val="0"/>
                    <w:jc w:val="center"/>
                    <w:rPr>
                      <w:color w:val="auto"/>
                      <w:szCs w:val="21"/>
                      <w:highlight w:val="none"/>
                    </w:rPr>
                  </w:pPr>
                  <w:r>
                    <w:rPr>
                      <w:color w:val="auto"/>
                      <w:kern w:val="0"/>
                      <w:szCs w:val="21"/>
                      <w:highlight w:val="none"/>
                    </w:rPr>
                    <w:t>毛辊去皮清洗机</w:t>
                  </w:r>
                </w:p>
              </w:tc>
              <w:tc>
                <w:tcPr>
                  <w:tcW w:w="716" w:type="dxa"/>
                  <w:tcBorders>
                    <w:tl2br w:val="nil"/>
                    <w:tr2bl w:val="nil"/>
                  </w:tcBorders>
                  <w:vAlign w:val="center"/>
                </w:tcPr>
                <w:p w14:paraId="5F2490DB">
                  <w:pPr>
                    <w:widowControl/>
                    <w:adjustRightInd w:val="0"/>
                    <w:snapToGrid w:val="0"/>
                    <w:jc w:val="center"/>
                    <w:rPr>
                      <w:color w:val="auto"/>
                      <w:szCs w:val="21"/>
                      <w:highlight w:val="none"/>
                    </w:rPr>
                  </w:pPr>
                  <w:r>
                    <w:rPr>
                      <w:color w:val="auto"/>
                      <w:kern w:val="0"/>
                      <w:szCs w:val="21"/>
                      <w:highlight w:val="none"/>
                    </w:rPr>
                    <w:t>1</w:t>
                  </w:r>
                  <w:r>
                    <w:rPr>
                      <w:rFonts w:hint="eastAsia"/>
                      <w:color w:val="auto"/>
                      <w:kern w:val="0"/>
                      <w:szCs w:val="21"/>
                      <w:highlight w:val="none"/>
                    </w:rPr>
                    <w:t>台</w:t>
                  </w:r>
                </w:p>
              </w:tc>
              <w:tc>
                <w:tcPr>
                  <w:tcW w:w="1084" w:type="dxa"/>
                  <w:tcBorders>
                    <w:tl2br w:val="nil"/>
                    <w:tr2bl w:val="nil"/>
                  </w:tcBorders>
                  <w:vAlign w:val="center"/>
                </w:tcPr>
                <w:p w14:paraId="18D5FFD2">
                  <w:pPr>
                    <w:jc w:val="center"/>
                    <w:rPr>
                      <w:color w:val="auto"/>
                      <w:szCs w:val="21"/>
                      <w:highlight w:val="none"/>
                    </w:rPr>
                  </w:pPr>
                  <w:r>
                    <w:rPr>
                      <w:rFonts w:hint="eastAsia"/>
                      <w:color w:val="auto"/>
                      <w:szCs w:val="21"/>
                      <w:highlight w:val="none"/>
                    </w:rPr>
                    <w:t>85</w:t>
                  </w:r>
                </w:p>
              </w:tc>
              <w:tc>
                <w:tcPr>
                  <w:tcW w:w="1000" w:type="dxa"/>
                  <w:tcBorders>
                    <w:tl2br w:val="nil"/>
                    <w:tr2bl w:val="nil"/>
                  </w:tcBorders>
                  <w:vAlign w:val="center"/>
                </w:tcPr>
                <w:p w14:paraId="64C3E218">
                  <w:pPr>
                    <w:jc w:val="center"/>
                    <w:rPr>
                      <w:color w:val="auto"/>
                      <w:highlight w:val="none"/>
                    </w:rPr>
                  </w:pPr>
                  <w:r>
                    <w:rPr>
                      <w:rFonts w:hint="eastAsia"/>
                      <w:color w:val="auto"/>
                      <w:highlight w:val="none"/>
                    </w:rPr>
                    <w:t>稳态</w:t>
                  </w:r>
                </w:p>
              </w:tc>
              <w:tc>
                <w:tcPr>
                  <w:tcW w:w="2030" w:type="dxa"/>
                  <w:vMerge w:val="continue"/>
                  <w:tcBorders>
                    <w:tl2br w:val="nil"/>
                    <w:tr2bl w:val="nil"/>
                  </w:tcBorders>
                </w:tcPr>
                <w:p w14:paraId="49C5A582">
                  <w:pPr>
                    <w:rPr>
                      <w:rFonts w:ascii="Calibri" w:hAnsi="Calibri" w:cs="Calibri"/>
                      <w:color w:val="auto"/>
                      <w:szCs w:val="22"/>
                      <w:highlight w:val="none"/>
                    </w:rPr>
                  </w:pPr>
                </w:p>
              </w:tc>
              <w:tc>
                <w:tcPr>
                  <w:tcW w:w="1199" w:type="dxa"/>
                  <w:tcBorders>
                    <w:tl2br w:val="nil"/>
                    <w:tr2bl w:val="nil"/>
                  </w:tcBorders>
                  <w:vAlign w:val="center"/>
                </w:tcPr>
                <w:p w14:paraId="3E6B508E">
                  <w:pPr>
                    <w:jc w:val="center"/>
                    <w:rPr>
                      <w:color w:val="auto"/>
                      <w:highlight w:val="none"/>
                    </w:rPr>
                  </w:pPr>
                  <w:r>
                    <w:rPr>
                      <w:color w:val="auto"/>
                      <w:highlight w:val="none"/>
                    </w:rPr>
                    <w:t>＜</w:t>
                  </w:r>
                  <w:r>
                    <w:rPr>
                      <w:rFonts w:hint="eastAsia"/>
                      <w:color w:val="auto"/>
                      <w:highlight w:val="none"/>
                    </w:rPr>
                    <w:t>70</w:t>
                  </w:r>
                </w:p>
              </w:tc>
            </w:tr>
            <w:tr w14:paraId="3D0EDF6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71" w:type="dxa"/>
                  <w:tcBorders>
                    <w:tl2br w:val="nil"/>
                    <w:tr2bl w:val="nil"/>
                  </w:tcBorders>
                  <w:vAlign w:val="center"/>
                </w:tcPr>
                <w:p w14:paraId="74FA05E9">
                  <w:pPr>
                    <w:jc w:val="center"/>
                    <w:rPr>
                      <w:color w:val="auto"/>
                      <w:spacing w:val="-1"/>
                      <w:szCs w:val="21"/>
                      <w:highlight w:val="none"/>
                    </w:rPr>
                  </w:pPr>
                  <w:r>
                    <w:rPr>
                      <w:rFonts w:hint="eastAsia"/>
                      <w:color w:val="auto"/>
                      <w:spacing w:val="-1"/>
                      <w:szCs w:val="21"/>
                      <w:highlight w:val="none"/>
                    </w:rPr>
                    <w:t>9</w:t>
                  </w:r>
                </w:p>
              </w:tc>
              <w:tc>
                <w:tcPr>
                  <w:tcW w:w="1795" w:type="dxa"/>
                  <w:tcBorders>
                    <w:tl2br w:val="nil"/>
                    <w:tr2bl w:val="nil"/>
                  </w:tcBorders>
                  <w:vAlign w:val="center"/>
                </w:tcPr>
                <w:p w14:paraId="36C1BE52">
                  <w:pPr>
                    <w:widowControl/>
                    <w:adjustRightInd w:val="0"/>
                    <w:snapToGrid w:val="0"/>
                    <w:jc w:val="center"/>
                    <w:rPr>
                      <w:color w:val="auto"/>
                      <w:szCs w:val="21"/>
                      <w:highlight w:val="none"/>
                    </w:rPr>
                  </w:pPr>
                  <w:r>
                    <w:rPr>
                      <w:color w:val="auto"/>
                      <w:kern w:val="0"/>
                      <w:szCs w:val="21"/>
                      <w:highlight w:val="none"/>
                    </w:rPr>
                    <w:t>切条机</w:t>
                  </w:r>
                </w:p>
              </w:tc>
              <w:tc>
                <w:tcPr>
                  <w:tcW w:w="716" w:type="dxa"/>
                  <w:tcBorders>
                    <w:tl2br w:val="nil"/>
                    <w:tr2bl w:val="nil"/>
                  </w:tcBorders>
                  <w:vAlign w:val="center"/>
                </w:tcPr>
                <w:p w14:paraId="41AF213D">
                  <w:pPr>
                    <w:widowControl/>
                    <w:adjustRightInd w:val="0"/>
                    <w:snapToGrid w:val="0"/>
                    <w:jc w:val="center"/>
                    <w:rPr>
                      <w:color w:val="auto"/>
                      <w:szCs w:val="21"/>
                      <w:highlight w:val="none"/>
                    </w:rPr>
                  </w:pPr>
                  <w:r>
                    <w:rPr>
                      <w:color w:val="auto"/>
                      <w:kern w:val="0"/>
                      <w:szCs w:val="21"/>
                      <w:highlight w:val="none"/>
                    </w:rPr>
                    <w:t>1</w:t>
                  </w:r>
                  <w:r>
                    <w:rPr>
                      <w:rFonts w:hint="eastAsia"/>
                      <w:color w:val="auto"/>
                      <w:kern w:val="0"/>
                      <w:szCs w:val="21"/>
                      <w:highlight w:val="none"/>
                    </w:rPr>
                    <w:t>台</w:t>
                  </w:r>
                </w:p>
              </w:tc>
              <w:tc>
                <w:tcPr>
                  <w:tcW w:w="1084" w:type="dxa"/>
                  <w:tcBorders>
                    <w:tl2br w:val="nil"/>
                    <w:tr2bl w:val="nil"/>
                  </w:tcBorders>
                  <w:vAlign w:val="center"/>
                </w:tcPr>
                <w:p w14:paraId="769AE5A4">
                  <w:pPr>
                    <w:jc w:val="center"/>
                    <w:rPr>
                      <w:color w:val="auto"/>
                      <w:szCs w:val="21"/>
                      <w:highlight w:val="none"/>
                    </w:rPr>
                  </w:pPr>
                  <w:r>
                    <w:rPr>
                      <w:rFonts w:hint="eastAsia"/>
                      <w:color w:val="auto"/>
                      <w:szCs w:val="21"/>
                      <w:highlight w:val="none"/>
                    </w:rPr>
                    <w:t>85</w:t>
                  </w:r>
                </w:p>
              </w:tc>
              <w:tc>
                <w:tcPr>
                  <w:tcW w:w="1000" w:type="dxa"/>
                  <w:tcBorders>
                    <w:tl2br w:val="nil"/>
                    <w:tr2bl w:val="nil"/>
                  </w:tcBorders>
                  <w:vAlign w:val="center"/>
                </w:tcPr>
                <w:p w14:paraId="2F68C588">
                  <w:pPr>
                    <w:jc w:val="center"/>
                    <w:rPr>
                      <w:color w:val="auto"/>
                      <w:highlight w:val="none"/>
                    </w:rPr>
                  </w:pPr>
                  <w:r>
                    <w:rPr>
                      <w:rFonts w:hint="eastAsia"/>
                      <w:color w:val="auto"/>
                      <w:highlight w:val="none"/>
                    </w:rPr>
                    <w:t>稳态</w:t>
                  </w:r>
                </w:p>
              </w:tc>
              <w:tc>
                <w:tcPr>
                  <w:tcW w:w="2030" w:type="dxa"/>
                  <w:vMerge w:val="continue"/>
                  <w:tcBorders>
                    <w:tl2br w:val="nil"/>
                    <w:tr2bl w:val="nil"/>
                  </w:tcBorders>
                </w:tcPr>
                <w:p w14:paraId="616EBD1C">
                  <w:pPr>
                    <w:rPr>
                      <w:rFonts w:ascii="Calibri" w:hAnsi="Calibri" w:cs="Calibri"/>
                      <w:color w:val="auto"/>
                      <w:szCs w:val="22"/>
                      <w:highlight w:val="none"/>
                    </w:rPr>
                  </w:pPr>
                </w:p>
              </w:tc>
              <w:tc>
                <w:tcPr>
                  <w:tcW w:w="1199" w:type="dxa"/>
                  <w:tcBorders>
                    <w:tl2br w:val="nil"/>
                    <w:tr2bl w:val="nil"/>
                  </w:tcBorders>
                  <w:vAlign w:val="center"/>
                </w:tcPr>
                <w:p w14:paraId="7059B8AE">
                  <w:pPr>
                    <w:jc w:val="center"/>
                    <w:rPr>
                      <w:color w:val="auto"/>
                      <w:highlight w:val="none"/>
                    </w:rPr>
                  </w:pPr>
                  <w:r>
                    <w:rPr>
                      <w:color w:val="auto"/>
                      <w:highlight w:val="none"/>
                    </w:rPr>
                    <w:t>＜</w:t>
                  </w:r>
                  <w:r>
                    <w:rPr>
                      <w:rFonts w:hint="eastAsia"/>
                      <w:color w:val="auto"/>
                      <w:highlight w:val="none"/>
                    </w:rPr>
                    <w:t>70</w:t>
                  </w:r>
                </w:p>
              </w:tc>
            </w:tr>
            <w:tr w14:paraId="28FB3F1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71" w:type="dxa"/>
                  <w:tcBorders>
                    <w:tl2br w:val="nil"/>
                    <w:tr2bl w:val="nil"/>
                  </w:tcBorders>
                  <w:vAlign w:val="center"/>
                </w:tcPr>
                <w:p w14:paraId="7E9E27F1">
                  <w:pPr>
                    <w:jc w:val="center"/>
                    <w:rPr>
                      <w:color w:val="auto"/>
                      <w:spacing w:val="-1"/>
                      <w:szCs w:val="21"/>
                      <w:highlight w:val="none"/>
                    </w:rPr>
                  </w:pPr>
                  <w:r>
                    <w:rPr>
                      <w:rFonts w:hint="eastAsia"/>
                      <w:color w:val="auto"/>
                      <w:spacing w:val="-1"/>
                      <w:szCs w:val="21"/>
                      <w:highlight w:val="none"/>
                    </w:rPr>
                    <w:t>10</w:t>
                  </w:r>
                </w:p>
              </w:tc>
              <w:tc>
                <w:tcPr>
                  <w:tcW w:w="1795" w:type="dxa"/>
                  <w:tcBorders>
                    <w:tl2br w:val="nil"/>
                    <w:tr2bl w:val="nil"/>
                  </w:tcBorders>
                  <w:vAlign w:val="center"/>
                </w:tcPr>
                <w:p w14:paraId="146F5678">
                  <w:pPr>
                    <w:widowControl/>
                    <w:adjustRightInd w:val="0"/>
                    <w:snapToGrid w:val="0"/>
                    <w:jc w:val="center"/>
                    <w:rPr>
                      <w:color w:val="auto"/>
                      <w:szCs w:val="21"/>
                      <w:highlight w:val="none"/>
                    </w:rPr>
                  </w:pPr>
                  <w:r>
                    <w:rPr>
                      <w:rFonts w:hint="eastAsia"/>
                      <w:color w:val="auto"/>
                      <w:szCs w:val="21"/>
                      <w:highlight w:val="none"/>
                    </w:rPr>
                    <w:t>气泡清洗机</w:t>
                  </w:r>
                </w:p>
              </w:tc>
              <w:tc>
                <w:tcPr>
                  <w:tcW w:w="716" w:type="dxa"/>
                  <w:tcBorders>
                    <w:tl2br w:val="nil"/>
                    <w:tr2bl w:val="nil"/>
                  </w:tcBorders>
                  <w:vAlign w:val="center"/>
                </w:tcPr>
                <w:p w14:paraId="0E54EE46">
                  <w:pPr>
                    <w:widowControl/>
                    <w:adjustRightInd w:val="0"/>
                    <w:snapToGrid w:val="0"/>
                    <w:jc w:val="center"/>
                    <w:rPr>
                      <w:color w:val="auto"/>
                      <w:szCs w:val="21"/>
                      <w:highlight w:val="none"/>
                    </w:rPr>
                  </w:pPr>
                  <w:r>
                    <w:rPr>
                      <w:color w:val="auto"/>
                      <w:kern w:val="0"/>
                      <w:szCs w:val="21"/>
                      <w:highlight w:val="none"/>
                    </w:rPr>
                    <w:t>1</w:t>
                  </w:r>
                  <w:r>
                    <w:rPr>
                      <w:rFonts w:hint="eastAsia"/>
                      <w:color w:val="auto"/>
                      <w:kern w:val="0"/>
                      <w:szCs w:val="21"/>
                      <w:highlight w:val="none"/>
                    </w:rPr>
                    <w:t>台</w:t>
                  </w:r>
                </w:p>
              </w:tc>
              <w:tc>
                <w:tcPr>
                  <w:tcW w:w="1084" w:type="dxa"/>
                  <w:tcBorders>
                    <w:tl2br w:val="nil"/>
                    <w:tr2bl w:val="nil"/>
                  </w:tcBorders>
                  <w:vAlign w:val="center"/>
                </w:tcPr>
                <w:p w14:paraId="6B459B24">
                  <w:pPr>
                    <w:jc w:val="center"/>
                    <w:rPr>
                      <w:color w:val="auto"/>
                      <w:szCs w:val="21"/>
                      <w:highlight w:val="none"/>
                    </w:rPr>
                  </w:pPr>
                  <w:r>
                    <w:rPr>
                      <w:rFonts w:hint="eastAsia"/>
                      <w:color w:val="auto"/>
                      <w:szCs w:val="21"/>
                      <w:highlight w:val="none"/>
                    </w:rPr>
                    <w:t>85</w:t>
                  </w:r>
                </w:p>
              </w:tc>
              <w:tc>
                <w:tcPr>
                  <w:tcW w:w="1000" w:type="dxa"/>
                  <w:tcBorders>
                    <w:tl2br w:val="nil"/>
                    <w:tr2bl w:val="nil"/>
                  </w:tcBorders>
                  <w:vAlign w:val="center"/>
                </w:tcPr>
                <w:p w14:paraId="685D9841">
                  <w:pPr>
                    <w:jc w:val="center"/>
                    <w:rPr>
                      <w:color w:val="auto"/>
                      <w:highlight w:val="none"/>
                    </w:rPr>
                  </w:pPr>
                  <w:r>
                    <w:rPr>
                      <w:rFonts w:hint="eastAsia"/>
                      <w:color w:val="auto"/>
                      <w:highlight w:val="none"/>
                    </w:rPr>
                    <w:t>稳态</w:t>
                  </w:r>
                </w:p>
              </w:tc>
              <w:tc>
                <w:tcPr>
                  <w:tcW w:w="2030" w:type="dxa"/>
                  <w:vMerge w:val="continue"/>
                  <w:tcBorders>
                    <w:tl2br w:val="nil"/>
                    <w:tr2bl w:val="nil"/>
                  </w:tcBorders>
                </w:tcPr>
                <w:p w14:paraId="69A6F045">
                  <w:pPr>
                    <w:rPr>
                      <w:rFonts w:ascii="Calibri" w:hAnsi="Calibri" w:cs="Calibri"/>
                      <w:color w:val="auto"/>
                      <w:szCs w:val="22"/>
                      <w:highlight w:val="none"/>
                    </w:rPr>
                  </w:pPr>
                </w:p>
              </w:tc>
              <w:tc>
                <w:tcPr>
                  <w:tcW w:w="1199" w:type="dxa"/>
                  <w:tcBorders>
                    <w:tl2br w:val="nil"/>
                    <w:tr2bl w:val="nil"/>
                  </w:tcBorders>
                  <w:vAlign w:val="center"/>
                </w:tcPr>
                <w:p w14:paraId="445C6E2B">
                  <w:pPr>
                    <w:jc w:val="center"/>
                    <w:rPr>
                      <w:color w:val="auto"/>
                      <w:highlight w:val="none"/>
                    </w:rPr>
                  </w:pPr>
                  <w:r>
                    <w:rPr>
                      <w:color w:val="auto"/>
                      <w:highlight w:val="none"/>
                    </w:rPr>
                    <w:t>＜</w:t>
                  </w:r>
                  <w:r>
                    <w:rPr>
                      <w:rFonts w:hint="eastAsia"/>
                      <w:color w:val="auto"/>
                      <w:highlight w:val="none"/>
                    </w:rPr>
                    <w:t>70</w:t>
                  </w:r>
                </w:p>
              </w:tc>
            </w:tr>
            <w:tr w14:paraId="1BC90F7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71" w:type="dxa"/>
                  <w:tcBorders>
                    <w:tl2br w:val="nil"/>
                    <w:tr2bl w:val="nil"/>
                  </w:tcBorders>
                  <w:vAlign w:val="center"/>
                </w:tcPr>
                <w:p w14:paraId="49AF21AD">
                  <w:pPr>
                    <w:jc w:val="center"/>
                    <w:rPr>
                      <w:color w:val="auto"/>
                      <w:spacing w:val="-1"/>
                      <w:szCs w:val="21"/>
                      <w:highlight w:val="none"/>
                    </w:rPr>
                  </w:pPr>
                  <w:r>
                    <w:rPr>
                      <w:rFonts w:hint="eastAsia"/>
                      <w:color w:val="auto"/>
                      <w:spacing w:val="-1"/>
                      <w:szCs w:val="21"/>
                      <w:highlight w:val="none"/>
                    </w:rPr>
                    <w:t>11</w:t>
                  </w:r>
                </w:p>
              </w:tc>
              <w:tc>
                <w:tcPr>
                  <w:tcW w:w="1795" w:type="dxa"/>
                  <w:tcBorders>
                    <w:tl2br w:val="nil"/>
                    <w:tr2bl w:val="nil"/>
                  </w:tcBorders>
                  <w:vAlign w:val="center"/>
                </w:tcPr>
                <w:p w14:paraId="5EABD405">
                  <w:pPr>
                    <w:widowControl/>
                    <w:adjustRightInd w:val="0"/>
                    <w:snapToGrid w:val="0"/>
                    <w:jc w:val="center"/>
                    <w:rPr>
                      <w:color w:val="auto"/>
                      <w:szCs w:val="21"/>
                      <w:highlight w:val="none"/>
                    </w:rPr>
                  </w:pPr>
                  <w:r>
                    <w:rPr>
                      <w:rFonts w:hint="eastAsia"/>
                      <w:color w:val="auto"/>
                      <w:szCs w:val="21"/>
                      <w:highlight w:val="none"/>
                    </w:rPr>
                    <w:t>漂烫机</w:t>
                  </w:r>
                </w:p>
              </w:tc>
              <w:tc>
                <w:tcPr>
                  <w:tcW w:w="716" w:type="dxa"/>
                  <w:tcBorders>
                    <w:tl2br w:val="nil"/>
                    <w:tr2bl w:val="nil"/>
                  </w:tcBorders>
                  <w:vAlign w:val="center"/>
                </w:tcPr>
                <w:p w14:paraId="00F1AC6C">
                  <w:pPr>
                    <w:widowControl/>
                    <w:adjustRightInd w:val="0"/>
                    <w:snapToGrid w:val="0"/>
                    <w:jc w:val="center"/>
                    <w:rPr>
                      <w:color w:val="auto"/>
                      <w:szCs w:val="21"/>
                      <w:highlight w:val="none"/>
                    </w:rPr>
                  </w:pPr>
                  <w:r>
                    <w:rPr>
                      <w:color w:val="auto"/>
                      <w:kern w:val="0"/>
                      <w:szCs w:val="21"/>
                      <w:highlight w:val="none"/>
                    </w:rPr>
                    <w:t>1</w:t>
                  </w:r>
                  <w:r>
                    <w:rPr>
                      <w:rFonts w:hint="eastAsia"/>
                      <w:color w:val="auto"/>
                      <w:kern w:val="0"/>
                      <w:szCs w:val="21"/>
                      <w:highlight w:val="none"/>
                    </w:rPr>
                    <w:t>台</w:t>
                  </w:r>
                </w:p>
              </w:tc>
              <w:tc>
                <w:tcPr>
                  <w:tcW w:w="1084" w:type="dxa"/>
                  <w:tcBorders>
                    <w:tl2br w:val="nil"/>
                    <w:tr2bl w:val="nil"/>
                  </w:tcBorders>
                  <w:vAlign w:val="center"/>
                </w:tcPr>
                <w:p w14:paraId="52704E3A">
                  <w:pPr>
                    <w:jc w:val="center"/>
                    <w:rPr>
                      <w:color w:val="auto"/>
                      <w:szCs w:val="21"/>
                      <w:highlight w:val="none"/>
                    </w:rPr>
                  </w:pPr>
                  <w:r>
                    <w:rPr>
                      <w:rFonts w:hint="eastAsia"/>
                      <w:color w:val="auto"/>
                      <w:szCs w:val="21"/>
                      <w:highlight w:val="none"/>
                    </w:rPr>
                    <w:t>80</w:t>
                  </w:r>
                </w:p>
              </w:tc>
              <w:tc>
                <w:tcPr>
                  <w:tcW w:w="1000" w:type="dxa"/>
                  <w:tcBorders>
                    <w:tl2br w:val="nil"/>
                    <w:tr2bl w:val="nil"/>
                  </w:tcBorders>
                  <w:vAlign w:val="center"/>
                </w:tcPr>
                <w:p w14:paraId="3975DA3E">
                  <w:pPr>
                    <w:jc w:val="center"/>
                    <w:rPr>
                      <w:color w:val="auto"/>
                      <w:highlight w:val="none"/>
                    </w:rPr>
                  </w:pPr>
                  <w:r>
                    <w:rPr>
                      <w:rFonts w:hint="eastAsia"/>
                      <w:color w:val="auto"/>
                      <w:highlight w:val="none"/>
                    </w:rPr>
                    <w:t>稳态</w:t>
                  </w:r>
                </w:p>
              </w:tc>
              <w:tc>
                <w:tcPr>
                  <w:tcW w:w="2030" w:type="dxa"/>
                  <w:vMerge w:val="continue"/>
                  <w:tcBorders>
                    <w:tl2br w:val="nil"/>
                    <w:tr2bl w:val="nil"/>
                  </w:tcBorders>
                </w:tcPr>
                <w:p w14:paraId="7942534A">
                  <w:pPr>
                    <w:rPr>
                      <w:rFonts w:ascii="Calibri" w:hAnsi="Calibri" w:cs="Calibri"/>
                      <w:color w:val="auto"/>
                      <w:szCs w:val="22"/>
                      <w:highlight w:val="none"/>
                    </w:rPr>
                  </w:pPr>
                </w:p>
              </w:tc>
              <w:tc>
                <w:tcPr>
                  <w:tcW w:w="1199" w:type="dxa"/>
                  <w:tcBorders>
                    <w:tl2br w:val="nil"/>
                    <w:tr2bl w:val="nil"/>
                  </w:tcBorders>
                  <w:vAlign w:val="center"/>
                </w:tcPr>
                <w:p w14:paraId="008224C3">
                  <w:pPr>
                    <w:jc w:val="center"/>
                    <w:rPr>
                      <w:color w:val="auto"/>
                      <w:highlight w:val="none"/>
                    </w:rPr>
                  </w:pPr>
                  <w:r>
                    <w:rPr>
                      <w:color w:val="auto"/>
                      <w:highlight w:val="none"/>
                    </w:rPr>
                    <w:t>＜</w:t>
                  </w:r>
                  <w:r>
                    <w:rPr>
                      <w:rFonts w:hint="eastAsia"/>
                      <w:color w:val="auto"/>
                      <w:highlight w:val="none"/>
                    </w:rPr>
                    <w:t>65</w:t>
                  </w:r>
                </w:p>
              </w:tc>
            </w:tr>
            <w:tr w14:paraId="6DCF6E8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71" w:type="dxa"/>
                  <w:tcBorders>
                    <w:tl2br w:val="nil"/>
                    <w:tr2bl w:val="nil"/>
                  </w:tcBorders>
                  <w:vAlign w:val="center"/>
                </w:tcPr>
                <w:p w14:paraId="0B629AFA">
                  <w:pPr>
                    <w:jc w:val="center"/>
                    <w:rPr>
                      <w:color w:val="auto"/>
                      <w:spacing w:val="-1"/>
                      <w:szCs w:val="21"/>
                      <w:highlight w:val="none"/>
                    </w:rPr>
                  </w:pPr>
                  <w:r>
                    <w:rPr>
                      <w:rFonts w:hint="eastAsia"/>
                      <w:color w:val="auto"/>
                      <w:spacing w:val="-1"/>
                      <w:szCs w:val="21"/>
                      <w:highlight w:val="none"/>
                    </w:rPr>
                    <w:t>12</w:t>
                  </w:r>
                </w:p>
              </w:tc>
              <w:tc>
                <w:tcPr>
                  <w:tcW w:w="1795" w:type="dxa"/>
                  <w:tcBorders>
                    <w:tl2br w:val="nil"/>
                    <w:tr2bl w:val="nil"/>
                  </w:tcBorders>
                  <w:vAlign w:val="center"/>
                </w:tcPr>
                <w:p w14:paraId="60E032E3">
                  <w:pPr>
                    <w:widowControl/>
                    <w:adjustRightInd w:val="0"/>
                    <w:snapToGrid w:val="0"/>
                    <w:jc w:val="center"/>
                    <w:rPr>
                      <w:color w:val="auto"/>
                      <w:szCs w:val="21"/>
                      <w:highlight w:val="none"/>
                    </w:rPr>
                  </w:pPr>
                  <w:r>
                    <w:rPr>
                      <w:rFonts w:hint="eastAsia"/>
                      <w:color w:val="auto"/>
                      <w:szCs w:val="21"/>
                      <w:highlight w:val="none"/>
                    </w:rPr>
                    <w:t>振动筛</w:t>
                  </w:r>
                </w:p>
              </w:tc>
              <w:tc>
                <w:tcPr>
                  <w:tcW w:w="716" w:type="dxa"/>
                  <w:tcBorders>
                    <w:tl2br w:val="nil"/>
                    <w:tr2bl w:val="nil"/>
                  </w:tcBorders>
                  <w:vAlign w:val="center"/>
                </w:tcPr>
                <w:p w14:paraId="140D0A4B">
                  <w:pPr>
                    <w:widowControl/>
                    <w:adjustRightInd w:val="0"/>
                    <w:snapToGrid w:val="0"/>
                    <w:jc w:val="center"/>
                    <w:rPr>
                      <w:color w:val="auto"/>
                      <w:szCs w:val="21"/>
                      <w:highlight w:val="none"/>
                    </w:rPr>
                  </w:pPr>
                  <w:r>
                    <w:rPr>
                      <w:color w:val="auto"/>
                      <w:kern w:val="0"/>
                      <w:szCs w:val="21"/>
                      <w:highlight w:val="none"/>
                    </w:rPr>
                    <w:t>1</w:t>
                  </w:r>
                  <w:r>
                    <w:rPr>
                      <w:rFonts w:hint="eastAsia"/>
                      <w:color w:val="auto"/>
                      <w:kern w:val="0"/>
                      <w:szCs w:val="21"/>
                      <w:highlight w:val="none"/>
                    </w:rPr>
                    <w:t>台</w:t>
                  </w:r>
                </w:p>
              </w:tc>
              <w:tc>
                <w:tcPr>
                  <w:tcW w:w="1084" w:type="dxa"/>
                  <w:tcBorders>
                    <w:tl2br w:val="nil"/>
                    <w:tr2bl w:val="nil"/>
                  </w:tcBorders>
                  <w:vAlign w:val="center"/>
                </w:tcPr>
                <w:p w14:paraId="5350968B">
                  <w:pPr>
                    <w:jc w:val="center"/>
                    <w:rPr>
                      <w:color w:val="auto"/>
                      <w:szCs w:val="21"/>
                      <w:highlight w:val="none"/>
                    </w:rPr>
                  </w:pPr>
                  <w:r>
                    <w:rPr>
                      <w:rFonts w:hint="eastAsia"/>
                      <w:color w:val="auto"/>
                      <w:szCs w:val="21"/>
                      <w:highlight w:val="none"/>
                    </w:rPr>
                    <w:t>80</w:t>
                  </w:r>
                </w:p>
              </w:tc>
              <w:tc>
                <w:tcPr>
                  <w:tcW w:w="1000" w:type="dxa"/>
                  <w:tcBorders>
                    <w:tl2br w:val="nil"/>
                    <w:tr2bl w:val="nil"/>
                  </w:tcBorders>
                  <w:vAlign w:val="center"/>
                </w:tcPr>
                <w:p w14:paraId="55AC2E48">
                  <w:pPr>
                    <w:jc w:val="center"/>
                    <w:rPr>
                      <w:color w:val="auto"/>
                      <w:highlight w:val="none"/>
                    </w:rPr>
                  </w:pPr>
                  <w:r>
                    <w:rPr>
                      <w:rFonts w:hint="eastAsia"/>
                      <w:color w:val="auto"/>
                      <w:highlight w:val="none"/>
                    </w:rPr>
                    <w:t>稳态</w:t>
                  </w:r>
                </w:p>
              </w:tc>
              <w:tc>
                <w:tcPr>
                  <w:tcW w:w="2030" w:type="dxa"/>
                  <w:vMerge w:val="continue"/>
                  <w:tcBorders>
                    <w:tl2br w:val="nil"/>
                    <w:tr2bl w:val="nil"/>
                  </w:tcBorders>
                </w:tcPr>
                <w:p w14:paraId="49786D8D">
                  <w:pPr>
                    <w:rPr>
                      <w:rFonts w:ascii="Calibri" w:hAnsi="Calibri" w:cs="Calibri"/>
                      <w:color w:val="auto"/>
                      <w:szCs w:val="22"/>
                      <w:highlight w:val="none"/>
                    </w:rPr>
                  </w:pPr>
                </w:p>
              </w:tc>
              <w:tc>
                <w:tcPr>
                  <w:tcW w:w="1199" w:type="dxa"/>
                  <w:tcBorders>
                    <w:tl2br w:val="nil"/>
                    <w:tr2bl w:val="nil"/>
                  </w:tcBorders>
                  <w:vAlign w:val="center"/>
                </w:tcPr>
                <w:p w14:paraId="2C0F9B8E">
                  <w:pPr>
                    <w:jc w:val="center"/>
                    <w:rPr>
                      <w:color w:val="auto"/>
                      <w:highlight w:val="none"/>
                    </w:rPr>
                  </w:pPr>
                  <w:r>
                    <w:rPr>
                      <w:color w:val="auto"/>
                      <w:highlight w:val="none"/>
                    </w:rPr>
                    <w:t>＜</w:t>
                  </w:r>
                  <w:r>
                    <w:rPr>
                      <w:rFonts w:hint="eastAsia"/>
                      <w:color w:val="auto"/>
                      <w:highlight w:val="none"/>
                    </w:rPr>
                    <w:t>65</w:t>
                  </w:r>
                </w:p>
              </w:tc>
            </w:tr>
            <w:tr w14:paraId="6C47DC9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71" w:type="dxa"/>
                  <w:tcBorders>
                    <w:tl2br w:val="nil"/>
                    <w:tr2bl w:val="nil"/>
                  </w:tcBorders>
                  <w:vAlign w:val="center"/>
                </w:tcPr>
                <w:p w14:paraId="49D0FA81">
                  <w:pPr>
                    <w:jc w:val="center"/>
                    <w:rPr>
                      <w:color w:val="auto"/>
                      <w:spacing w:val="-1"/>
                      <w:szCs w:val="21"/>
                      <w:highlight w:val="none"/>
                    </w:rPr>
                  </w:pPr>
                  <w:r>
                    <w:rPr>
                      <w:rFonts w:hint="eastAsia"/>
                      <w:color w:val="auto"/>
                      <w:spacing w:val="-1"/>
                      <w:szCs w:val="21"/>
                      <w:highlight w:val="none"/>
                    </w:rPr>
                    <w:t>13</w:t>
                  </w:r>
                </w:p>
              </w:tc>
              <w:tc>
                <w:tcPr>
                  <w:tcW w:w="1795" w:type="dxa"/>
                  <w:tcBorders>
                    <w:tl2br w:val="nil"/>
                    <w:tr2bl w:val="nil"/>
                  </w:tcBorders>
                  <w:vAlign w:val="center"/>
                </w:tcPr>
                <w:p w14:paraId="7126F443">
                  <w:pPr>
                    <w:widowControl/>
                    <w:adjustRightInd w:val="0"/>
                    <w:snapToGrid w:val="0"/>
                    <w:jc w:val="center"/>
                    <w:rPr>
                      <w:color w:val="auto"/>
                      <w:szCs w:val="21"/>
                      <w:highlight w:val="none"/>
                    </w:rPr>
                  </w:pPr>
                  <w:r>
                    <w:rPr>
                      <w:rFonts w:hint="eastAsia"/>
                      <w:color w:val="auto"/>
                      <w:szCs w:val="21"/>
                      <w:highlight w:val="none"/>
                    </w:rPr>
                    <w:t>真空油炸机</w:t>
                  </w:r>
                </w:p>
              </w:tc>
              <w:tc>
                <w:tcPr>
                  <w:tcW w:w="716" w:type="dxa"/>
                  <w:tcBorders>
                    <w:tl2br w:val="nil"/>
                    <w:tr2bl w:val="nil"/>
                  </w:tcBorders>
                  <w:vAlign w:val="center"/>
                </w:tcPr>
                <w:p w14:paraId="7E75A087">
                  <w:pPr>
                    <w:widowControl/>
                    <w:adjustRightInd w:val="0"/>
                    <w:snapToGrid w:val="0"/>
                    <w:jc w:val="center"/>
                    <w:rPr>
                      <w:color w:val="auto"/>
                      <w:szCs w:val="21"/>
                      <w:highlight w:val="none"/>
                    </w:rPr>
                  </w:pPr>
                  <w:r>
                    <w:rPr>
                      <w:color w:val="auto"/>
                      <w:kern w:val="0"/>
                      <w:szCs w:val="21"/>
                      <w:highlight w:val="none"/>
                    </w:rPr>
                    <w:t>1</w:t>
                  </w:r>
                  <w:r>
                    <w:rPr>
                      <w:rFonts w:hint="eastAsia"/>
                      <w:color w:val="auto"/>
                      <w:kern w:val="0"/>
                      <w:szCs w:val="21"/>
                      <w:highlight w:val="none"/>
                    </w:rPr>
                    <w:t>台</w:t>
                  </w:r>
                </w:p>
              </w:tc>
              <w:tc>
                <w:tcPr>
                  <w:tcW w:w="1084" w:type="dxa"/>
                  <w:tcBorders>
                    <w:tl2br w:val="nil"/>
                    <w:tr2bl w:val="nil"/>
                  </w:tcBorders>
                  <w:vAlign w:val="center"/>
                </w:tcPr>
                <w:p w14:paraId="019C545B">
                  <w:pPr>
                    <w:jc w:val="center"/>
                    <w:rPr>
                      <w:color w:val="auto"/>
                      <w:szCs w:val="21"/>
                      <w:highlight w:val="none"/>
                    </w:rPr>
                  </w:pPr>
                  <w:r>
                    <w:rPr>
                      <w:rFonts w:hint="eastAsia"/>
                      <w:color w:val="auto"/>
                      <w:szCs w:val="21"/>
                      <w:highlight w:val="none"/>
                    </w:rPr>
                    <w:t>80</w:t>
                  </w:r>
                </w:p>
              </w:tc>
              <w:tc>
                <w:tcPr>
                  <w:tcW w:w="1000" w:type="dxa"/>
                  <w:tcBorders>
                    <w:tl2br w:val="nil"/>
                    <w:tr2bl w:val="nil"/>
                  </w:tcBorders>
                  <w:vAlign w:val="center"/>
                </w:tcPr>
                <w:p w14:paraId="655CDD88">
                  <w:pPr>
                    <w:jc w:val="center"/>
                    <w:rPr>
                      <w:color w:val="auto"/>
                      <w:highlight w:val="none"/>
                    </w:rPr>
                  </w:pPr>
                  <w:r>
                    <w:rPr>
                      <w:rFonts w:hint="eastAsia"/>
                      <w:color w:val="auto"/>
                      <w:highlight w:val="none"/>
                    </w:rPr>
                    <w:t>稳态</w:t>
                  </w:r>
                </w:p>
              </w:tc>
              <w:tc>
                <w:tcPr>
                  <w:tcW w:w="2030" w:type="dxa"/>
                  <w:vMerge w:val="continue"/>
                  <w:tcBorders>
                    <w:tl2br w:val="nil"/>
                    <w:tr2bl w:val="nil"/>
                  </w:tcBorders>
                </w:tcPr>
                <w:p w14:paraId="36AB8645">
                  <w:pPr>
                    <w:rPr>
                      <w:rFonts w:ascii="Calibri" w:hAnsi="Calibri" w:cs="Calibri"/>
                      <w:color w:val="auto"/>
                      <w:szCs w:val="22"/>
                      <w:highlight w:val="none"/>
                    </w:rPr>
                  </w:pPr>
                </w:p>
              </w:tc>
              <w:tc>
                <w:tcPr>
                  <w:tcW w:w="1199" w:type="dxa"/>
                  <w:tcBorders>
                    <w:tl2br w:val="nil"/>
                    <w:tr2bl w:val="nil"/>
                  </w:tcBorders>
                  <w:vAlign w:val="center"/>
                </w:tcPr>
                <w:p w14:paraId="6D4ADE87">
                  <w:pPr>
                    <w:jc w:val="center"/>
                    <w:rPr>
                      <w:color w:val="auto"/>
                      <w:highlight w:val="none"/>
                    </w:rPr>
                  </w:pPr>
                  <w:r>
                    <w:rPr>
                      <w:color w:val="auto"/>
                      <w:highlight w:val="none"/>
                    </w:rPr>
                    <w:t>＜</w:t>
                  </w:r>
                  <w:r>
                    <w:rPr>
                      <w:rFonts w:hint="eastAsia"/>
                      <w:color w:val="auto"/>
                      <w:highlight w:val="none"/>
                    </w:rPr>
                    <w:t>65</w:t>
                  </w:r>
                </w:p>
              </w:tc>
            </w:tr>
            <w:tr w14:paraId="59680E4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71" w:type="dxa"/>
                  <w:tcBorders>
                    <w:tl2br w:val="nil"/>
                    <w:tr2bl w:val="nil"/>
                  </w:tcBorders>
                  <w:vAlign w:val="center"/>
                </w:tcPr>
                <w:p w14:paraId="1BE6C7A7">
                  <w:pPr>
                    <w:jc w:val="center"/>
                    <w:rPr>
                      <w:color w:val="auto"/>
                      <w:spacing w:val="-1"/>
                      <w:szCs w:val="21"/>
                      <w:highlight w:val="none"/>
                    </w:rPr>
                  </w:pPr>
                  <w:r>
                    <w:rPr>
                      <w:rFonts w:hint="eastAsia"/>
                      <w:color w:val="auto"/>
                      <w:spacing w:val="-1"/>
                      <w:szCs w:val="21"/>
                      <w:highlight w:val="none"/>
                    </w:rPr>
                    <w:t>14</w:t>
                  </w:r>
                </w:p>
              </w:tc>
              <w:tc>
                <w:tcPr>
                  <w:tcW w:w="1795" w:type="dxa"/>
                  <w:tcBorders>
                    <w:tl2br w:val="nil"/>
                    <w:tr2bl w:val="nil"/>
                  </w:tcBorders>
                  <w:vAlign w:val="center"/>
                </w:tcPr>
                <w:p w14:paraId="7F86250F">
                  <w:pPr>
                    <w:widowControl/>
                    <w:adjustRightInd w:val="0"/>
                    <w:snapToGrid w:val="0"/>
                    <w:jc w:val="center"/>
                    <w:rPr>
                      <w:color w:val="auto"/>
                      <w:szCs w:val="21"/>
                      <w:highlight w:val="none"/>
                    </w:rPr>
                  </w:pPr>
                  <w:r>
                    <w:rPr>
                      <w:rFonts w:hint="eastAsia"/>
                      <w:color w:val="auto"/>
                      <w:szCs w:val="21"/>
                      <w:highlight w:val="none"/>
                    </w:rPr>
                    <w:t>翻料器</w:t>
                  </w:r>
                </w:p>
              </w:tc>
              <w:tc>
                <w:tcPr>
                  <w:tcW w:w="716" w:type="dxa"/>
                  <w:tcBorders>
                    <w:tl2br w:val="nil"/>
                    <w:tr2bl w:val="nil"/>
                  </w:tcBorders>
                  <w:vAlign w:val="center"/>
                </w:tcPr>
                <w:p w14:paraId="5848B705">
                  <w:pPr>
                    <w:widowControl/>
                    <w:adjustRightInd w:val="0"/>
                    <w:snapToGrid w:val="0"/>
                    <w:jc w:val="center"/>
                    <w:rPr>
                      <w:color w:val="auto"/>
                      <w:szCs w:val="21"/>
                      <w:highlight w:val="none"/>
                    </w:rPr>
                  </w:pPr>
                  <w:r>
                    <w:rPr>
                      <w:color w:val="auto"/>
                      <w:kern w:val="0"/>
                      <w:szCs w:val="21"/>
                      <w:highlight w:val="none"/>
                    </w:rPr>
                    <w:t>1</w:t>
                  </w:r>
                  <w:r>
                    <w:rPr>
                      <w:rFonts w:hint="eastAsia"/>
                      <w:color w:val="auto"/>
                      <w:kern w:val="0"/>
                      <w:szCs w:val="21"/>
                      <w:highlight w:val="none"/>
                    </w:rPr>
                    <w:t>台</w:t>
                  </w:r>
                </w:p>
              </w:tc>
              <w:tc>
                <w:tcPr>
                  <w:tcW w:w="1084" w:type="dxa"/>
                  <w:tcBorders>
                    <w:tl2br w:val="nil"/>
                    <w:tr2bl w:val="nil"/>
                  </w:tcBorders>
                  <w:vAlign w:val="center"/>
                </w:tcPr>
                <w:p w14:paraId="78A21D58">
                  <w:pPr>
                    <w:jc w:val="center"/>
                    <w:rPr>
                      <w:color w:val="auto"/>
                      <w:szCs w:val="21"/>
                      <w:highlight w:val="none"/>
                    </w:rPr>
                  </w:pPr>
                  <w:r>
                    <w:rPr>
                      <w:rFonts w:hint="eastAsia"/>
                      <w:color w:val="auto"/>
                      <w:szCs w:val="21"/>
                      <w:highlight w:val="none"/>
                    </w:rPr>
                    <w:t>80</w:t>
                  </w:r>
                </w:p>
              </w:tc>
              <w:tc>
                <w:tcPr>
                  <w:tcW w:w="1000" w:type="dxa"/>
                  <w:tcBorders>
                    <w:tl2br w:val="nil"/>
                    <w:tr2bl w:val="nil"/>
                  </w:tcBorders>
                  <w:vAlign w:val="center"/>
                </w:tcPr>
                <w:p w14:paraId="7E4CB3B3">
                  <w:pPr>
                    <w:jc w:val="center"/>
                    <w:rPr>
                      <w:color w:val="auto"/>
                      <w:highlight w:val="none"/>
                    </w:rPr>
                  </w:pPr>
                  <w:r>
                    <w:rPr>
                      <w:rFonts w:hint="eastAsia"/>
                      <w:color w:val="auto"/>
                      <w:highlight w:val="none"/>
                    </w:rPr>
                    <w:t>稳态</w:t>
                  </w:r>
                </w:p>
              </w:tc>
              <w:tc>
                <w:tcPr>
                  <w:tcW w:w="2030" w:type="dxa"/>
                  <w:vMerge w:val="continue"/>
                  <w:tcBorders>
                    <w:tl2br w:val="nil"/>
                    <w:tr2bl w:val="nil"/>
                  </w:tcBorders>
                </w:tcPr>
                <w:p w14:paraId="5F96C83F">
                  <w:pPr>
                    <w:rPr>
                      <w:rFonts w:ascii="Calibri" w:hAnsi="Calibri" w:cs="Calibri"/>
                      <w:color w:val="auto"/>
                      <w:szCs w:val="22"/>
                      <w:highlight w:val="none"/>
                    </w:rPr>
                  </w:pPr>
                </w:p>
              </w:tc>
              <w:tc>
                <w:tcPr>
                  <w:tcW w:w="1199" w:type="dxa"/>
                  <w:tcBorders>
                    <w:tl2br w:val="nil"/>
                    <w:tr2bl w:val="nil"/>
                  </w:tcBorders>
                  <w:vAlign w:val="center"/>
                </w:tcPr>
                <w:p w14:paraId="368CFA38">
                  <w:pPr>
                    <w:jc w:val="center"/>
                    <w:rPr>
                      <w:color w:val="auto"/>
                      <w:highlight w:val="none"/>
                    </w:rPr>
                  </w:pPr>
                  <w:r>
                    <w:rPr>
                      <w:color w:val="auto"/>
                      <w:highlight w:val="none"/>
                    </w:rPr>
                    <w:t>＜</w:t>
                  </w:r>
                  <w:r>
                    <w:rPr>
                      <w:rFonts w:hint="eastAsia"/>
                      <w:color w:val="auto"/>
                      <w:highlight w:val="none"/>
                    </w:rPr>
                    <w:t>65</w:t>
                  </w:r>
                </w:p>
              </w:tc>
            </w:tr>
            <w:tr w14:paraId="6669290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71" w:type="dxa"/>
                  <w:tcBorders>
                    <w:tl2br w:val="nil"/>
                    <w:tr2bl w:val="nil"/>
                  </w:tcBorders>
                  <w:vAlign w:val="center"/>
                </w:tcPr>
                <w:p w14:paraId="07F9CFFC">
                  <w:pPr>
                    <w:jc w:val="center"/>
                    <w:rPr>
                      <w:color w:val="auto"/>
                      <w:spacing w:val="-1"/>
                      <w:szCs w:val="21"/>
                      <w:highlight w:val="none"/>
                    </w:rPr>
                  </w:pPr>
                  <w:r>
                    <w:rPr>
                      <w:rFonts w:hint="eastAsia"/>
                      <w:color w:val="auto"/>
                      <w:spacing w:val="-1"/>
                      <w:szCs w:val="21"/>
                      <w:highlight w:val="none"/>
                    </w:rPr>
                    <w:t>15</w:t>
                  </w:r>
                </w:p>
              </w:tc>
              <w:tc>
                <w:tcPr>
                  <w:tcW w:w="1795" w:type="dxa"/>
                  <w:tcBorders>
                    <w:tl2br w:val="nil"/>
                    <w:tr2bl w:val="nil"/>
                  </w:tcBorders>
                  <w:vAlign w:val="center"/>
                </w:tcPr>
                <w:p w14:paraId="15AC9D83">
                  <w:pPr>
                    <w:widowControl/>
                    <w:adjustRightInd w:val="0"/>
                    <w:snapToGrid w:val="0"/>
                    <w:jc w:val="center"/>
                    <w:rPr>
                      <w:color w:val="auto"/>
                      <w:szCs w:val="21"/>
                      <w:highlight w:val="none"/>
                    </w:rPr>
                  </w:pPr>
                  <w:bookmarkStart w:id="8" w:name="OLE_LINK13"/>
                  <w:r>
                    <w:rPr>
                      <w:color w:val="auto"/>
                      <w:kern w:val="0"/>
                      <w:szCs w:val="21"/>
                      <w:highlight w:val="none"/>
                    </w:rPr>
                    <w:t>烘干</w:t>
                  </w:r>
                  <w:r>
                    <w:rPr>
                      <w:rFonts w:hint="eastAsia"/>
                      <w:color w:val="auto"/>
                      <w:kern w:val="0"/>
                      <w:szCs w:val="21"/>
                      <w:highlight w:val="none"/>
                    </w:rPr>
                    <w:t>机</w:t>
                  </w:r>
                  <w:bookmarkEnd w:id="8"/>
                </w:p>
              </w:tc>
              <w:tc>
                <w:tcPr>
                  <w:tcW w:w="716" w:type="dxa"/>
                  <w:tcBorders>
                    <w:tl2br w:val="nil"/>
                    <w:tr2bl w:val="nil"/>
                  </w:tcBorders>
                  <w:vAlign w:val="center"/>
                </w:tcPr>
                <w:p w14:paraId="1A236F74">
                  <w:pPr>
                    <w:widowControl/>
                    <w:adjustRightInd w:val="0"/>
                    <w:snapToGrid w:val="0"/>
                    <w:jc w:val="center"/>
                    <w:rPr>
                      <w:color w:val="auto"/>
                      <w:szCs w:val="21"/>
                      <w:highlight w:val="none"/>
                    </w:rPr>
                  </w:pPr>
                  <w:r>
                    <w:rPr>
                      <w:color w:val="auto"/>
                      <w:kern w:val="0"/>
                      <w:szCs w:val="21"/>
                      <w:highlight w:val="none"/>
                    </w:rPr>
                    <w:t>1</w:t>
                  </w:r>
                  <w:r>
                    <w:rPr>
                      <w:rFonts w:hint="eastAsia"/>
                      <w:color w:val="auto"/>
                      <w:kern w:val="0"/>
                      <w:szCs w:val="21"/>
                      <w:highlight w:val="none"/>
                    </w:rPr>
                    <w:t>台</w:t>
                  </w:r>
                </w:p>
              </w:tc>
              <w:tc>
                <w:tcPr>
                  <w:tcW w:w="1084" w:type="dxa"/>
                  <w:tcBorders>
                    <w:tl2br w:val="nil"/>
                    <w:tr2bl w:val="nil"/>
                  </w:tcBorders>
                  <w:vAlign w:val="center"/>
                </w:tcPr>
                <w:p w14:paraId="5C7765D8">
                  <w:pPr>
                    <w:jc w:val="center"/>
                    <w:rPr>
                      <w:color w:val="auto"/>
                      <w:szCs w:val="21"/>
                      <w:highlight w:val="none"/>
                    </w:rPr>
                  </w:pPr>
                  <w:r>
                    <w:rPr>
                      <w:rFonts w:hint="eastAsia"/>
                      <w:color w:val="auto"/>
                      <w:szCs w:val="21"/>
                      <w:highlight w:val="none"/>
                    </w:rPr>
                    <w:t>85</w:t>
                  </w:r>
                </w:p>
              </w:tc>
              <w:tc>
                <w:tcPr>
                  <w:tcW w:w="1000" w:type="dxa"/>
                  <w:tcBorders>
                    <w:tl2br w:val="nil"/>
                    <w:tr2bl w:val="nil"/>
                  </w:tcBorders>
                  <w:vAlign w:val="center"/>
                </w:tcPr>
                <w:p w14:paraId="6B8AEBDA">
                  <w:pPr>
                    <w:jc w:val="center"/>
                    <w:rPr>
                      <w:color w:val="auto"/>
                      <w:highlight w:val="none"/>
                    </w:rPr>
                  </w:pPr>
                  <w:r>
                    <w:rPr>
                      <w:rFonts w:hint="eastAsia"/>
                      <w:color w:val="auto"/>
                      <w:highlight w:val="none"/>
                    </w:rPr>
                    <w:t>稳态</w:t>
                  </w:r>
                </w:p>
              </w:tc>
              <w:tc>
                <w:tcPr>
                  <w:tcW w:w="2030" w:type="dxa"/>
                  <w:vMerge w:val="continue"/>
                  <w:tcBorders>
                    <w:tl2br w:val="nil"/>
                    <w:tr2bl w:val="nil"/>
                  </w:tcBorders>
                </w:tcPr>
                <w:p w14:paraId="4B8708F9">
                  <w:pPr>
                    <w:rPr>
                      <w:rFonts w:ascii="Calibri" w:hAnsi="Calibri" w:cs="Calibri"/>
                      <w:color w:val="auto"/>
                      <w:szCs w:val="22"/>
                      <w:highlight w:val="none"/>
                    </w:rPr>
                  </w:pPr>
                </w:p>
              </w:tc>
              <w:tc>
                <w:tcPr>
                  <w:tcW w:w="1199" w:type="dxa"/>
                  <w:tcBorders>
                    <w:tl2br w:val="nil"/>
                    <w:tr2bl w:val="nil"/>
                  </w:tcBorders>
                  <w:vAlign w:val="center"/>
                </w:tcPr>
                <w:p w14:paraId="16701F30">
                  <w:pPr>
                    <w:jc w:val="center"/>
                    <w:rPr>
                      <w:color w:val="auto"/>
                      <w:highlight w:val="none"/>
                    </w:rPr>
                  </w:pPr>
                  <w:r>
                    <w:rPr>
                      <w:color w:val="auto"/>
                      <w:highlight w:val="none"/>
                    </w:rPr>
                    <w:t>＜</w:t>
                  </w:r>
                  <w:r>
                    <w:rPr>
                      <w:rFonts w:hint="eastAsia"/>
                      <w:color w:val="auto"/>
                      <w:highlight w:val="none"/>
                    </w:rPr>
                    <w:t>70</w:t>
                  </w:r>
                </w:p>
              </w:tc>
            </w:tr>
            <w:tr w14:paraId="33A5C58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71" w:type="dxa"/>
                  <w:tcBorders>
                    <w:tl2br w:val="nil"/>
                    <w:tr2bl w:val="nil"/>
                  </w:tcBorders>
                  <w:vAlign w:val="center"/>
                </w:tcPr>
                <w:p w14:paraId="6B582BBD">
                  <w:pPr>
                    <w:jc w:val="center"/>
                    <w:rPr>
                      <w:color w:val="auto"/>
                      <w:spacing w:val="-1"/>
                      <w:szCs w:val="21"/>
                      <w:highlight w:val="none"/>
                    </w:rPr>
                  </w:pPr>
                  <w:r>
                    <w:rPr>
                      <w:rFonts w:hint="eastAsia"/>
                      <w:color w:val="auto"/>
                      <w:spacing w:val="-1"/>
                      <w:szCs w:val="21"/>
                      <w:highlight w:val="none"/>
                    </w:rPr>
                    <w:t>16</w:t>
                  </w:r>
                </w:p>
              </w:tc>
              <w:tc>
                <w:tcPr>
                  <w:tcW w:w="1795" w:type="dxa"/>
                  <w:tcBorders>
                    <w:tl2br w:val="nil"/>
                    <w:tr2bl w:val="nil"/>
                  </w:tcBorders>
                  <w:vAlign w:val="center"/>
                </w:tcPr>
                <w:p w14:paraId="3092D9F6">
                  <w:pPr>
                    <w:widowControl/>
                    <w:adjustRightInd w:val="0"/>
                    <w:snapToGrid w:val="0"/>
                    <w:jc w:val="center"/>
                    <w:rPr>
                      <w:color w:val="auto"/>
                      <w:szCs w:val="21"/>
                      <w:highlight w:val="none"/>
                    </w:rPr>
                  </w:pPr>
                  <w:r>
                    <w:rPr>
                      <w:rFonts w:hint="eastAsia"/>
                      <w:color w:val="auto"/>
                      <w:szCs w:val="21"/>
                      <w:highlight w:val="none"/>
                    </w:rPr>
                    <w:t>空压机</w:t>
                  </w:r>
                </w:p>
              </w:tc>
              <w:tc>
                <w:tcPr>
                  <w:tcW w:w="716" w:type="dxa"/>
                  <w:tcBorders>
                    <w:tl2br w:val="nil"/>
                    <w:tr2bl w:val="nil"/>
                  </w:tcBorders>
                  <w:vAlign w:val="center"/>
                </w:tcPr>
                <w:p w14:paraId="0CC08637">
                  <w:pPr>
                    <w:widowControl/>
                    <w:adjustRightInd w:val="0"/>
                    <w:snapToGrid w:val="0"/>
                    <w:jc w:val="center"/>
                    <w:rPr>
                      <w:color w:val="auto"/>
                      <w:szCs w:val="21"/>
                      <w:highlight w:val="none"/>
                    </w:rPr>
                  </w:pPr>
                  <w:r>
                    <w:rPr>
                      <w:color w:val="auto"/>
                      <w:kern w:val="0"/>
                      <w:szCs w:val="21"/>
                      <w:highlight w:val="none"/>
                    </w:rPr>
                    <w:t>1</w:t>
                  </w:r>
                  <w:r>
                    <w:rPr>
                      <w:rFonts w:hint="eastAsia"/>
                      <w:color w:val="auto"/>
                      <w:kern w:val="0"/>
                      <w:szCs w:val="21"/>
                      <w:highlight w:val="none"/>
                    </w:rPr>
                    <w:t>台</w:t>
                  </w:r>
                </w:p>
              </w:tc>
              <w:tc>
                <w:tcPr>
                  <w:tcW w:w="1084" w:type="dxa"/>
                  <w:tcBorders>
                    <w:tl2br w:val="nil"/>
                    <w:tr2bl w:val="nil"/>
                  </w:tcBorders>
                  <w:vAlign w:val="center"/>
                </w:tcPr>
                <w:p w14:paraId="50E9A945">
                  <w:pPr>
                    <w:jc w:val="center"/>
                    <w:rPr>
                      <w:color w:val="auto"/>
                      <w:szCs w:val="21"/>
                      <w:highlight w:val="none"/>
                    </w:rPr>
                  </w:pPr>
                  <w:r>
                    <w:rPr>
                      <w:rFonts w:hint="eastAsia"/>
                      <w:color w:val="auto"/>
                      <w:szCs w:val="21"/>
                      <w:highlight w:val="none"/>
                    </w:rPr>
                    <w:t>85</w:t>
                  </w:r>
                </w:p>
              </w:tc>
              <w:tc>
                <w:tcPr>
                  <w:tcW w:w="1000" w:type="dxa"/>
                  <w:tcBorders>
                    <w:tl2br w:val="nil"/>
                    <w:tr2bl w:val="nil"/>
                  </w:tcBorders>
                  <w:vAlign w:val="center"/>
                </w:tcPr>
                <w:p w14:paraId="2F0FAC3C">
                  <w:pPr>
                    <w:jc w:val="center"/>
                    <w:rPr>
                      <w:color w:val="auto"/>
                      <w:highlight w:val="none"/>
                    </w:rPr>
                  </w:pPr>
                  <w:r>
                    <w:rPr>
                      <w:rFonts w:hint="eastAsia"/>
                      <w:color w:val="auto"/>
                      <w:highlight w:val="none"/>
                    </w:rPr>
                    <w:t>稳态</w:t>
                  </w:r>
                </w:p>
              </w:tc>
              <w:tc>
                <w:tcPr>
                  <w:tcW w:w="2030" w:type="dxa"/>
                  <w:vMerge w:val="continue"/>
                  <w:tcBorders>
                    <w:tl2br w:val="nil"/>
                    <w:tr2bl w:val="nil"/>
                  </w:tcBorders>
                </w:tcPr>
                <w:p w14:paraId="074F506B">
                  <w:pPr>
                    <w:rPr>
                      <w:rFonts w:ascii="Calibri" w:hAnsi="Calibri" w:cs="Calibri"/>
                      <w:color w:val="auto"/>
                      <w:szCs w:val="22"/>
                      <w:highlight w:val="none"/>
                    </w:rPr>
                  </w:pPr>
                </w:p>
              </w:tc>
              <w:tc>
                <w:tcPr>
                  <w:tcW w:w="1199" w:type="dxa"/>
                  <w:tcBorders>
                    <w:tl2br w:val="nil"/>
                    <w:tr2bl w:val="nil"/>
                  </w:tcBorders>
                  <w:vAlign w:val="center"/>
                </w:tcPr>
                <w:p w14:paraId="08CCCB74">
                  <w:pPr>
                    <w:jc w:val="center"/>
                    <w:rPr>
                      <w:color w:val="auto"/>
                      <w:highlight w:val="none"/>
                    </w:rPr>
                  </w:pPr>
                  <w:r>
                    <w:rPr>
                      <w:color w:val="auto"/>
                      <w:highlight w:val="none"/>
                    </w:rPr>
                    <w:t>＜</w:t>
                  </w:r>
                  <w:r>
                    <w:rPr>
                      <w:rFonts w:hint="eastAsia"/>
                      <w:color w:val="auto"/>
                      <w:highlight w:val="none"/>
                    </w:rPr>
                    <w:t>70</w:t>
                  </w:r>
                </w:p>
              </w:tc>
            </w:tr>
            <w:tr w14:paraId="4E17FE4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71" w:type="dxa"/>
                  <w:tcBorders>
                    <w:tl2br w:val="nil"/>
                    <w:tr2bl w:val="nil"/>
                  </w:tcBorders>
                  <w:vAlign w:val="center"/>
                </w:tcPr>
                <w:p w14:paraId="7998BD10">
                  <w:pPr>
                    <w:jc w:val="center"/>
                    <w:rPr>
                      <w:color w:val="auto"/>
                      <w:spacing w:val="-1"/>
                      <w:szCs w:val="21"/>
                      <w:highlight w:val="none"/>
                    </w:rPr>
                  </w:pPr>
                  <w:r>
                    <w:rPr>
                      <w:rFonts w:hint="eastAsia"/>
                      <w:color w:val="auto"/>
                      <w:spacing w:val="-1"/>
                      <w:szCs w:val="21"/>
                      <w:highlight w:val="none"/>
                    </w:rPr>
                    <w:t>17</w:t>
                  </w:r>
                </w:p>
              </w:tc>
              <w:tc>
                <w:tcPr>
                  <w:tcW w:w="1795" w:type="dxa"/>
                  <w:tcBorders>
                    <w:tl2br w:val="nil"/>
                    <w:tr2bl w:val="nil"/>
                  </w:tcBorders>
                  <w:vAlign w:val="center"/>
                </w:tcPr>
                <w:p w14:paraId="7399FEE7">
                  <w:pPr>
                    <w:widowControl/>
                    <w:adjustRightInd w:val="0"/>
                    <w:snapToGrid w:val="0"/>
                    <w:jc w:val="center"/>
                    <w:rPr>
                      <w:color w:val="auto"/>
                      <w:szCs w:val="21"/>
                      <w:highlight w:val="none"/>
                    </w:rPr>
                  </w:pPr>
                  <w:r>
                    <w:rPr>
                      <w:color w:val="auto"/>
                      <w:kern w:val="0"/>
                      <w:szCs w:val="21"/>
                      <w:highlight w:val="none"/>
                    </w:rPr>
                    <w:t>冷却</w:t>
                  </w:r>
                  <w:r>
                    <w:rPr>
                      <w:rFonts w:hint="eastAsia"/>
                      <w:color w:val="auto"/>
                      <w:kern w:val="0"/>
                      <w:szCs w:val="21"/>
                      <w:highlight w:val="none"/>
                    </w:rPr>
                    <w:t>机</w:t>
                  </w:r>
                </w:p>
              </w:tc>
              <w:tc>
                <w:tcPr>
                  <w:tcW w:w="716" w:type="dxa"/>
                  <w:tcBorders>
                    <w:tl2br w:val="nil"/>
                    <w:tr2bl w:val="nil"/>
                  </w:tcBorders>
                  <w:vAlign w:val="center"/>
                </w:tcPr>
                <w:p w14:paraId="75D4D9ED">
                  <w:pPr>
                    <w:widowControl/>
                    <w:adjustRightInd w:val="0"/>
                    <w:snapToGrid w:val="0"/>
                    <w:jc w:val="center"/>
                    <w:rPr>
                      <w:color w:val="auto"/>
                      <w:szCs w:val="21"/>
                      <w:highlight w:val="none"/>
                    </w:rPr>
                  </w:pPr>
                  <w:r>
                    <w:rPr>
                      <w:color w:val="auto"/>
                      <w:kern w:val="0"/>
                      <w:szCs w:val="21"/>
                      <w:highlight w:val="none"/>
                    </w:rPr>
                    <w:t>1</w:t>
                  </w:r>
                  <w:r>
                    <w:rPr>
                      <w:rFonts w:hint="eastAsia"/>
                      <w:color w:val="auto"/>
                      <w:kern w:val="0"/>
                      <w:szCs w:val="21"/>
                      <w:highlight w:val="none"/>
                    </w:rPr>
                    <w:t>台</w:t>
                  </w:r>
                </w:p>
              </w:tc>
              <w:tc>
                <w:tcPr>
                  <w:tcW w:w="1084" w:type="dxa"/>
                  <w:tcBorders>
                    <w:tl2br w:val="nil"/>
                    <w:tr2bl w:val="nil"/>
                  </w:tcBorders>
                  <w:vAlign w:val="center"/>
                </w:tcPr>
                <w:p w14:paraId="01B95C9A">
                  <w:pPr>
                    <w:jc w:val="center"/>
                    <w:rPr>
                      <w:color w:val="auto"/>
                      <w:szCs w:val="21"/>
                      <w:highlight w:val="none"/>
                    </w:rPr>
                  </w:pPr>
                  <w:r>
                    <w:rPr>
                      <w:rFonts w:hint="eastAsia"/>
                      <w:color w:val="auto"/>
                      <w:szCs w:val="21"/>
                      <w:highlight w:val="none"/>
                    </w:rPr>
                    <w:t>80</w:t>
                  </w:r>
                </w:p>
              </w:tc>
              <w:tc>
                <w:tcPr>
                  <w:tcW w:w="1000" w:type="dxa"/>
                  <w:tcBorders>
                    <w:tl2br w:val="nil"/>
                    <w:tr2bl w:val="nil"/>
                  </w:tcBorders>
                  <w:vAlign w:val="center"/>
                </w:tcPr>
                <w:p w14:paraId="3F222B08">
                  <w:pPr>
                    <w:jc w:val="center"/>
                    <w:rPr>
                      <w:color w:val="auto"/>
                      <w:highlight w:val="none"/>
                    </w:rPr>
                  </w:pPr>
                  <w:r>
                    <w:rPr>
                      <w:rFonts w:hint="eastAsia"/>
                      <w:color w:val="auto"/>
                      <w:highlight w:val="none"/>
                    </w:rPr>
                    <w:t>稳态</w:t>
                  </w:r>
                </w:p>
              </w:tc>
              <w:tc>
                <w:tcPr>
                  <w:tcW w:w="2030" w:type="dxa"/>
                  <w:vMerge w:val="continue"/>
                  <w:tcBorders>
                    <w:tl2br w:val="nil"/>
                    <w:tr2bl w:val="nil"/>
                  </w:tcBorders>
                </w:tcPr>
                <w:p w14:paraId="1CD99665">
                  <w:pPr>
                    <w:rPr>
                      <w:rFonts w:ascii="Calibri" w:hAnsi="Calibri" w:cs="Calibri"/>
                      <w:color w:val="auto"/>
                      <w:szCs w:val="22"/>
                      <w:highlight w:val="none"/>
                    </w:rPr>
                  </w:pPr>
                </w:p>
              </w:tc>
              <w:tc>
                <w:tcPr>
                  <w:tcW w:w="1199" w:type="dxa"/>
                  <w:tcBorders>
                    <w:tl2br w:val="nil"/>
                    <w:tr2bl w:val="nil"/>
                  </w:tcBorders>
                  <w:vAlign w:val="center"/>
                </w:tcPr>
                <w:p w14:paraId="626B6BEB">
                  <w:pPr>
                    <w:jc w:val="center"/>
                    <w:rPr>
                      <w:color w:val="auto"/>
                      <w:highlight w:val="none"/>
                    </w:rPr>
                  </w:pPr>
                  <w:r>
                    <w:rPr>
                      <w:color w:val="auto"/>
                      <w:highlight w:val="none"/>
                    </w:rPr>
                    <w:t>＜</w:t>
                  </w:r>
                  <w:r>
                    <w:rPr>
                      <w:rFonts w:hint="eastAsia"/>
                      <w:color w:val="auto"/>
                      <w:highlight w:val="none"/>
                    </w:rPr>
                    <w:t>65</w:t>
                  </w:r>
                </w:p>
              </w:tc>
            </w:tr>
            <w:tr w14:paraId="4DFF168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71" w:type="dxa"/>
                  <w:tcBorders>
                    <w:tl2br w:val="nil"/>
                    <w:tr2bl w:val="nil"/>
                  </w:tcBorders>
                  <w:vAlign w:val="center"/>
                </w:tcPr>
                <w:p w14:paraId="098380FB">
                  <w:pPr>
                    <w:jc w:val="center"/>
                    <w:rPr>
                      <w:color w:val="auto"/>
                      <w:spacing w:val="-1"/>
                      <w:szCs w:val="21"/>
                      <w:highlight w:val="none"/>
                    </w:rPr>
                  </w:pPr>
                  <w:r>
                    <w:rPr>
                      <w:rFonts w:hint="eastAsia"/>
                      <w:color w:val="auto"/>
                      <w:spacing w:val="-1"/>
                      <w:szCs w:val="21"/>
                      <w:highlight w:val="none"/>
                    </w:rPr>
                    <w:t>18</w:t>
                  </w:r>
                </w:p>
              </w:tc>
              <w:tc>
                <w:tcPr>
                  <w:tcW w:w="1795" w:type="dxa"/>
                  <w:tcBorders>
                    <w:tl2br w:val="nil"/>
                    <w:tr2bl w:val="nil"/>
                  </w:tcBorders>
                  <w:vAlign w:val="center"/>
                </w:tcPr>
                <w:p w14:paraId="14F7C8B8">
                  <w:pPr>
                    <w:widowControl/>
                    <w:adjustRightInd w:val="0"/>
                    <w:snapToGrid w:val="0"/>
                    <w:jc w:val="center"/>
                    <w:rPr>
                      <w:color w:val="auto"/>
                      <w:kern w:val="0"/>
                      <w:szCs w:val="21"/>
                      <w:highlight w:val="none"/>
                    </w:rPr>
                  </w:pPr>
                  <w:r>
                    <w:rPr>
                      <w:rFonts w:hint="eastAsia"/>
                      <w:color w:val="auto"/>
                      <w:kern w:val="0"/>
                      <w:szCs w:val="21"/>
                      <w:highlight w:val="none"/>
                    </w:rPr>
                    <w:t>生物质</w:t>
                  </w:r>
                  <w:r>
                    <w:rPr>
                      <w:color w:val="auto"/>
                      <w:kern w:val="0"/>
                      <w:szCs w:val="21"/>
                      <w:highlight w:val="none"/>
                    </w:rPr>
                    <w:t>锅炉</w:t>
                  </w:r>
                </w:p>
              </w:tc>
              <w:tc>
                <w:tcPr>
                  <w:tcW w:w="716" w:type="dxa"/>
                  <w:tcBorders>
                    <w:tl2br w:val="nil"/>
                    <w:tr2bl w:val="nil"/>
                  </w:tcBorders>
                  <w:vAlign w:val="center"/>
                </w:tcPr>
                <w:p w14:paraId="00DC02C7">
                  <w:pPr>
                    <w:widowControl/>
                    <w:adjustRightInd w:val="0"/>
                    <w:snapToGrid w:val="0"/>
                    <w:jc w:val="center"/>
                    <w:rPr>
                      <w:color w:val="auto"/>
                      <w:szCs w:val="21"/>
                      <w:highlight w:val="none"/>
                    </w:rPr>
                  </w:pPr>
                  <w:r>
                    <w:rPr>
                      <w:rFonts w:hint="eastAsia"/>
                      <w:color w:val="auto"/>
                      <w:kern w:val="0"/>
                      <w:szCs w:val="21"/>
                      <w:highlight w:val="none"/>
                    </w:rPr>
                    <w:t>2台</w:t>
                  </w:r>
                </w:p>
              </w:tc>
              <w:tc>
                <w:tcPr>
                  <w:tcW w:w="1084" w:type="dxa"/>
                  <w:tcBorders>
                    <w:tl2br w:val="nil"/>
                    <w:tr2bl w:val="nil"/>
                  </w:tcBorders>
                  <w:vAlign w:val="center"/>
                </w:tcPr>
                <w:p w14:paraId="13634E28">
                  <w:pPr>
                    <w:jc w:val="center"/>
                    <w:rPr>
                      <w:color w:val="auto"/>
                      <w:szCs w:val="21"/>
                      <w:highlight w:val="none"/>
                    </w:rPr>
                  </w:pPr>
                  <w:r>
                    <w:rPr>
                      <w:rFonts w:hint="eastAsia"/>
                      <w:color w:val="auto"/>
                      <w:szCs w:val="21"/>
                      <w:highlight w:val="none"/>
                    </w:rPr>
                    <w:t>85</w:t>
                  </w:r>
                </w:p>
              </w:tc>
              <w:tc>
                <w:tcPr>
                  <w:tcW w:w="1000" w:type="dxa"/>
                  <w:tcBorders>
                    <w:tl2br w:val="nil"/>
                    <w:tr2bl w:val="nil"/>
                  </w:tcBorders>
                  <w:vAlign w:val="center"/>
                </w:tcPr>
                <w:p w14:paraId="63BA2168">
                  <w:pPr>
                    <w:jc w:val="center"/>
                    <w:rPr>
                      <w:color w:val="auto"/>
                      <w:highlight w:val="none"/>
                    </w:rPr>
                  </w:pPr>
                  <w:r>
                    <w:rPr>
                      <w:rFonts w:hint="eastAsia"/>
                      <w:color w:val="auto"/>
                      <w:highlight w:val="none"/>
                    </w:rPr>
                    <w:t>稳态</w:t>
                  </w:r>
                </w:p>
              </w:tc>
              <w:tc>
                <w:tcPr>
                  <w:tcW w:w="2030" w:type="dxa"/>
                  <w:vMerge w:val="continue"/>
                  <w:tcBorders>
                    <w:tl2br w:val="nil"/>
                    <w:tr2bl w:val="nil"/>
                  </w:tcBorders>
                </w:tcPr>
                <w:p w14:paraId="76A0860E">
                  <w:pPr>
                    <w:rPr>
                      <w:rFonts w:ascii="Calibri" w:hAnsi="Calibri" w:cs="Calibri"/>
                      <w:color w:val="auto"/>
                      <w:szCs w:val="22"/>
                      <w:highlight w:val="none"/>
                    </w:rPr>
                  </w:pPr>
                </w:p>
              </w:tc>
              <w:tc>
                <w:tcPr>
                  <w:tcW w:w="1199" w:type="dxa"/>
                  <w:tcBorders>
                    <w:tl2br w:val="nil"/>
                    <w:tr2bl w:val="nil"/>
                  </w:tcBorders>
                  <w:vAlign w:val="center"/>
                </w:tcPr>
                <w:p w14:paraId="0743C592">
                  <w:pPr>
                    <w:jc w:val="center"/>
                    <w:rPr>
                      <w:color w:val="auto"/>
                      <w:highlight w:val="none"/>
                    </w:rPr>
                  </w:pPr>
                  <w:r>
                    <w:rPr>
                      <w:color w:val="auto"/>
                      <w:highlight w:val="none"/>
                    </w:rPr>
                    <w:t>＜</w:t>
                  </w:r>
                  <w:r>
                    <w:rPr>
                      <w:rFonts w:hint="eastAsia"/>
                      <w:color w:val="auto"/>
                      <w:highlight w:val="none"/>
                    </w:rPr>
                    <w:t>70</w:t>
                  </w:r>
                </w:p>
              </w:tc>
            </w:tr>
            <w:tr w14:paraId="417934E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1" w:type="dxa"/>
                  <w:tcBorders>
                    <w:tl2br w:val="nil"/>
                    <w:tr2bl w:val="nil"/>
                  </w:tcBorders>
                  <w:vAlign w:val="center"/>
                </w:tcPr>
                <w:p w14:paraId="4E10247D">
                  <w:pPr>
                    <w:jc w:val="center"/>
                    <w:rPr>
                      <w:color w:val="auto"/>
                      <w:spacing w:val="-1"/>
                      <w:highlight w:val="none"/>
                    </w:rPr>
                  </w:pPr>
                  <w:r>
                    <w:rPr>
                      <w:rFonts w:hint="eastAsia"/>
                      <w:color w:val="auto"/>
                      <w:spacing w:val="-1"/>
                      <w:highlight w:val="none"/>
                    </w:rPr>
                    <w:t>19</w:t>
                  </w:r>
                </w:p>
              </w:tc>
              <w:tc>
                <w:tcPr>
                  <w:tcW w:w="1795" w:type="dxa"/>
                  <w:tcBorders>
                    <w:tl2br w:val="nil"/>
                    <w:tr2bl w:val="nil"/>
                  </w:tcBorders>
                  <w:vAlign w:val="center"/>
                </w:tcPr>
                <w:p w14:paraId="5C54BB61">
                  <w:pPr>
                    <w:pStyle w:val="29"/>
                    <w:widowControl w:val="0"/>
                    <w:adjustRightInd w:val="0"/>
                    <w:snapToGrid w:val="0"/>
                    <w:spacing w:before="0" w:beforeAutospacing="0" w:after="0" w:afterAutospacing="0"/>
                    <w:jc w:val="center"/>
                    <w:rPr>
                      <w:color w:val="auto"/>
                      <w:sz w:val="21"/>
                      <w:szCs w:val="21"/>
                      <w:highlight w:val="none"/>
                    </w:rPr>
                  </w:pPr>
                  <w:r>
                    <w:rPr>
                      <w:rFonts w:hint="eastAsia" w:ascii="Times New Roman" w:hAnsi="Times New Roman"/>
                      <w:color w:val="auto"/>
                      <w:kern w:val="2"/>
                      <w:sz w:val="21"/>
                      <w:szCs w:val="21"/>
                      <w:highlight w:val="none"/>
                    </w:rPr>
                    <w:t>运输车辆</w:t>
                  </w:r>
                </w:p>
              </w:tc>
              <w:tc>
                <w:tcPr>
                  <w:tcW w:w="716" w:type="dxa"/>
                  <w:tcBorders>
                    <w:tl2br w:val="nil"/>
                    <w:tr2bl w:val="nil"/>
                  </w:tcBorders>
                  <w:vAlign w:val="center"/>
                </w:tcPr>
                <w:p w14:paraId="39A56EA0">
                  <w:pPr>
                    <w:pStyle w:val="29"/>
                    <w:widowControl w:val="0"/>
                    <w:adjustRightInd w:val="0"/>
                    <w:snapToGrid w:val="0"/>
                    <w:spacing w:before="0" w:beforeAutospacing="0" w:after="0" w:afterAutospacing="0"/>
                    <w:jc w:val="center"/>
                    <w:rPr>
                      <w:rFonts w:ascii="Times New Roman" w:hAnsi="Times New Roman"/>
                      <w:color w:val="auto"/>
                      <w:sz w:val="21"/>
                      <w:szCs w:val="21"/>
                      <w:highlight w:val="none"/>
                    </w:rPr>
                  </w:pPr>
                  <w:r>
                    <w:rPr>
                      <w:rFonts w:hint="eastAsia" w:ascii="Times New Roman" w:hAnsi="Times New Roman"/>
                      <w:color w:val="auto"/>
                      <w:sz w:val="21"/>
                      <w:szCs w:val="21"/>
                      <w:highlight w:val="none"/>
                    </w:rPr>
                    <w:t>5辆</w:t>
                  </w:r>
                </w:p>
              </w:tc>
              <w:tc>
                <w:tcPr>
                  <w:tcW w:w="1084" w:type="dxa"/>
                  <w:tcBorders>
                    <w:tl2br w:val="nil"/>
                    <w:tr2bl w:val="nil"/>
                  </w:tcBorders>
                  <w:vAlign w:val="center"/>
                </w:tcPr>
                <w:p w14:paraId="1A91C9AB">
                  <w:pPr>
                    <w:jc w:val="center"/>
                    <w:rPr>
                      <w:color w:val="auto"/>
                      <w:highlight w:val="none"/>
                    </w:rPr>
                  </w:pPr>
                  <w:r>
                    <w:rPr>
                      <w:rFonts w:hint="eastAsia"/>
                      <w:color w:val="auto"/>
                      <w:szCs w:val="21"/>
                      <w:highlight w:val="none"/>
                    </w:rPr>
                    <w:t>80</w:t>
                  </w:r>
                </w:p>
              </w:tc>
              <w:tc>
                <w:tcPr>
                  <w:tcW w:w="1000" w:type="dxa"/>
                  <w:tcBorders>
                    <w:tl2br w:val="nil"/>
                    <w:tr2bl w:val="nil"/>
                  </w:tcBorders>
                  <w:vAlign w:val="center"/>
                </w:tcPr>
                <w:p w14:paraId="65F25AEB">
                  <w:pPr>
                    <w:jc w:val="center"/>
                    <w:rPr>
                      <w:rFonts w:ascii="宋体" w:hAnsi="宋体" w:cs="宋体"/>
                      <w:color w:val="auto"/>
                      <w:highlight w:val="none"/>
                    </w:rPr>
                  </w:pPr>
                  <w:r>
                    <w:rPr>
                      <w:rFonts w:hint="eastAsia" w:ascii="宋体" w:hAnsi="宋体" w:cs="宋体"/>
                      <w:color w:val="auto"/>
                      <w:highlight w:val="none"/>
                    </w:rPr>
                    <w:t>非稳态</w:t>
                  </w:r>
                </w:p>
              </w:tc>
              <w:tc>
                <w:tcPr>
                  <w:tcW w:w="2030" w:type="dxa"/>
                  <w:tcBorders>
                    <w:tl2br w:val="nil"/>
                    <w:tr2bl w:val="nil"/>
                  </w:tcBorders>
                  <w:vAlign w:val="center"/>
                </w:tcPr>
                <w:p w14:paraId="1D96D33F">
                  <w:pPr>
                    <w:jc w:val="center"/>
                    <w:rPr>
                      <w:rFonts w:ascii="宋体" w:hAnsi="宋体" w:cs="宋体"/>
                      <w:color w:val="auto"/>
                      <w:highlight w:val="none"/>
                    </w:rPr>
                  </w:pPr>
                  <w:r>
                    <w:rPr>
                      <w:rFonts w:hint="eastAsia"/>
                      <w:color w:val="auto"/>
                      <w:szCs w:val="21"/>
                      <w:highlight w:val="none"/>
                    </w:rPr>
                    <w:t>限速限载</w:t>
                  </w:r>
                  <w:r>
                    <w:rPr>
                      <w:color w:val="auto"/>
                      <w:szCs w:val="21"/>
                      <w:highlight w:val="none"/>
                    </w:rPr>
                    <w:t>，</w:t>
                  </w:r>
                  <w:r>
                    <w:rPr>
                      <w:rFonts w:hint="eastAsia"/>
                      <w:color w:val="auto"/>
                      <w:szCs w:val="21"/>
                      <w:highlight w:val="none"/>
                    </w:rPr>
                    <w:t>途经住户时减速</w:t>
                  </w:r>
                  <w:r>
                    <w:rPr>
                      <w:color w:val="auto"/>
                      <w:szCs w:val="21"/>
                      <w:highlight w:val="none"/>
                    </w:rPr>
                    <w:t>慢行</w:t>
                  </w:r>
                </w:p>
              </w:tc>
              <w:tc>
                <w:tcPr>
                  <w:tcW w:w="1199" w:type="dxa"/>
                  <w:tcBorders>
                    <w:tl2br w:val="nil"/>
                    <w:tr2bl w:val="nil"/>
                  </w:tcBorders>
                  <w:vAlign w:val="center"/>
                </w:tcPr>
                <w:p w14:paraId="3E32E49D">
                  <w:pPr>
                    <w:jc w:val="center"/>
                    <w:rPr>
                      <w:rFonts w:ascii="宋体" w:hAnsi="宋体" w:cs="宋体"/>
                      <w:color w:val="auto"/>
                      <w:highlight w:val="none"/>
                    </w:rPr>
                  </w:pPr>
                  <w:r>
                    <w:rPr>
                      <w:color w:val="auto"/>
                      <w:highlight w:val="none"/>
                    </w:rPr>
                    <w:t>＜</w:t>
                  </w:r>
                  <w:r>
                    <w:rPr>
                      <w:rFonts w:hint="eastAsia"/>
                      <w:color w:val="auto"/>
                      <w:highlight w:val="none"/>
                    </w:rPr>
                    <w:t>70</w:t>
                  </w:r>
                </w:p>
              </w:tc>
            </w:tr>
          </w:tbl>
          <w:p w14:paraId="61EE470C">
            <w:pPr>
              <w:widowControl/>
              <w:snapToGrid w:val="0"/>
              <w:spacing w:line="360" w:lineRule="auto"/>
              <w:ind w:firstLine="480" w:firstLineChars="200"/>
              <w:jc w:val="left"/>
              <w:rPr>
                <w:rFonts w:ascii="宋体" w:hAnsi="宋体"/>
                <w:color w:val="auto"/>
                <w:sz w:val="24"/>
                <w:highlight w:val="none"/>
              </w:rPr>
            </w:pPr>
            <w:r>
              <w:rPr>
                <w:rFonts w:ascii="宋体" w:hAnsi="宋体"/>
                <w:color w:val="auto"/>
                <w:sz w:val="24"/>
                <w:highlight w:val="none"/>
              </w:rPr>
              <w:t>根据项目噪声污染源的特征，按照《环境影响评价技术导则声环境》（</w:t>
            </w:r>
            <w:r>
              <w:rPr>
                <w:color w:val="auto"/>
                <w:sz w:val="24"/>
                <w:highlight w:val="none"/>
              </w:rPr>
              <w:t>HJ2.4-20</w:t>
            </w:r>
            <w:r>
              <w:rPr>
                <w:rFonts w:hint="eastAsia"/>
                <w:color w:val="auto"/>
                <w:sz w:val="24"/>
                <w:highlight w:val="none"/>
              </w:rPr>
              <w:t>21</w:t>
            </w:r>
            <w:r>
              <w:rPr>
                <w:rFonts w:ascii="宋体" w:hAnsi="宋体"/>
                <w:color w:val="auto"/>
                <w:sz w:val="24"/>
                <w:highlight w:val="none"/>
              </w:rPr>
              <w:t>）要求，采用多声源叠加综合预测模式对项目产生噪声的发散衰减进行模拟预测。</w:t>
            </w:r>
          </w:p>
          <w:p w14:paraId="0D2870C1">
            <w:pPr>
              <w:snapToGrid w:val="0"/>
              <w:spacing w:line="360" w:lineRule="auto"/>
              <w:ind w:firstLine="480"/>
              <w:rPr>
                <w:rFonts w:hAnsi="宋体"/>
                <w:color w:val="auto"/>
                <w:sz w:val="24"/>
                <w:highlight w:val="none"/>
              </w:rPr>
            </w:pPr>
            <w:r>
              <w:rPr>
                <w:rFonts w:hAnsi="宋体"/>
                <w:color w:val="auto"/>
                <w:sz w:val="24"/>
                <w:highlight w:val="none"/>
              </w:rPr>
              <w:t>①室内声源</w:t>
            </w:r>
          </w:p>
          <w:p w14:paraId="637A43F9">
            <w:pPr>
              <w:snapToGrid w:val="0"/>
              <w:spacing w:line="360" w:lineRule="auto"/>
              <w:ind w:firstLine="480"/>
              <w:rPr>
                <w:color w:val="auto"/>
                <w:sz w:val="24"/>
                <w:highlight w:val="none"/>
              </w:rPr>
            </w:pPr>
            <w:r>
              <w:rPr>
                <w:rFonts w:hAnsi="宋体"/>
                <w:color w:val="auto"/>
                <w:sz w:val="24"/>
                <w:highlight w:val="none"/>
              </w:rPr>
              <w:t>根据《环境影响评价技术导则</w:t>
            </w:r>
            <w:r>
              <w:rPr>
                <w:color w:val="auto"/>
                <w:sz w:val="24"/>
                <w:highlight w:val="none"/>
              </w:rPr>
              <w:t xml:space="preserve"> </w:t>
            </w:r>
            <w:r>
              <w:rPr>
                <w:rFonts w:hAnsi="宋体"/>
                <w:color w:val="auto"/>
                <w:sz w:val="24"/>
                <w:highlight w:val="none"/>
              </w:rPr>
              <w:t>声环境》（</w:t>
            </w:r>
            <w:r>
              <w:rPr>
                <w:color w:val="auto"/>
                <w:sz w:val="24"/>
                <w:highlight w:val="none"/>
              </w:rPr>
              <w:t>HJ2.4-20</w:t>
            </w:r>
            <w:r>
              <w:rPr>
                <w:rFonts w:hint="eastAsia"/>
                <w:color w:val="auto"/>
                <w:sz w:val="24"/>
                <w:highlight w:val="none"/>
              </w:rPr>
              <w:t>21</w:t>
            </w:r>
            <w:r>
              <w:rPr>
                <w:rFonts w:hAnsi="宋体"/>
                <w:color w:val="auto"/>
                <w:sz w:val="24"/>
                <w:highlight w:val="none"/>
              </w:rPr>
              <w:t>），室内声源可采用等效室外声源声功率级法进行计算。设靠近开口处（或窗户）室内、室外某倍频带的声压级分别为</w:t>
            </w:r>
            <w:r>
              <w:rPr>
                <w:i/>
                <w:color w:val="auto"/>
                <w:sz w:val="24"/>
                <w:highlight w:val="none"/>
              </w:rPr>
              <w:t>L</w:t>
            </w:r>
            <w:r>
              <w:rPr>
                <w:i/>
                <w:color w:val="auto"/>
                <w:sz w:val="24"/>
                <w:highlight w:val="none"/>
                <w:vertAlign w:val="subscript"/>
              </w:rPr>
              <w:t>P1</w:t>
            </w:r>
            <w:r>
              <w:rPr>
                <w:rFonts w:hAnsi="宋体"/>
                <w:color w:val="auto"/>
                <w:sz w:val="24"/>
                <w:highlight w:val="none"/>
              </w:rPr>
              <w:t>和</w:t>
            </w:r>
            <w:r>
              <w:rPr>
                <w:i/>
                <w:color w:val="auto"/>
                <w:sz w:val="24"/>
                <w:highlight w:val="none"/>
              </w:rPr>
              <w:t>L</w:t>
            </w:r>
            <w:r>
              <w:rPr>
                <w:i/>
                <w:color w:val="auto"/>
                <w:sz w:val="24"/>
                <w:highlight w:val="none"/>
                <w:vertAlign w:val="subscript"/>
              </w:rPr>
              <w:t>P2</w:t>
            </w:r>
            <w:r>
              <w:rPr>
                <w:rFonts w:hAnsi="宋体"/>
                <w:color w:val="auto"/>
                <w:sz w:val="24"/>
                <w:highlight w:val="none"/>
              </w:rPr>
              <w:t>。若声源所在室内声场为近似扩散声场，则室外的倍频带声压级可按下式近似求出：</w:t>
            </w:r>
          </w:p>
          <w:p w14:paraId="648E9992">
            <w:pPr>
              <w:snapToGrid w:val="0"/>
              <w:spacing w:line="360" w:lineRule="auto"/>
              <w:ind w:firstLine="480"/>
              <w:jc w:val="center"/>
              <w:rPr>
                <w:color w:val="auto"/>
                <w:sz w:val="24"/>
                <w:highlight w:val="none"/>
              </w:rPr>
            </w:pPr>
            <w:r>
              <w:rPr>
                <w:color w:val="auto"/>
                <w:sz w:val="24"/>
                <w:highlight w:val="none"/>
                <w:lang w:val="en-GB" w:eastAsia="zh-TW"/>
              </w:rPr>
              <w:object>
                <v:shape id="_x0000_i1031" o:spt="75" type="#_x0000_t75" style="height:15.75pt;width:97.5pt;" o:ole="t" filled="f" o:preferrelative="t" stroked="f" coordsize="21600,21600">
                  <v:path/>
                  <v:fill on="f" focussize="0,0"/>
                  <v:stroke on="f" joinstyle="miter"/>
                  <v:imagedata r:id="rId23" o:title=""/>
                  <o:lock v:ext="edit" aspectratio="t"/>
                  <w10:wrap type="none"/>
                  <w10:anchorlock/>
                </v:shape>
                <o:OLEObject Type="Embed" ProgID="Equation.3" ShapeID="_x0000_i1031" DrawAspect="Content" ObjectID="_1468075731" r:id="rId22">
                  <o:LockedField>false</o:LockedField>
                </o:OLEObject>
              </w:object>
            </w:r>
          </w:p>
          <w:p w14:paraId="4DA66861">
            <w:pPr>
              <w:snapToGrid w:val="0"/>
              <w:spacing w:line="360" w:lineRule="auto"/>
              <w:ind w:firstLine="480"/>
              <w:rPr>
                <w:rFonts w:ascii="宋体" w:hAnsi="宋体"/>
                <w:color w:val="auto"/>
                <w:sz w:val="24"/>
                <w:highlight w:val="none"/>
              </w:rPr>
            </w:pPr>
            <w:r>
              <w:rPr>
                <w:rFonts w:hAnsi="宋体"/>
                <w:color w:val="auto"/>
                <w:sz w:val="24"/>
                <w:highlight w:val="none"/>
              </w:rPr>
              <w:t>式中：</w:t>
            </w:r>
            <w:r>
              <w:rPr>
                <w:color w:val="auto"/>
                <w:sz w:val="24"/>
                <w:highlight w:val="none"/>
                <w:lang w:val="en-GB" w:eastAsia="zh-TW"/>
              </w:rPr>
              <w:object>
                <v:shape id="_x0000_i1032" o:spt="75" type="#_x0000_t75" style="height:13.5pt;width:15.75pt;" o:ole="t" filled="f" o:preferrelative="t" stroked="f" coordsize="21600,21600">
                  <v:path/>
                  <v:fill on="f" focussize="0,0"/>
                  <v:stroke on="f" joinstyle="miter"/>
                  <v:imagedata r:id="rId25" o:title=""/>
                  <o:lock v:ext="edit" aspectratio="t"/>
                  <w10:wrap type="none"/>
                  <w10:anchorlock/>
                </v:shape>
                <o:OLEObject Type="Embed" ProgID="Equation.3" ShapeID="_x0000_i1032" DrawAspect="Content" ObjectID="_1468075732" r:id="rId24">
                  <o:LockedField>false</o:LockedField>
                </o:OLEObject>
              </w:object>
            </w:r>
            <w:r>
              <w:rPr>
                <w:color w:val="auto"/>
                <w:sz w:val="24"/>
                <w:highlight w:val="none"/>
              </w:rPr>
              <w:t>---</w:t>
            </w:r>
            <w:r>
              <w:rPr>
                <w:rFonts w:hAnsi="宋体"/>
                <w:color w:val="auto"/>
                <w:sz w:val="24"/>
                <w:highlight w:val="none"/>
              </w:rPr>
              <w:t>隔墙（或窗户）倍频带的隔声量，</w:t>
            </w:r>
            <w:r>
              <w:rPr>
                <w:color w:val="auto"/>
                <w:sz w:val="24"/>
                <w:highlight w:val="none"/>
              </w:rPr>
              <w:t>dB</w:t>
            </w:r>
            <w:r>
              <w:rPr>
                <w:rFonts w:hAnsi="宋体"/>
                <w:color w:val="auto"/>
                <w:sz w:val="24"/>
                <w:highlight w:val="none"/>
              </w:rPr>
              <w:t>（</w:t>
            </w:r>
            <w:r>
              <w:rPr>
                <w:color w:val="auto"/>
                <w:sz w:val="24"/>
                <w:highlight w:val="none"/>
              </w:rPr>
              <w:t>A</w:t>
            </w:r>
            <w:r>
              <w:rPr>
                <w:rFonts w:hAnsi="宋体"/>
                <w:color w:val="auto"/>
                <w:sz w:val="24"/>
                <w:highlight w:val="none"/>
              </w:rPr>
              <w:t>）。</w:t>
            </w:r>
          </w:p>
          <w:p w14:paraId="03FF3220">
            <w:pPr>
              <w:adjustRightInd w:val="0"/>
              <w:snapToGrid w:val="0"/>
              <w:spacing w:line="360" w:lineRule="auto"/>
              <w:ind w:firstLine="480" w:firstLineChars="200"/>
              <w:jc w:val="left"/>
              <w:rPr>
                <w:color w:val="auto"/>
                <w:spacing w:val="4"/>
                <w:sz w:val="24"/>
                <w:highlight w:val="none"/>
              </w:rPr>
            </w:pPr>
            <w:r>
              <w:rPr>
                <w:rFonts w:hint="eastAsia"/>
                <w:color w:val="auto"/>
                <w:sz w:val="24"/>
                <w:highlight w:val="none"/>
              </w:rPr>
              <w:t>②</w:t>
            </w:r>
            <w:r>
              <w:rPr>
                <w:rFonts w:ascii="宋体" w:hAnsi="宋体"/>
                <w:color w:val="auto"/>
                <w:spacing w:val="4"/>
                <w:sz w:val="24"/>
                <w:highlight w:val="none"/>
              </w:rPr>
              <w:t>衰减预测</w:t>
            </w:r>
          </w:p>
          <w:p w14:paraId="7032A3C7">
            <w:pPr>
              <w:adjustRightInd w:val="0"/>
              <w:snapToGrid w:val="0"/>
              <w:spacing w:line="360" w:lineRule="auto"/>
              <w:ind w:firstLine="420" w:firstLineChars="200"/>
              <w:jc w:val="center"/>
              <w:rPr>
                <w:color w:val="auto"/>
                <w:spacing w:val="4"/>
                <w:sz w:val="24"/>
                <w:highlight w:val="none"/>
              </w:rPr>
            </w:pPr>
            <w:r>
              <w:rPr>
                <w:color w:val="auto"/>
                <w:highlight w:val="none"/>
              </w:rPr>
              <w:fldChar w:fldCharType="begin"/>
            </w:r>
            <w:r>
              <w:rPr>
                <w:color w:val="auto"/>
                <w:highlight w:val="none"/>
              </w:rPr>
              <w:instrText xml:space="preserve"> INCLUDEPICTURE "C:\\Users\\ADMINI~1\\AppData\\Local\\Temp\\ksohtml7844\\wps1.png" \* MERGEFORMATINET </w:instrText>
            </w:r>
            <w:r>
              <w:rPr>
                <w:color w:val="auto"/>
                <w:highlight w:val="none"/>
              </w:rPr>
              <w:fldChar w:fldCharType="separate"/>
            </w:r>
            <w:r>
              <w:rPr>
                <w:color w:val="auto"/>
                <w:highlight w:val="none"/>
              </w:rPr>
              <w:drawing>
                <wp:inline distT="0" distB="0" distL="114300" distR="114300">
                  <wp:extent cx="1887220" cy="400685"/>
                  <wp:effectExtent l="0" t="0" r="0" b="18415"/>
                  <wp:docPr id="24" name="图片 8" descr="wp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8" descr="wps1"/>
                          <pic:cNvPicPr>
                            <a:picLocks noChangeAspect="1"/>
                          </pic:cNvPicPr>
                        </pic:nvPicPr>
                        <pic:blipFill>
                          <a:blip r:embed="rId26" cstate="print"/>
                          <a:stretch>
                            <a:fillRect/>
                          </a:stretch>
                        </pic:blipFill>
                        <pic:spPr>
                          <a:xfrm>
                            <a:off x="0" y="0"/>
                            <a:ext cx="1887220" cy="400685"/>
                          </a:xfrm>
                          <a:prstGeom prst="rect">
                            <a:avLst/>
                          </a:prstGeom>
                          <a:noFill/>
                          <a:ln>
                            <a:noFill/>
                          </a:ln>
                        </pic:spPr>
                      </pic:pic>
                    </a:graphicData>
                  </a:graphic>
                </wp:inline>
              </w:drawing>
            </w:r>
            <w:r>
              <w:rPr>
                <w:color w:val="auto"/>
                <w:highlight w:val="none"/>
              </w:rPr>
              <w:fldChar w:fldCharType="end"/>
            </w:r>
            <w:r>
              <w:rPr>
                <w:color w:val="auto"/>
                <w:spacing w:val="4"/>
                <w:sz w:val="24"/>
                <w:highlight w:val="none"/>
              </w:rPr>
              <w:t xml:space="preserve"> </w:t>
            </w:r>
          </w:p>
          <w:p w14:paraId="61C2054C">
            <w:pPr>
              <w:adjustRightInd w:val="0"/>
              <w:snapToGrid w:val="0"/>
              <w:spacing w:line="360" w:lineRule="auto"/>
              <w:jc w:val="left"/>
              <w:rPr>
                <w:color w:val="auto"/>
                <w:spacing w:val="4"/>
                <w:sz w:val="24"/>
                <w:highlight w:val="none"/>
              </w:rPr>
            </w:pPr>
            <w:r>
              <w:rPr>
                <w:rFonts w:ascii="宋体" w:hAnsi="宋体"/>
                <w:color w:val="auto"/>
                <w:spacing w:val="4"/>
                <w:sz w:val="24"/>
                <w:highlight w:val="none"/>
              </w:rPr>
              <w:t>式中：</w:t>
            </w:r>
          </w:p>
          <w:p w14:paraId="6B522620">
            <w:pPr>
              <w:adjustRightInd w:val="0"/>
              <w:snapToGrid w:val="0"/>
              <w:spacing w:line="360" w:lineRule="auto"/>
              <w:ind w:firstLine="420" w:firstLineChars="200"/>
              <w:jc w:val="left"/>
              <w:rPr>
                <w:color w:val="auto"/>
                <w:spacing w:val="4"/>
                <w:sz w:val="24"/>
                <w:highlight w:val="none"/>
              </w:rPr>
            </w:pPr>
            <w:r>
              <w:rPr>
                <w:color w:val="auto"/>
                <w:highlight w:val="none"/>
              </w:rPr>
              <w:fldChar w:fldCharType="begin"/>
            </w:r>
            <w:r>
              <w:rPr>
                <w:color w:val="auto"/>
                <w:highlight w:val="none"/>
              </w:rPr>
              <w:instrText xml:space="preserve"> INCLUDEPICTURE "C:\\Users\\ADMINI~1\\AppData\\Local\\Temp\\ksohtml7844\\wps2.png" \* MERGEFORMATINET </w:instrText>
            </w:r>
            <w:r>
              <w:rPr>
                <w:color w:val="auto"/>
                <w:highlight w:val="none"/>
              </w:rPr>
              <w:fldChar w:fldCharType="separate"/>
            </w:r>
            <w:r>
              <w:rPr>
                <w:color w:val="auto"/>
                <w:highlight w:val="none"/>
              </w:rPr>
              <w:drawing>
                <wp:inline distT="0" distB="0" distL="114300" distR="114300">
                  <wp:extent cx="189230" cy="247015"/>
                  <wp:effectExtent l="0" t="0" r="1270" b="635"/>
                  <wp:docPr id="25" name="图片 9" descr="wp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9" descr="wps2"/>
                          <pic:cNvPicPr>
                            <a:picLocks noChangeAspect="1"/>
                          </pic:cNvPicPr>
                        </pic:nvPicPr>
                        <pic:blipFill>
                          <a:blip r:embed="rId27" cstate="print"/>
                          <a:stretch>
                            <a:fillRect/>
                          </a:stretch>
                        </pic:blipFill>
                        <pic:spPr>
                          <a:xfrm>
                            <a:off x="0" y="0"/>
                            <a:ext cx="189230" cy="247015"/>
                          </a:xfrm>
                          <a:prstGeom prst="rect">
                            <a:avLst/>
                          </a:prstGeom>
                          <a:noFill/>
                          <a:ln>
                            <a:noFill/>
                          </a:ln>
                        </pic:spPr>
                      </pic:pic>
                    </a:graphicData>
                  </a:graphic>
                </wp:inline>
              </w:drawing>
            </w:r>
            <w:r>
              <w:rPr>
                <w:color w:val="auto"/>
                <w:highlight w:val="none"/>
              </w:rPr>
              <w:fldChar w:fldCharType="end"/>
            </w:r>
            <w:r>
              <w:rPr>
                <w:color w:val="auto"/>
                <w:spacing w:val="4"/>
                <w:sz w:val="24"/>
                <w:highlight w:val="none"/>
              </w:rPr>
              <w:t>——</w:t>
            </w:r>
            <w:r>
              <w:rPr>
                <w:rFonts w:ascii="宋体" w:hAnsi="宋体"/>
                <w:color w:val="auto"/>
                <w:spacing w:val="4"/>
                <w:sz w:val="24"/>
                <w:highlight w:val="none"/>
              </w:rPr>
              <w:t>距声源</w:t>
            </w:r>
            <w:r>
              <w:rPr>
                <w:color w:val="auto"/>
                <w:spacing w:val="4"/>
                <w:sz w:val="24"/>
                <w:highlight w:val="none"/>
              </w:rPr>
              <w:t>r</w:t>
            </w:r>
            <w:r>
              <w:rPr>
                <w:rFonts w:ascii="宋体" w:hAnsi="宋体"/>
                <w:color w:val="auto"/>
                <w:spacing w:val="4"/>
                <w:sz w:val="24"/>
                <w:highlight w:val="none"/>
              </w:rPr>
              <w:t>米处的噪声预测值，</w:t>
            </w:r>
            <w:r>
              <w:rPr>
                <w:color w:val="auto"/>
                <w:spacing w:val="4"/>
                <w:sz w:val="24"/>
                <w:highlight w:val="none"/>
              </w:rPr>
              <w:t>dB</w:t>
            </w:r>
            <w:r>
              <w:rPr>
                <w:rFonts w:ascii="宋体" w:hAnsi="宋体"/>
                <w:color w:val="auto"/>
                <w:spacing w:val="4"/>
                <w:sz w:val="24"/>
                <w:highlight w:val="none"/>
              </w:rPr>
              <w:t>（</w:t>
            </w:r>
            <w:r>
              <w:rPr>
                <w:color w:val="auto"/>
                <w:spacing w:val="4"/>
                <w:sz w:val="24"/>
                <w:highlight w:val="none"/>
              </w:rPr>
              <w:t>A</w:t>
            </w:r>
            <w:r>
              <w:rPr>
                <w:rFonts w:ascii="宋体" w:hAnsi="宋体"/>
                <w:color w:val="auto"/>
                <w:spacing w:val="4"/>
                <w:sz w:val="24"/>
                <w:highlight w:val="none"/>
              </w:rPr>
              <w:t>）；</w:t>
            </w:r>
          </w:p>
          <w:p w14:paraId="498D7A95">
            <w:pPr>
              <w:adjustRightInd w:val="0"/>
              <w:snapToGrid w:val="0"/>
              <w:spacing w:line="360" w:lineRule="auto"/>
              <w:ind w:firstLine="420" w:firstLineChars="200"/>
              <w:jc w:val="left"/>
              <w:rPr>
                <w:color w:val="auto"/>
                <w:spacing w:val="4"/>
                <w:sz w:val="24"/>
                <w:highlight w:val="none"/>
              </w:rPr>
            </w:pPr>
            <w:r>
              <w:rPr>
                <w:color w:val="auto"/>
                <w:highlight w:val="none"/>
              </w:rPr>
              <w:fldChar w:fldCharType="begin"/>
            </w:r>
            <w:r>
              <w:rPr>
                <w:color w:val="auto"/>
                <w:highlight w:val="none"/>
              </w:rPr>
              <w:instrText xml:space="preserve"> INCLUDEPICTURE "C:\\Users\\ADMINI~1\\AppData\\Local\\Temp\\ksohtml7844\\wps3.png" \* MERGEFORMATINET </w:instrText>
            </w:r>
            <w:r>
              <w:rPr>
                <w:color w:val="auto"/>
                <w:highlight w:val="none"/>
              </w:rPr>
              <w:fldChar w:fldCharType="separate"/>
            </w:r>
            <w:r>
              <w:rPr>
                <w:color w:val="auto"/>
                <w:highlight w:val="none"/>
              </w:rPr>
              <w:drawing>
                <wp:inline distT="0" distB="0" distL="114300" distR="114300">
                  <wp:extent cx="227965" cy="247015"/>
                  <wp:effectExtent l="0" t="0" r="635" b="635"/>
                  <wp:docPr id="26" name="图片 10" descr="wps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0" descr="wps5"/>
                          <pic:cNvPicPr>
                            <a:picLocks noChangeAspect="1"/>
                          </pic:cNvPicPr>
                        </pic:nvPicPr>
                        <pic:blipFill>
                          <a:blip r:embed="rId28" cstate="print"/>
                          <a:stretch>
                            <a:fillRect/>
                          </a:stretch>
                        </pic:blipFill>
                        <pic:spPr>
                          <a:xfrm>
                            <a:off x="0" y="0"/>
                            <a:ext cx="227965" cy="247015"/>
                          </a:xfrm>
                          <a:prstGeom prst="rect">
                            <a:avLst/>
                          </a:prstGeom>
                          <a:noFill/>
                          <a:ln>
                            <a:noFill/>
                          </a:ln>
                        </pic:spPr>
                      </pic:pic>
                    </a:graphicData>
                  </a:graphic>
                </wp:inline>
              </w:drawing>
            </w:r>
            <w:r>
              <w:rPr>
                <w:color w:val="auto"/>
                <w:highlight w:val="none"/>
              </w:rPr>
              <w:fldChar w:fldCharType="end"/>
            </w:r>
            <w:r>
              <w:rPr>
                <w:color w:val="auto"/>
                <w:spacing w:val="4"/>
                <w:sz w:val="24"/>
                <w:highlight w:val="none"/>
              </w:rPr>
              <w:t>——</w:t>
            </w:r>
            <w:r>
              <w:rPr>
                <w:rFonts w:ascii="宋体" w:hAnsi="宋体"/>
                <w:color w:val="auto"/>
                <w:spacing w:val="4"/>
                <w:sz w:val="24"/>
                <w:highlight w:val="none"/>
              </w:rPr>
              <w:t>距声源</w:t>
            </w:r>
            <w:r>
              <w:rPr>
                <w:color w:val="auto"/>
                <w:spacing w:val="4"/>
                <w:sz w:val="24"/>
                <w:highlight w:val="none"/>
              </w:rPr>
              <w:t>r</w:t>
            </w:r>
            <w:r>
              <w:rPr>
                <w:color w:val="auto"/>
                <w:spacing w:val="4"/>
                <w:sz w:val="24"/>
                <w:highlight w:val="none"/>
                <w:vertAlign w:val="subscript"/>
              </w:rPr>
              <w:t>o</w:t>
            </w:r>
            <w:r>
              <w:rPr>
                <w:rFonts w:ascii="宋体" w:hAnsi="宋体"/>
                <w:color w:val="auto"/>
                <w:spacing w:val="4"/>
                <w:sz w:val="24"/>
                <w:highlight w:val="none"/>
              </w:rPr>
              <w:t>米处的参考声级，</w:t>
            </w:r>
            <w:r>
              <w:rPr>
                <w:color w:val="auto"/>
                <w:spacing w:val="4"/>
                <w:sz w:val="24"/>
                <w:highlight w:val="none"/>
              </w:rPr>
              <w:t>dB</w:t>
            </w:r>
            <w:r>
              <w:rPr>
                <w:rFonts w:ascii="宋体" w:hAnsi="宋体"/>
                <w:color w:val="auto"/>
                <w:spacing w:val="4"/>
                <w:sz w:val="24"/>
                <w:highlight w:val="none"/>
              </w:rPr>
              <w:t>（</w:t>
            </w:r>
            <w:r>
              <w:rPr>
                <w:color w:val="auto"/>
                <w:spacing w:val="4"/>
                <w:sz w:val="24"/>
                <w:highlight w:val="none"/>
              </w:rPr>
              <w:t>A</w:t>
            </w:r>
            <w:r>
              <w:rPr>
                <w:rFonts w:ascii="宋体" w:hAnsi="宋体"/>
                <w:color w:val="auto"/>
                <w:spacing w:val="4"/>
                <w:sz w:val="24"/>
                <w:highlight w:val="none"/>
              </w:rPr>
              <w:t>）；</w:t>
            </w:r>
          </w:p>
          <w:p w14:paraId="53A481C4">
            <w:pPr>
              <w:adjustRightInd w:val="0"/>
              <w:snapToGrid w:val="0"/>
              <w:spacing w:line="360" w:lineRule="auto"/>
              <w:ind w:firstLine="420" w:firstLineChars="200"/>
              <w:jc w:val="left"/>
              <w:rPr>
                <w:color w:val="auto"/>
                <w:spacing w:val="4"/>
                <w:sz w:val="24"/>
                <w:highlight w:val="none"/>
              </w:rPr>
            </w:pPr>
            <w:r>
              <w:rPr>
                <w:color w:val="auto"/>
                <w:highlight w:val="none"/>
              </w:rPr>
              <w:fldChar w:fldCharType="begin"/>
            </w:r>
            <w:r>
              <w:rPr>
                <w:color w:val="auto"/>
                <w:highlight w:val="none"/>
              </w:rPr>
              <w:instrText xml:space="preserve"> INCLUDEPICTURE "C:\\Users\\ADMINI~1\\AppData\\Local\\Temp\\ksohtml7844\\wps4.png" \* MERGEFORMATINET </w:instrText>
            </w:r>
            <w:r>
              <w:rPr>
                <w:color w:val="auto"/>
                <w:highlight w:val="none"/>
              </w:rPr>
              <w:fldChar w:fldCharType="separate"/>
            </w:r>
            <w:r>
              <w:rPr>
                <w:color w:val="auto"/>
                <w:highlight w:val="none"/>
              </w:rPr>
              <w:drawing>
                <wp:inline distT="0" distB="0" distL="114300" distR="114300">
                  <wp:extent cx="134620" cy="227965"/>
                  <wp:effectExtent l="0" t="0" r="17780" b="635"/>
                  <wp:docPr id="27" name="图片 11" descr="wps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1" descr="wps4"/>
                          <pic:cNvPicPr>
                            <a:picLocks noChangeAspect="1"/>
                          </pic:cNvPicPr>
                        </pic:nvPicPr>
                        <pic:blipFill>
                          <a:blip r:embed="rId29" cstate="print"/>
                          <a:stretch>
                            <a:fillRect/>
                          </a:stretch>
                        </pic:blipFill>
                        <pic:spPr>
                          <a:xfrm>
                            <a:off x="0" y="0"/>
                            <a:ext cx="134620" cy="227965"/>
                          </a:xfrm>
                          <a:prstGeom prst="rect">
                            <a:avLst/>
                          </a:prstGeom>
                          <a:noFill/>
                          <a:ln>
                            <a:noFill/>
                          </a:ln>
                        </pic:spPr>
                      </pic:pic>
                    </a:graphicData>
                  </a:graphic>
                </wp:inline>
              </w:drawing>
            </w:r>
            <w:r>
              <w:rPr>
                <w:color w:val="auto"/>
                <w:highlight w:val="none"/>
              </w:rPr>
              <w:fldChar w:fldCharType="end"/>
            </w:r>
            <w:r>
              <w:rPr>
                <w:color w:val="auto"/>
                <w:spacing w:val="4"/>
                <w:sz w:val="24"/>
                <w:highlight w:val="none"/>
              </w:rPr>
              <w:t>——</w:t>
            </w:r>
            <w:r>
              <w:rPr>
                <w:color w:val="auto"/>
                <w:highlight w:val="none"/>
              </w:rPr>
              <w:fldChar w:fldCharType="begin"/>
            </w:r>
            <w:r>
              <w:rPr>
                <w:color w:val="auto"/>
                <w:highlight w:val="none"/>
              </w:rPr>
              <w:instrText xml:space="preserve"> INCLUDEPICTURE "C:\\Users\\ADMINI~1\\AppData\\Local\\Temp\\ksohtml7844\\wps5.png" \* MERGEFORMATINET </w:instrText>
            </w:r>
            <w:r>
              <w:rPr>
                <w:color w:val="auto"/>
                <w:highlight w:val="none"/>
              </w:rPr>
              <w:fldChar w:fldCharType="separate"/>
            </w:r>
            <w:r>
              <w:rPr>
                <w:color w:val="auto"/>
                <w:highlight w:val="none"/>
              </w:rPr>
              <w:drawing>
                <wp:inline distT="0" distB="0" distL="114300" distR="114300">
                  <wp:extent cx="227965" cy="247015"/>
                  <wp:effectExtent l="0" t="0" r="635" b="635"/>
                  <wp:docPr id="28" name="图片 12" descr="wps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2" descr="wps5"/>
                          <pic:cNvPicPr>
                            <a:picLocks noChangeAspect="1"/>
                          </pic:cNvPicPr>
                        </pic:nvPicPr>
                        <pic:blipFill>
                          <a:blip r:embed="rId28" cstate="print"/>
                          <a:stretch>
                            <a:fillRect/>
                          </a:stretch>
                        </pic:blipFill>
                        <pic:spPr>
                          <a:xfrm>
                            <a:off x="0" y="0"/>
                            <a:ext cx="227965" cy="247015"/>
                          </a:xfrm>
                          <a:prstGeom prst="rect">
                            <a:avLst/>
                          </a:prstGeom>
                          <a:noFill/>
                          <a:ln>
                            <a:noFill/>
                          </a:ln>
                        </pic:spPr>
                      </pic:pic>
                    </a:graphicData>
                  </a:graphic>
                </wp:inline>
              </w:drawing>
            </w:r>
            <w:r>
              <w:rPr>
                <w:color w:val="auto"/>
                <w:highlight w:val="none"/>
              </w:rPr>
              <w:fldChar w:fldCharType="end"/>
            </w:r>
            <w:r>
              <w:rPr>
                <w:rFonts w:ascii="宋体" w:hAnsi="宋体"/>
                <w:color w:val="auto"/>
                <w:spacing w:val="4"/>
                <w:sz w:val="24"/>
                <w:highlight w:val="none"/>
              </w:rPr>
              <w:t>噪声的测点距离（</w:t>
            </w:r>
            <w:r>
              <w:rPr>
                <w:color w:val="auto"/>
                <w:spacing w:val="4"/>
                <w:sz w:val="24"/>
                <w:highlight w:val="none"/>
              </w:rPr>
              <w:t>5m</w:t>
            </w:r>
            <w:r>
              <w:rPr>
                <w:rFonts w:ascii="宋体" w:hAnsi="宋体"/>
                <w:color w:val="auto"/>
                <w:spacing w:val="4"/>
                <w:sz w:val="24"/>
                <w:highlight w:val="none"/>
              </w:rPr>
              <w:t>或</w:t>
            </w:r>
            <w:r>
              <w:rPr>
                <w:color w:val="auto"/>
                <w:spacing w:val="4"/>
                <w:sz w:val="24"/>
                <w:highlight w:val="none"/>
              </w:rPr>
              <w:t>1m</w:t>
            </w:r>
            <w:r>
              <w:rPr>
                <w:rFonts w:ascii="宋体" w:hAnsi="宋体"/>
                <w:color w:val="auto"/>
                <w:spacing w:val="4"/>
                <w:sz w:val="24"/>
                <w:highlight w:val="none"/>
              </w:rPr>
              <w:t>），</w:t>
            </w:r>
            <w:r>
              <w:rPr>
                <w:color w:val="auto"/>
                <w:spacing w:val="4"/>
                <w:sz w:val="24"/>
                <w:highlight w:val="none"/>
              </w:rPr>
              <w:t>m</w:t>
            </w:r>
            <w:r>
              <w:rPr>
                <w:rFonts w:ascii="宋体" w:hAnsi="宋体"/>
                <w:color w:val="auto"/>
                <w:spacing w:val="4"/>
                <w:sz w:val="24"/>
                <w:highlight w:val="none"/>
              </w:rPr>
              <w:t>；</w:t>
            </w:r>
          </w:p>
          <w:p w14:paraId="69131BA9">
            <w:pPr>
              <w:adjustRightInd w:val="0"/>
              <w:snapToGrid w:val="0"/>
              <w:spacing w:line="360" w:lineRule="auto"/>
              <w:ind w:firstLine="496" w:firstLineChars="200"/>
              <w:jc w:val="left"/>
              <w:rPr>
                <w:color w:val="auto"/>
                <w:spacing w:val="4"/>
                <w:sz w:val="24"/>
                <w:highlight w:val="none"/>
              </w:rPr>
            </w:pPr>
            <w:r>
              <w:rPr>
                <w:rFonts w:ascii="Cambria Math" w:hAnsi="Cambria Math"/>
                <w:color w:val="auto"/>
                <w:spacing w:val="4"/>
                <w:sz w:val="24"/>
                <w:highlight w:val="none"/>
              </w:rPr>
              <w:t>△</w:t>
            </w:r>
            <w:r>
              <w:rPr>
                <w:color w:val="auto"/>
                <w:spacing w:val="4"/>
                <w:sz w:val="24"/>
                <w:highlight w:val="none"/>
              </w:rPr>
              <w:t>L——</w:t>
            </w:r>
            <w:r>
              <w:rPr>
                <w:rFonts w:ascii="宋体" w:hAnsi="宋体"/>
                <w:color w:val="auto"/>
                <w:spacing w:val="4"/>
                <w:sz w:val="24"/>
                <w:highlight w:val="none"/>
              </w:rPr>
              <w:t>采取各种措施后的噪声衰减量，</w:t>
            </w:r>
            <w:r>
              <w:rPr>
                <w:color w:val="auto"/>
                <w:spacing w:val="4"/>
                <w:sz w:val="24"/>
                <w:highlight w:val="none"/>
              </w:rPr>
              <w:t>dB</w:t>
            </w:r>
            <w:r>
              <w:rPr>
                <w:rFonts w:ascii="宋体" w:hAnsi="宋体"/>
                <w:color w:val="auto"/>
                <w:spacing w:val="4"/>
                <w:sz w:val="24"/>
                <w:highlight w:val="none"/>
              </w:rPr>
              <w:t>（</w:t>
            </w:r>
            <w:r>
              <w:rPr>
                <w:color w:val="auto"/>
                <w:spacing w:val="4"/>
                <w:sz w:val="24"/>
                <w:highlight w:val="none"/>
              </w:rPr>
              <w:t>A</w:t>
            </w:r>
            <w:r>
              <w:rPr>
                <w:rFonts w:ascii="宋体" w:hAnsi="宋体"/>
                <w:color w:val="auto"/>
                <w:spacing w:val="4"/>
                <w:sz w:val="24"/>
                <w:highlight w:val="none"/>
              </w:rPr>
              <w:t>）。</w:t>
            </w:r>
          </w:p>
          <w:p w14:paraId="1D190BF9">
            <w:pPr>
              <w:pStyle w:val="43"/>
              <w:snapToGrid w:val="0"/>
              <w:spacing w:line="360" w:lineRule="auto"/>
              <w:ind w:firstLine="480" w:firstLineChars="200"/>
              <w:rPr>
                <w:color w:val="auto"/>
                <w:highlight w:val="none"/>
              </w:rPr>
            </w:pPr>
            <w:r>
              <w:rPr>
                <w:rFonts w:hint="eastAsia" w:ascii="宋体" w:hAnsi="宋体" w:cs="宋体"/>
                <w:color w:val="auto"/>
                <w:highlight w:val="none"/>
              </w:rPr>
              <w:t>③</w:t>
            </w:r>
            <w:r>
              <w:rPr>
                <w:rFonts w:hint="eastAsia" w:hAnsi="宋体"/>
                <w:color w:val="auto"/>
                <w:highlight w:val="none"/>
              </w:rPr>
              <w:t>多声源声压级的叠加</w:t>
            </w:r>
          </w:p>
          <w:tbl>
            <w:tblPr>
              <w:tblStyle w:val="35"/>
              <w:tblW w:w="2851" w:type="dxa"/>
              <w:tblCellSpacing w:w="0" w:type="dxa"/>
              <w:tblInd w:w="2882" w:type="dxa"/>
              <w:tblLayout w:type="fixed"/>
              <w:tblCellMar>
                <w:top w:w="0" w:type="dxa"/>
                <w:left w:w="0" w:type="dxa"/>
                <w:bottom w:w="0" w:type="dxa"/>
                <w:right w:w="0" w:type="dxa"/>
              </w:tblCellMar>
            </w:tblPr>
            <w:tblGrid>
              <w:gridCol w:w="2851"/>
            </w:tblGrid>
            <w:tr w14:paraId="7331C105">
              <w:tblPrEx>
                <w:tblCellMar>
                  <w:top w:w="0" w:type="dxa"/>
                  <w:left w:w="0" w:type="dxa"/>
                  <w:bottom w:w="0" w:type="dxa"/>
                  <w:right w:w="0" w:type="dxa"/>
                </w:tblCellMar>
              </w:tblPrEx>
              <w:trPr>
                <w:tblCellSpacing w:w="0" w:type="dxa"/>
              </w:trPr>
              <w:tc>
                <w:tcPr>
                  <w:tcW w:w="2851" w:type="dxa"/>
                  <w:vAlign w:val="center"/>
                </w:tcPr>
                <w:p w14:paraId="64ED004F">
                  <w:pPr>
                    <w:widowControl/>
                    <w:jc w:val="left"/>
                    <w:rPr>
                      <w:rFonts w:ascii="宋体" w:hAnsi="宋体" w:cs="宋体"/>
                      <w:color w:val="auto"/>
                      <w:kern w:val="0"/>
                      <w:sz w:val="24"/>
                      <w:highlight w:val="none"/>
                    </w:rPr>
                  </w:pPr>
                  <w:r>
                    <w:rPr>
                      <w:rFonts w:ascii="宋体" w:hAnsi="宋体" w:cs="宋体"/>
                      <w:color w:val="auto"/>
                      <w:kern w:val="0"/>
                      <w:sz w:val="24"/>
                      <w:highlight w:val="none"/>
                    </w:rPr>
                    <w:fldChar w:fldCharType="begin"/>
                  </w:r>
                  <w:r>
                    <w:rPr>
                      <w:rFonts w:ascii="宋体" w:hAnsi="宋体" w:cs="宋体"/>
                      <w:color w:val="auto"/>
                      <w:kern w:val="0"/>
                      <w:sz w:val="24"/>
                      <w:highlight w:val="none"/>
                    </w:rPr>
                    <w:instrText xml:space="preserve"> INCLUDEPICTURE "C:\\Users\\ADMINI~1\\AppData\\Local\\Temp\\ksohtml7844\\wps6.png" \* MERGEFORMATINET </w:instrText>
                  </w:r>
                  <w:r>
                    <w:rPr>
                      <w:rFonts w:ascii="宋体" w:hAnsi="宋体" w:cs="宋体"/>
                      <w:color w:val="auto"/>
                      <w:kern w:val="0"/>
                      <w:sz w:val="24"/>
                      <w:highlight w:val="none"/>
                    </w:rPr>
                    <w:fldChar w:fldCharType="separate"/>
                  </w:r>
                  <w:r>
                    <w:rPr>
                      <w:rFonts w:ascii="宋体" w:hAnsi="宋体" w:cs="宋体"/>
                      <w:color w:val="auto"/>
                      <w:kern w:val="0"/>
                      <w:sz w:val="24"/>
                      <w:highlight w:val="none"/>
                    </w:rPr>
                    <w:drawing>
                      <wp:inline distT="0" distB="0" distL="114300" distR="114300">
                        <wp:extent cx="1810385" cy="447040"/>
                        <wp:effectExtent l="0" t="0" r="0" b="10795"/>
                        <wp:docPr id="29" name="图片 13" descr="wps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3" descr="wps6"/>
                                <pic:cNvPicPr>
                                  <a:picLocks noChangeAspect="1"/>
                                </pic:cNvPicPr>
                              </pic:nvPicPr>
                              <pic:blipFill>
                                <a:blip r:embed="rId30" cstate="print"/>
                                <a:stretch>
                                  <a:fillRect/>
                                </a:stretch>
                              </pic:blipFill>
                              <pic:spPr>
                                <a:xfrm>
                                  <a:off x="0" y="0"/>
                                  <a:ext cx="1810385" cy="447040"/>
                                </a:xfrm>
                                <a:prstGeom prst="rect">
                                  <a:avLst/>
                                </a:prstGeom>
                                <a:noFill/>
                                <a:ln>
                                  <a:noFill/>
                                </a:ln>
                              </pic:spPr>
                            </pic:pic>
                          </a:graphicData>
                        </a:graphic>
                      </wp:inline>
                    </w:drawing>
                  </w:r>
                  <w:r>
                    <w:rPr>
                      <w:rFonts w:ascii="宋体" w:hAnsi="宋体" w:cs="宋体"/>
                      <w:color w:val="auto"/>
                      <w:kern w:val="0"/>
                      <w:sz w:val="24"/>
                      <w:highlight w:val="none"/>
                    </w:rPr>
                    <w:fldChar w:fldCharType="end"/>
                  </w:r>
                </w:p>
              </w:tc>
            </w:tr>
          </w:tbl>
          <w:p w14:paraId="56C6D35A">
            <w:pPr>
              <w:autoSpaceDE w:val="0"/>
              <w:autoSpaceDN w:val="0"/>
              <w:spacing w:line="360" w:lineRule="auto"/>
              <w:ind w:firstLine="720" w:firstLineChars="300"/>
              <w:rPr>
                <w:color w:val="auto"/>
                <w:sz w:val="24"/>
                <w:highlight w:val="none"/>
              </w:rPr>
            </w:pPr>
            <w:r>
              <w:rPr>
                <w:rFonts w:ascii="宋体" w:hAnsi="宋体"/>
                <w:color w:val="auto"/>
                <w:sz w:val="24"/>
                <w:highlight w:val="none"/>
              </w:rPr>
              <w:t>当有多个声源共同作用时，受声点的总声级计算公式：</w:t>
            </w:r>
            <w:r>
              <w:rPr>
                <w:color w:val="auto"/>
                <w:sz w:val="24"/>
                <w:highlight w:val="none"/>
              </w:rPr>
              <w:t xml:space="preserve"> </w:t>
            </w:r>
          </w:p>
          <w:p w14:paraId="24A70B53">
            <w:pPr>
              <w:pStyle w:val="45"/>
              <w:snapToGrid w:val="0"/>
              <w:spacing w:line="360" w:lineRule="auto"/>
              <w:ind w:firstLine="240" w:firstLineChars="100"/>
              <w:rPr>
                <w:rFonts w:ascii="Times New Roman"/>
                <w:b w:val="0"/>
                <w:bCs w:val="0"/>
                <w:color w:val="auto"/>
                <w:highlight w:val="none"/>
              </w:rPr>
            </w:pPr>
            <w:r>
              <w:rPr>
                <w:b w:val="0"/>
                <w:bCs w:val="0"/>
                <w:color w:val="auto"/>
                <w:sz w:val="24"/>
                <w:szCs w:val="24"/>
                <w:highlight w:val="none"/>
              </w:rPr>
              <w:t>式中：</w:t>
            </w:r>
            <w:r>
              <w:rPr>
                <w:rFonts w:ascii="Times New Roman"/>
                <w:b w:val="0"/>
                <w:bCs w:val="0"/>
                <w:color w:val="auto"/>
                <w:sz w:val="24"/>
                <w:szCs w:val="24"/>
                <w:highlight w:val="none"/>
              </w:rPr>
              <w:t>Leq</w:t>
            </w:r>
            <w:r>
              <w:rPr>
                <w:b w:val="0"/>
                <w:bCs w:val="0"/>
                <w:color w:val="auto"/>
                <w:sz w:val="24"/>
                <w:szCs w:val="24"/>
                <w:highlight w:val="none"/>
              </w:rPr>
              <w:t>为某受声点总声级；</w:t>
            </w:r>
            <w:r>
              <w:rPr>
                <w:rFonts w:ascii="Times New Roman"/>
                <w:b w:val="0"/>
                <w:bCs w:val="0"/>
                <w:color w:val="auto"/>
                <w:sz w:val="24"/>
                <w:szCs w:val="24"/>
                <w:highlight w:val="none"/>
              </w:rPr>
              <w:t>Li</w:t>
            </w:r>
            <w:r>
              <w:rPr>
                <w:b w:val="0"/>
                <w:bCs w:val="0"/>
                <w:color w:val="auto"/>
                <w:sz w:val="24"/>
                <w:szCs w:val="24"/>
                <w:highlight w:val="none"/>
              </w:rPr>
              <w:t>为第</w:t>
            </w:r>
            <w:r>
              <w:rPr>
                <w:rFonts w:ascii="Times New Roman"/>
                <w:b w:val="0"/>
                <w:bCs w:val="0"/>
                <w:color w:val="auto"/>
                <w:sz w:val="24"/>
                <w:szCs w:val="24"/>
                <w:highlight w:val="none"/>
              </w:rPr>
              <w:t>i</w:t>
            </w:r>
            <w:r>
              <w:rPr>
                <w:b w:val="0"/>
                <w:bCs w:val="0"/>
                <w:color w:val="auto"/>
                <w:sz w:val="24"/>
                <w:szCs w:val="24"/>
                <w:highlight w:val="none"/>
              </w:rPr>
              <w:t>个声源在受声点产生的声级。</w:t>
            </w:r>
          </w:p>
          <w:p w14:paraId="376A2AA5">
            <w:pPr>
              <w:snapToGrid w:val="0"/>
              <w:spacing w:line="360" w:lineRule="auto"/>
              <w:ind w:firstLine="480" w:firstLineChars="200"/>
              <w:rPr>
                <w:color w:val="auto"/>
                <w:sz w:val="24"/>
                <w:highlight w:val="none"/>
              </w:rPr>
            </w:pPr>
            <w:r>
              <w:rPr>
                <w:color w:val="auto"/>
                <w:sz w:val="24"/>
                <w:highlight w:val="none"/>
              </w:rPr>
              <w:fldChar w:fldCharType="begin"/>
            </w:r>
            <w:r>
              <w:rPr>
                <w:color w:val="auto"/>
                <w:sz w:val="24"/>
                <w:highlight w:val="none"/>
              </w:rPr>
              <w:instrText xml:space="preserve"> = 4 \* GB3 \* MERGEFORMAT </w:instrText>
            </w:r>
            <w:r>
              <w:rPr>
                <w:color w:val="auto"/>
                <w:sz w:val="24"/>
                <w:highlight w:val="none"/>
              </w:rPr>
              <w:fldChar w:fldCharType="separate"/>
            </w:r>
            <w:r>
              <w:rPr>
                <w:color w:val="auto"/>
                <w:sz w:val="24"/>
                <w:highlight w:val="none"/>
              </w:rPr>
              <w:t>④</w:t>
            </w:r>
            <w:r>
              <w:rPr>
                <w:color w:val="auto"/>
                <w:sz w:val="24"/>
                <w:highlight w:val="none"/>
              </w:rPr>
              <w:fldChar w:fldCharType="end"/>
            </w:r>
            <w:r>
              <w:rPr>
                <w:rFonts w:ascii="宋体" w:hAnsi="宋体"/>
                <w:color w:val="auto"/>
                <w:sz w:val="24"/>
                <w:highlight w:val="none"/>
              </w:rPr>
              <w:t>同一受声点叠加背景噪声后的总噪声为：</w:t>
            </w:r>
          </w:p>
          <w:p w14:paraId="7EF2DE52">
            <w:pPr>
              <w:snapToGrid w:val="0"/>
              <w:spacing w:line="360" w:lineRule="auto"/>
              <w:ind w:firstLine="539" w:firstLineChars="257"/>
              <w:jc w:val="center"/>
              <w:rPr>
                <w:color w:val="auto"/>
                <w:sz w:val="24"/>
                <w:highlight w:val="none"/>
              </w:rPr>
            </w:pPr>
            <w:r>
              <w:rPr>
                <w:color w:val="auto"/>
                <w:highlight w:val="none"/>
              </w:rPr>
              <w:fldChar w:fldCharType="begin"/>
            </w:r>
            <w:r>
              <w:rPr>
                <w:color w:val="auto"/>
                <w:highlight w:val="none"/>
              </w:rPr>
              <w:instrText xml:space="preserve"> INCLUDEPICTURE "C:\\Users\\ADMINI~1\\AppData\\Local\\Temp\\ksohtml7844\\wps7.png" \* MERGEFORMATINET </w:instrText>
            </w:r>
            <w:r>
              <w:rPr>
                <w:color w:val="auto"/>
                <w:highlight w:val="none"/>
              </w:rPr>
              <w:fldChar w:fldCharType="separate"/>
            </w:r>
            <w:r>
              <w:rPr>
                <w:color w:val="auto"/>
                <w:highlight w:val="none"/>
              </w:rPr>
              <w:drawing>
                <wp:inline distT="0" distB="0" distL="114300" distR="114300">
                  <wp:extent cx="2600325" cy="304800"/>
                  <wp:effectExtent l="0" t="0" r="9525" b="0"/>
                  <wp:docPr id="30" name="图片 14" descr="wps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4" descr="wps7"/>
                          <pic:cNvPicPr>
                            <a:picLocks noChangeAspect="1"/>
                          </pic:cNvPicPr>
                        </pic:nvPicPr>
                        <pic:blipFill>
                          <a:blip r:embed="rId31" cstate="print"/>
                          <a:stretch>
                            <a:fillRect/>
                          </a:stretch>
                        </pic:blipFill>
                        <pic:spPr>
                          <a:xfrm>
                            <a:off x="0" y="0"/>
                            <a:ext cx="2600325" cy="304800"/>
                          </a:xfrm>
                          <a:prstGeom prst="rect">
                            <a:avLst/>
                          </a:prstGeom>
                          <a:noFill/>
                          <a:ln>
                            <a:noFill/>
                          </a:ln>
                        </pic:spPr>
                      </pic:pic>
                    </a:graphicData>
                  </a:graphic>
                </wp:inline>
              </w:drawing>
            </w:r>
            <w:r>
              <w:rPr>
                <w:color w:val="auto"/>
                <w:highlight w:val="none"/>
              </w:rPr>
              <w:fldChar w:fldCharType="end"/>
            </w:r>
            <w:r>
              <w:rPr>
                <w:color w:val="auto"/>
                <w:sz w:val="24"/>
                <w:highlight w:val="none"/>
              </w:rPr>
              <w:t xml:space="preserve"> </w:t>
            </w:r>
          </w:p>
          <w:p w14:paraId="4647DC96">
            <w:pPr>
              <w:snapToGrid w:val="0"/>
              <w:spacing w:line="360" w:lineRule="auto"/>
              <w:ind w:firstLine="576" w:firstLineChars="240"/>
              <w:rPr>
                <w:color w:val="auto"/>
                <w:sz w:val="24"/>
                <w:highlight w:val="none"/>
              </w:rPr>
            </w:pPr>
            <w:r>
              <w:rPr>
                <w:rFonts w:ascii="宋体" w:hAnsi="宋体"/>
                <w:color w:val="auto"/>
                <w:sz w:val="24"/>
                <w:highlight w:val="none"/>
              </w:rPr>
              <w:t>式中：</w:t>
            </w:r>
          </w:p>
          <w:p w14:paraId="4DE63671">
            <w:pPr>
              <w:pStyle w:val="135"/>
              <w:snapToGrid w:val="0"/>
              <w:ind w:firstLine="480"/>
              <w:rPr>
                <w:i/>
                <w:iCs/>
                <w:color w:val="auto"/>
                <w:sz w:val="24"/>
                <w:szCs w:val="24"/>
                <w:highlight w:val="none"/>
              </w:rPr>
            </w:pPr>
            <w:r>
              <w:rPr>
                <w:rFonts w:ascii="宋体" w:hAnsi="宋体"/>
                <w:i/>
                <w:iCs/>
                <w:color w:val="auto"/>
                <w:sz w:val="24"/>
                <w:szCs w:val="24"/>
                <w:highlight w:val="none"/>
              </w:rPr>
              <w:t>（</w:t>
            </w:r>
            <w:r>
              <w:rPr>
                <w:i/>
                <w:iCs/>
                <w:color w:val="auto"/>
                <w:sz w:val="24"/>
                <w:szCs w:val="24"/>
                <w:highlight w:val="none"/>
              </w:rPr>
              <w:t>LAeq</w:t>
            </w:r>
            <w:r>
              <w:rPr>
                <w:rFonts w:ascii="宋体" w:hAnsi="宋体"/>
                <w:i/>
                <w:iCs/>
                <w:color w:val="auto"/>
                <w:sz w:val="24"/>
                <w:szCs w:val="24"/>
                <w:highlight w:val="none"/>
              </w:rPr>
              <w:t>）</w:t>
            </w:r>
            <w:r>
              <w:rPr>
                <w:rFonts w:ascii="宋体" w:hAnsi="宋体"/>
                <w:i/>
                <w:iCs/>
                <w:color w:val="auto"/>
                <w:sz w:val="24"/>
                <w:szCs w:val="24"/>
                <w:highlight w:val="none"/>
                <w:vertAlign w:val="subscript"/>
              </w:rPr>
              <w:t>预</w:t>
            </w:r>
            <w:r>
              <w:rPr>
                <w:i/>
                <w:iCs/>
                <w:color w:val="auto"/>
                <w:sz w:val="24"/>
                <w:szCs w:val="24"/>
                <w:highlight w:val="none"/>
              </w:rPr>
              <w:t xml:space="preserve"> ——</w:t>
            </w:r>
            <w:r>
              <w:rPr>
                <w:rFonts w:ascii="宋体" w:hAnsi="宋体"/>
                <w:color w:val="auto"/>
                <w:sz w:val="24"/>
                <w:szCs w:val="24"/>
                <w:highlight w:val="none"/>
              </w:rPr>
              <w:t>预测点昼间或夜间的环境噪声预测值，</w:t>
            </w:r>
            <w:r>
              <w:rPr>
                <w:color w:val="auto"/>
                <w:sz w:val="24"/>
                <w:szCs w:val="24"/>
                <w:highlight w:val="none"/>
              </w:rPr>
              <w:t>dB(A)</w:t>
            </w:r>
            <w:r>
              <w:rPr>
                <w:rFonts w:ascii="宋体" w:hAnsi="宋体"/>
                <w:color w:val="auto"/>
                <w:sz w:val="24"/>
                <w:szCs w:val="24"/>
                <w:highlight w:val="none"/>
              </w:rPr>
              <w:t>；</w:t>
            </w:r>
          </w:p>
          <w:p w14:paraId="13C35FA0">
            <w:pPr>
              <w:snapToGrid w:val="0"/>
              <w:spacing w:line="360" w:lineRule="auto"/>
              <w:ind w:firstLine="480" w:firstLineChars="200"/>
              <w:rPr>
                <w:color w:val="auto"/>
                <w:sz w:val="24"/>
                <w:highlight w:val="none"/>
              </w:rPr>
            </w:pPr>
            <w:r>
              <w:rPr>
                <w:rFonts w:ascii="宋体" w:hAnsi="宋体"/>
                <w:color w:val="auto"/>
                <w:sz w:val="24"/>
                <w:highlight w:val="none"/>
              </w:rPr>
              <w:t>（</w:t>
            </w:r>
            <w:r>
              <w:rPr>
                <w:color w:val="auto"/>
                <w:sz w:val="24"/>
                <w:highlight w:val="none"/>
              </w:rPr>
              <w:t>L</w:t>
            </w:r>
            <w:r>
              <w:rPr>
                <w:color w:val="auto"/>
                <w:sz w:val="24"/>
                <w:highlight w:val="none"/>
                <w:vertAlign w:val="subscript"/>
              </w:rPr>
              <w:t>Aeq</w:t>
            </w:r>
            <w:r>
              <w:rPr>
                <w:rFonts w:ascii="宋体" w:hAnsi="宋体"/>
                <w:color w:val="auto"/>
                <w:sz w:val="24"/>
                <w:highlight w:val="none"/>
              </w:rPr>
              <w:t>）</w:t>
            </w:r>
            <w:r>
              <w:rPr>
                <w:rFonts w:ascii="宋体" w:hAnsi="宋体"/>
                <w:i/>
                <w:iCs/>
                <w:color w:val="auto"/>
                <w:sz w:val="24"/>
                <w:highlight w:val="none"/>
                <w:vertAlign w:val="subscript"/>
              </w:rPr>
              <w:t>背</w:t>
            </w:r>
            <w:r>
              <w:rPr>
                <w:i/>
                <w:iCs/>
                <w:color w:val="auto"/>
                <w:sz w:val="24"/>
                <w:highlight w:val="none"/>
                <w:vertAlign w:val="subscript"/>
              </w:rPr>
              <w:t xml:space="preserve"> </w:t>
            </w:r>
            <w:r>
              <w:rPr>
                <w:color w:val="auto"/>
                <w:sz w:val="24"/>
                <w:highlight w:val="none"/>
              </w:rPr>
              <w:t>——</w:t>
            </w:r>
            <w:r>
              <w:rPr>
                <w:rFonts w:ascii="宋体" w:hAnsi="宋体"/>
                <w:color w:val="auto"/>
                <w:sz w:val="24"/>
                <w:highlight w:val="none"/>
              </w:rPr>
              <w:t>预测点预测时的环境噪声背景值，</w:t>
            </w:r>
            <w:r>
              <w:rPr>
                <w:color w:val="auto"/>
                <w:sz w:val="24"/>
                <w:highlight w:val="none"/>
              </w:rPr>
              <w:t>dB(A)</w:t>
            </w:r>
            <w:r>
              <w:rPr>
                <w:rFonts w:ascii="宋体" w:hAnsi="宋体"/>
                <w:color w:val="auto"/>
                <w:sz w:val="24"/>
                <w:highlight w:val="none"/>
              </w:rPr>
              <w:t>；</w:t>
            </w:r>
          </w:p>
          <w:p w14:paraId="4938370B">
            <w:pPr>
              <w:pStyle w:val="43"/>
              <w:snapToGrid w:val="0"/>
              <w:spacing w:line="360" w:lineRule="auto"/>
              <w:ind w:firstLine="480" w:firstLineChars="200"/>
              <w:rPr>
                <w:color w:val="auto"/>
                <w:highlight w:val="none"/>
              </w:rPr>
            </w:pPr>
            <w:r>
              <w:rPr>
                <w:rFonts w:hAnsi="宋体" w:cs="Times New Roman"/>
                <w:color w:val="auto"/>
                <w:highlight w:val="none"/>
              </w:rPr>
              <w:t>（</w:t>
            </w:r>
            <w:r>
              <w:rPr>
                <w:rFonts w:ascii="Times New Roman" w:cs="Times New Roman"/>
                <w:color w:val="auto"/>
                <w:highlight w:val="none"/>
              </w:rPr>
              <w:t>L</w:t>
            </w:r>
            <w:r>
              <w:rPr>
                <w:rFonts w:ascii="Times New Roman" w:cs="Times New Roman"/>
                <w:color w:val="auto"/>
                <w:highlight w:val="none"/>
                <w:vertAlign w:val="subscript"/>
              </w:rPr>
              <w:t>Aeq</w:t>
            </w:r>
            <w:r>
              <w:rPr>
                <w:rFonts w:hAnsi="宋体" w:cs="Times New Roman"/>
                <w:color w:val="auto"/>
                <w:highlight w:val="none"/>
              </w:rPr>
              <w:t>）</w:t>
            </w:r>
            <w:r>
              <w:rPr>
                <w:rFonts w:hAnsi="宋体" w:cs="Times New Roman"/>
                <w:color w:val="auto"/>
                <w:highlight w:val="none"/>
                <w:vertAlign w:val="subscript"/>
              </w:rPr>
              <w:t>合</w:t>
            </w:r>
            <w:r>
              <w:rPr>
                <w:rFonts w:ascii="Times New Roman" w:cs="Times New Roman"/>
                <w:color w:val="auto"/>
                <w:highlight w:val="none"/>
                <w:vertAlign w:val="subscript"/>
              </w:rPr>
              <w:t xml:space="preserve"> </w:t>
            </w:r>
            <w:r>
              <w:rPr>
                <w:rFonts w:ascii="Times New Roman" w:cs="Times New Roman"/>
                <w:color w:val="auto"/>
                <w:highlight w:val="none"/>
              </w:rPr>
              <w:t>——</w:t>
            </w:r>
            <w:r>
              <w:rPr>
                <w:rFonts w:hAnsi="宋体" w:cs="Times New Roman"/>
                <w:color w:val="auto"/>
                <w:highlight w:val="none"/>
              </w:rPr>
              <w:t>多个声源发出的噪声在同一预测受声点的合成噪声，</w:t>
            </w:r>
            <w:r>
              <w:rPr>
                <w:rFonts w:ascii="Times New Roman" w:cs="Times New Roman"/>
                <w:color w:val="auto"/>
                <w:highlight w:val="none"/>
              </w:rPr>
              <w:t>dB(A)</w:t>
            </w:r>
            <w:r>
              <w:rPr>
                <w:rFonts w:hAnsi="宋体" w:cs="Times New Roman"/>
                <w:color w:val="auto"/>
                <w:highlight w:val="none"/>
              </w:rPr>
              <w:t>。</w:t>
            </w:r>
          </w:p>
          <w:p w14:paraId="0CA48A80">
            <w:pPr>
              <w:adjustRightInd w:val="0"/>
              <w:snapToGrid w:val="0"/>
              <w:spacing w:line="360" w:lineRule="auto"/>
              <w:ind w:firstLine="480" w:firstLineChars="200"/>
              <w:textAlignment w:val="baseline"/>
              <w:rPr>
                <w:b/>
                <w:color w:val="auto"/>
                <w:szCs w:val="21"/>
                <w:highlight w:val="none"/>
              </w:rPr>
            </w:pPr>
            <w:r>
              <w:rPr>
                <w:rFonts w:hint="eastAsia"/>
                <w:color w:val="auto"/>
                <w:sz w:val="24"/>
                <w:highlight w:val="none"/>
              </w:rPr>
              <w:t>本项目夜间不生产。经预测可知，运营期厂区四侧厂界噪声预测结果见下表：</w:t>
            </w:r>
          </w:p>
          <w:p w14:paraId="1F61FA63">
            <w:pPr>
              <w:adjustRightInd w:val="0"/>
              <w:snapToGrid w:val="0"/>
              <w:jc w:val="center"/>
              <w:rPr>
                <w:b/>
                <w:color w:val="auto"/>
                <w:szCs w:val="21"/>
                <w:highlight w:val="none"/>
              </w:rPr>
            </w:pPr>
            <w:r>
              <w:rPr>
                <w:rFonts w:hint="eastAsia"/>
                <w:b/>
                <w:bCs/>
                <w:color w:val="auto"/>
                <w:highlight w:val="none"/>
              </w:rPr>
              <w:t>表</w:t>
            </w:r>
            <w:r>
              <w:rPr>
                <w:b/>
                <w:color w:val="auto"/>
                <w:szCs w:val="21"/>
                <w:highlight w:val="none"/>
              </w:rPr>
              <w:t>4-</w:t>
            </w:r>
            <w:r>
              <w:rPr>
                <w:rFonts w:hint="eastAsia"/>
                <w:b/>
                <w:color w:val="auto"/>
                <w:szCs w:val="21"/>
                <w:highlight w:val="none"/>
                <w:lang w:val="en-US" w:eastAsia="zh-CN"/>
              </w:rPr>
              <w:t>11</w:t>
            </w:r>
            <w:r>
              <w:rPr>
                <w:rFonts w:hint="eastAsia"/>
                <w:b/>
                <w:color w:val="auto"/>
                <w:szCs w:val="21"/>
                <w:highlight w:val="none"/>
              </w:rPr>
              <w:t xml:space="preserve"> </w:t>
            </w:r>
            <w:r>
              <w:rPr>
                <w:b/>
                <w:color w:val="auto"/>
                <w:szCs w:val="21"/>
                <w:highlight w:val="none"/>
              </w:rPr>
              <w:t xml:space="preserve"> </w:t>
            </w:r>
            <w:r>
              <w:rPr>
                <w:rFonts w:hint="eastAsia"/>
                <w:b/>
                <w:color w:val="auto"/>
                <w:szCs w:val="21"/>
                <w:highlight w:val="none"/>
              </w:rPr>
              <w:t>项目</w:t>
            </w:r>
            <w:r>
              <w:rPr>
                <w:b/>
                <w:color w:val="auto"/>
                <w:szCs w:val="21"/>
                <w:highlight w:val="none"/>
              </w:rPr>
              <w:t>厂界噪声</w:t>
            </w:r>
            <w:r>
              <w:rPr>
                <w:rFonts w:hint="eastAsia"/>
                <w:b/>
                <w:color w:val="auto"/>
                <w:szCs w:val="21"/>
                <w:highlight w:val="none"/>
              </w:rPr>
              <w:t>预测</w:t>
            </w:r>
            <w:r>
              <w:rPr>
                <w:b/>
                <w:color w:val="auto"/>
                <w:szCs w:val="21"/>
                <w:highlight w:val="none"/>
              </w:rPr>
              <w:t>结果统计表</w:t>
            </w:r>
            <w:r>
              <w:rPr>
                <w:rFonts w:hint="eastAsia"/>
                <w:b/>
                <w:color w:val="auto"/>
                <w:szCs w:val="21"/>
                <w:highlight w:val="none"/>
              </w:rPr>
              <w:t xml:space="preserve">    单位：</w:t>
            </w:r>
            <w:r>
              <w:rPr>
                <w:b/>
                <w:color w:val="auto"/>
                <w:szCs w:val="21"/>
                <w:highlight w:val="none"/>
              </w:rPr>
              <w:t>dB(A)</w:t>
            </w:r>
          </w:p>
          <w:tbl>
            <w:tblPr>
              <w:tblStyle w:val="35"/>
              <w:tblW w:w="8184"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010"/>
              <w:gridCol w:w="2216"/>
              <w:gridCol w:w="2151"/>
              <w:gridCol w:w="1807"/>
            </w:tblGrid>
            <w:tr w14:paraId="60CFC76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exact"/>
                <w:jc w:val="center"/>
              </w:trPr>
              <w:tc>
                <w:tcPr>
                  <w:tcW w:w="2010" w:type="dxa"/>
                  <w:vMerge w:val="restart"/>
                  <w:tcBorders>
                    <w:tl2br w:val="nil"/>
                    <w:tr2bl w:val="nil"/>
                  </w:tcBorders>
                  <w:vAlign w:val="center"/>
                </w:tcPr>
                <w:p w14:paraId="0CCF700D">
                  <w:pPr>
                    <w:jc w:val="center"/>
                    <w:rPr>
                      <w:rFonts w:eastAsiaTheme="minorEastAsia"/>
                      <w:color w:val="auto"/>
                      <w:szCs w:val="21"/>
                      <w:highlight w:val="none"/>
                    </w:rPr>
                  </w:pPr>
                  <w:r>
                    <w:rPr>
                      <w:rFonts w:eastAsiaTheme="minorEastAsia"/>
                      <w:b/>
                      <w:color w:val="auto"/>
                      <w:szCs w:val="21"/>
                      <w:highlight w:val="none"/>
                    </w:rPr>
                    <w:t>预测方位</w:t>
                  </w:r>
                </w:p>
              </w:tc>
              <w:tc>
                <w:tcPr>
                  <w:tcW w:w="2216" w:type="dxa"/>
                  <w:tcBorders>
                    <w:tl2br w:val="nil"/>
                    <w:tr2bl w:val="nil"/>
                  </w:tcBorders>
                  <w:vAlign w:val="center"/>
                </w:tcPr>
                <w:p w14:paraId="0D0A4C29">
                  <w:pPr>
                    <w:jc w:val="center"/>
                    <w:rPr>
                      <w:rFonts w:eastAsiaTheme="minorEastAsia"/>
                      <w:b/>
                      <w:color w:val="auto"/>
                      <w:szCs w:val="21"/>
                      <w:highlight w:val="none"/>
                    </w:rPr>
                  </w:pPr>
                  <w:r>
                    <w:rPr>
                      <w:rFonts w:hint="eastAsia" w:eastAsiaTheme="minorEastAsia"/>
                      <w:b/>
                      <w:color w:val="auto"/>
                      <w:szCs w:val="21"/>
                      <w:highlight w:val="none"/>
                    </w:rPr>
                    <w:t>贡献值</w:t>
                  </w:r>
                </w:p>
              </w:tc>
              <w:tc>
                <w:tcPr>
                  <w:tcW w:w="2151" w:type="dxa"/>
                  <w:tcBorders>
                    <w:tl2br w:val="nil"/>
                    <w:tr2bl w:val="nil"/>
                  </w:tcBorders>
                  <w:vAlign w:val="center"/>
                </w:tcPr>
                <w:p w14:paraId="5F188587">
                  <w:pPr>
                    <w:jc w:val="center"/>
                    <w:rPr>
                      <w:rFonts w:eastAsiaTheme="minorEastAsia"/>
                      <w:b/>
                      <w:color w:val="auto"/>
                      <w:szCs w:val="21"/>
                      <w:highlight w:val="none"/>
                    </w:rPr>
                  </w:pPr>
                  <w:r>
                    <w:rPr>
                      <w:rFonts w:eastAsiaTheme="minorEastAsia"/>
                      <w:b/>
                      <w:color w:val="auto"/>
                      <w:szCs w:val="21"/>
                      <w:highlight w:val="none"/>
                    </w:rPr>
                    <w:t>标准限值</w:t>
                  </w:r>
                </w:p>
              </w:tc>
              <w:tc>
                <w:tcPr>
                  <w:tcW w:w="1807" w:type="dxa"/>
                  <w:vMerge w:val="restart"/>
                  <w:tcBorders>
                    <w:tl2br w:val="nil"/>
                    <w:tr2bl w:val="nil"/>
                  </w:tcBorders>
                  <w:vAlign w:val="center"/>
                </w:tcPr>
                <w:p w14:paraId="4AC77491">
                  <w:pPr>
                    <w:jc w:val="center"/>
                    <w:rPr>
                      <w:rFonts w:eastAsiaTheme="minorEastAsia"/>
                      <w:color w:val="auto"/>
                      <w:szCs w:val="21"/>
                      <w:highlight w:val="none"/>
                    </w:rPr>
                  </w:pPr>
                  <w:r>
                    <w:rPr>
                      <w:rFonts w:eastAsiaTheme="minorEastAsia"/>
                      <w:b/>
                      <w:color w:val="auto"/>
                      <w:szCs w:val="21"/>
                      <w:highlight w:val="none"/>
                    </w:rPr>
                    <w:t>达标情况</w:t>
                  </w:r>
                </w:p>
              </w:tc>
            </w:tr>
            <w:tr w14:paraId="3E60B99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2010" w:type="dxa"/>
                  <w:vMerge w:val="continue"/>
                  <w:tcBorders>
                    <w:tl2br w:val="nil"/>
                    <w:tr2bl w:val="nil"/>
                  </w:tcBorders>
                  <w:shd w:val="clear" w:color="auto" w:fill="FFFFFF"/>
                  <w:vAlign w:val="center"/>
                </w:tcPr>
                <w:p w14:paraId="1E2277E4">
                  <w:pPr>
                    <w:jc w:val="center"/>
                    <w:rPr>
                      <w:rFonts w:eastAsiaTheme="minorEastAsia"/>
                      <w:color w:val="auto"/>
                      <w:szCs w:val="21"/>
                      <w:highlight w:val="none"/>
                    </w:rPr>
                  </w:pPr>
                </w:p>
              </w:tc>
              <w:tc>
                <w:tcPr>
                  <w:tcW w:w="2216" w:type="dxa"/>
                  <w:tcBorders>
                    <w:tl2br w:val="nil"/>
                    <w:tr2bl w:val="nil"/>
                  </w:tcBorders>
                  <w:shd w:val="clear" w:color="auto" w:fill="FFFFFF"/>
                  <w:vAlign w:val="center"/>
                </w:tcPr>
                <w:p w14:paraId="2B5E30C2">
                  <w:pPr>
                    <w:jc w:val="center"/>
                    <w:rPr>
                      <w:rFonts w:eastAsiaTheme="minorEastAsia"/>
                      <w:color w:val="auto"/>
                      <w:szCs w:val="21"/>
                      <w:highlight w:val="none"/>
                    </w:rPr>
                  </w:pPr>
                  <w:r>
                    <w:rPr>
                      <w:rFonts w:hint="eastAsia" w:eastAsiaTheme="minorEastAsia"/>
                      <w:color w:val="auto"/>
                      <w:szCs w:val="21"/>
                      <w:highlight w:val="none"/>
                    </w:rPr>
                    <w:t>昼间</w:t>
                  </w:r>
                </w:p>
              </w:tc>
              <w:tc>
                <w:tcPr>
                  <w:tcW w:w="2151" w:type="dxa"/>
                  <w:tcBorders>
                    <w:tl2br w:val="nil"/>
                    <w:tr2bl w:val="nil"/>
                  </w:tcBorders>
                  <w:shd w:val="clear" w:color="auto" w:fill="FFFFFF"/>
                  <w:vAlign w:val="center"/>
                </w:tcPr>
                <w:p w14:paraId="57814E87">
                  <w:pPr>
                    <w:jc w:val="center"/>
                    <w:rPr>
                      <w:rFonts w:eastAsiaTheme="minorEastAsia"/>
                      <w:color w:val="auto"/>
                      <w:szCs w:val="21"/>
                      <w:highlight w:val="none"/>
                    </w:rPr>
                  </w:pPr>
                  <w:r>
                    <w:rPr>
                      <w:rFonts w:hint="eastAsia" w:eastAsiaTheme="minorEastAsia"/>
                      <w:color w:val="auto"/>
                      <w:szCs w:val="21"/>
                      <w:highlight w:val="none"/>
                    </w:rPr>
                    <w:t>昼间</w:t>
                  </w:r>
                </w:p>
              </w:tc>
              <w:tc>
                <w:tcPr>
                  <w:tcW w:w="1807" w:type="dxa"/>
                  <w:vMerge w:val="continue"/>
                  <w:tcBorders>
                    <w:tl2br w:val="nil"/>
                    <w:tr2bl w:val="nil"/>
                  </w:tcBorders>
                  <w:shd w:val="clear" w:color="auto" w:fill="FFFFFF"/>
                  <w:vAlign w:val="center"/>
                </w:tcPr>
                <w:p w14:paraId="16AE78E5">
                  <w:pPr>
                    <w:jc w:val="center"/>
                    <w:rPr>
                      <w:rFonts w:eastAsiaTheme="minorEastAsia"/>
                      <w:color w:val="auto"/>
                      <w:szCs w:val="21"/>
                      <w:highlight w:val="none"/>
                    </w:rPr>
                  </w:pPr>
                </w:p>
              </w:tc>
            </w:tr>
            <w:tr w14:paraId="2145753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283" w:hRule="exact"/>
                <w:jc w:val="center"/>
              </w:trPr>
              <w:tc>
                <w:tcPr>
                  <w:tcW w:w="2010" w:type="dxa"/>
                  <w:tcBorders>
                    <w:tl2br w:val="nil"/>
                    <w:tr2bl w:val="nil"/>
                  </w:tcBorders>
                  <w:shd w:val="clear" w:color="auto" w:fill="FFFFFF"/>
                  <w:vAlign w:val="center"/>
                </w:tcPr>
                <w:p w14:paraId="1FBCABE0">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东侧厂界</w:t>
                  </w:r>
                </w:p>
              </w:tc>
              <w:tc>
                <w:tcPr>
                  <w:tcW w:w="2216" w:type="dxa"/>
                  <w:tcBorders>
                    <w:tl2br w:val="nil"/>
                    <w:tr2bl w:val="nil"/>
                  </w:tcBorders>
                  <w:shd w:val="clear" w:color="auto" w:fill="FFFFFF"/>
                  <w:vAlign w:val="center"/>
                </w:tcPr>
                <w:p w14:paraId="241A77EF">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49.1</w:t>
                  </w:r>
                </w:p>
              </w:tc>
              <w:tc>
                <w:tcPr>
                  <w:tcW w:w="2151" w:type="dxa"/>
                  <w:vMerge w:val="restart"/>
                  <w:tcBorders>
                    <w:tl2br w:val="nil"/>
                    <w:tr2bl w:val="nil"/>
                  </w:tcBorders>
                  <w:shd w:val="clear" w:color="auto" w:fill="FFFFFF"/>
                  <w:vAlign w:val="center"/>
                </w:tcPr>
                <w:p w14:paraId="2677D136">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60</w:t>
                  </w:r>
                </w:p>
              </w:tc>
              <w:tc>
                <w:tcPr>
                  <w:tcW w:w="1807" w:type="dxa"/>
                  <w:tcBorders>
                    <w:tl2br w:val="nil"/>
                    <w:tr2bl w:val="nil"/>
                  </w:tcBorders>
                  <w:shd w:val="clear" w:color="auto" w:fill="FFFFFF"/>
                  <w:vAlign w:val="center"/>
                </w:tcPr>
                <w:p w14:paraId="5DA1BFBC">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达标</w:t>
                  </w:r>
                </w:p>
              </w:tc>
            </w:tr>
            <w:tr w14:paraId="06A74E7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283" w:hRule="exact"/>
                <w:jc w:val="center"/>
              </w:trPr>
              <w:tc>
                <w:tcPr>
                  <w:tcW w:w="2010" w:type="dxa"/>
                  <w:tcBorders>
                    <w:tl2br w:val="nil"/>
                    <w:tr2bl w:val="nil"/>
                  </w:tcBorders>
                  <w:shd w:val="clear" w:color="auto" w:fill="FFFFFF"/>
                  <w:vAlign w:val="center"/>
                </w:tcPr>
                <w:p w14:paraId="00AE0092">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南侧厂界</w:t>
                  </w:r>
                </w:p>
              </w:tc>
              <w:tc>
                <w:tcPr>
                  <w:tcW w:w="2216" w:type="dxa"/>
                  <w:tcBorders>
                    <w:tl2br w:val="nil"/>
                    <w:tr2bl w:val="nil"/>
                  </w:tcBorders>
                  <w:shd w:val="clear" w:color="auto" w:fill="FFFFFF"/>
                  <w:vAlign w:val="center"/>
                </w:tcPr>
                <w:p w14:paraId="2E5888C1">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54.9</w:t>
                  </w:r>
                </w:p>
              </w:tc>
              <w:tc>
                <w:tcPr>
                  <w:tcW w:w="2151" w:type="dxa"/>
                  <w:vMerge w:val="continue"/>
                  <w:tcBorders>
                    <w:tl2br w:val="nil"/>
                    <w:tr2bl w:val="nil"/>
                  </w:tcBorders>
                  <w:shd w:val="clear" w:color="auto" w:fill="FFFFFF"/>
                  <w:vAlign w:val="center"/>
                </w:tcPr>
                <w:p w14:paraId="158311EF">
                  <w:pPr>
                    <w:jc w:val="center"/>
                    <w:rPr>
                      <w:rFonts w:hint="default" w:ascii="Times New Roman" w:hAnsi="Times New Roman" w:eastAsia="宋体" w:cs="Times New Roman"/>
                      <w:color w:val="auto"/>
                      <w:szCs w:val="21"/>
                      <w:highlight w:val="none"/>
                    </w:rPr>
                  </w:pPr>
                </w:p>
              </w:tc>
              <w:tc>
                <w:tcPr>
                  <w:tcW w:w="1807" w:type="dxa"/>
                  <w:tcBorders>
                    <w:tl2br w:val="nil"/>
                    <w:tr2bl w:val="nil"/>
                  </w:tcBorders>
                  <w:shd w:val="clear" w:color="auto" w:fill="FFFFFF"/>
                  <w:vAlign w:val="center"/>
                </w:tcPr>
                <w:p w14:paraId="6053B72E">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达标</w:t>
                  </w:r>
                </w:p>
              </w:tc>
            </w:tr>
            <w:tr w14:paraId="4E3C409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283" w:hRule="exact"/>
                <w:jc w:val="center"/>
              </w:trPr>
              <w:tc>
                <w:tcPr>
                  <w:tcW w:w="2010" w:type="dxa"/>
                  <w:tcBorders>
                    <w:tl2br w:val="nil"/>
                    <w:tr2bl w:val="nil"/>
                  </w:tcBorders>
                  <w:shd w:val="clear" w:color="auto" w:fill="FFFFFF"/>
                  <w:vAlign w:val="center"/>
                </w:tcPr>
                <w:p w14:paraId="5B7B13C9">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西侧厂界</w:t>
                  </w:r>
                </w:p>
              </w:tc>
              <w:tc>
                <w:tcPr>
                  <w:tcW w:w="2216" w:type="dxa"/>
                  <w:tcBorders>
                    <w:tl2br w:val="nil"/>
                    <w:tr2bl w:val="nil"/>
                  </w:tcBorders>
                  <w:shd w:val="clear" w:color="auto" w:fill="FFFFFF"/>
                  <w:vAlign w:val="center"/>
                </w:tcPr>
                <w:p w14:paraId="1BB2E1F6">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55.2</w:t>
                  </w:r>
                </w:p>
              </w:tc>
              <w:tc>
                <w:tcPr>
                  <w:tcW w:w="2151" w:type="dxa"/>
                  <w:vMerge w:val="continue"/>
                  <w:tcBorders>
                    <w:tl2br w:val="nil"/>
                    <w:tr2bl w:val="nil"/>
                  </w:tcBorders>
                  <w:shd w:val="clear" w:color="auto" w:fill="FFFFFF"/>
                  <w:vAlign w:val="center"/>
                </w:tcPr>
                <w:p w14:paraId="389348F9">
                  <w:pPr>
                    <w:jc w:val="center"/>
                    <w:rPr>
                      <w:rFonts w:hint="default" w:ascii="Times New Roman" w:hAnsi="Times New Roman" w:eastAsia="宋体" w:cs="Times New Roman"/>
                      <w:color w:val="auto"/>
                      <w:szCs w:val="21"/>
                      <w:highlight w:val="none"/>
                    </w:rPr>
                  </w:pPr>
                </w:p>
              </w:tc>
              <w:tc>
                <w:tcPr>
                  <w:tcW w:w="1807" w:type="dxa"/>
                  <w:tcBorders>
                    <w:tl2br w:val="nil"/>
                    <w:tr2bl w:val="nil"/>
                  </w:tcBorders>
                  <w:shd w:val="clear" w:color="auto" w:fill="FFFFFF"/>
                  <w:vAlign w:val="center"/>
                </w:tcPr>
                <w:p w14:paraId="0563518D">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达标</w:t>
                  </w:r>
                </w:p>
              </w:tc>
            </w:tr>
            <w:tr w14:paraId="449D23E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283" w:hRule="exact"/>
                <w:jc w:val="center"/>
              </w:trPr>
              <w:tc>
                <w:tcPr>
                  <w:tcW w:w="2010" w:type="dxa"/>
                  <w:tcBorders>
                    <w:tl2br w:val="nil"/>
                    <w:tr2bl w:val="nil"/>
                  </w:tcBorders>
                  <w:shd w:val="clear" w:color="auto" w:fill="FFFFFF"/>
                  <w:vAlign w:val="center"/>
                </w:tcPr>
                <w:p w14:paraId="788623A3">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北侧厂界</w:t>
                  </w:r>
                </w:p>
              </w:tc>
              <w:tc>
                <w:tcPr>
                  <w:tcW w:w="2216" w:type="dxa"/>
                  <w:tcBorders>
                    <w:tl2br w:val="nil"/>
                    <w:tr2bl w:val="nil"/>
                  </w:tcBorders>
                  <w:shd w:val="clear" w:color="auto" w:fill="FFFFFF"/>
                  <w:vAlign w:val="center"/>
                </w:tcPr>
                <w:p w14:paraId="4D12150E">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46.5</w:t>
                  </w:r>
                </w:p>
              </w:tc>
              <w:tc>
                <w:tcPr>
                  <w:tcW w:w="2151" w:type="dxa"/>
                  <w:vMerge w:val="continue"/>
                  <w:tcBorders>
                    <w:tl2br w:val="nil"/>
                    <w:tr2bl w:val="nil"/>
                  </w:tcBorders>
                  <w:shd w:val="clear" w:color="auto" w:fill="FFFFFF"/>
                  <w:vAlign w:val="center"/>
                </w:tcPr>
                <w:p w14:paraId="49BEA934">
                  <w:pPr>
                    <w:jc w:val="center"/>
                    <w:rPr>
                      <w:rFonts w:hint="default" w:ascii="Times New Roman" w:hAnsi="Times New Roman" w:eastAsia="宋体" w:cs="Times New Roman"/>
                      <w:color w:val="auto"/>
                      <w:szCs w:val="21"/>
                      <w:highlight w:val="none"/>
                    </w:rPr>
                  </w:pPr>
                </w:p>
              </w:tc>
              <w:tc>
                <w:tcPr>
                  <w:tcW w:w="1807" w:type="dxa"/>
                  <w:tcBorders>
                    <w:tl2br w:val="nil"/>
                    <w:tr2bl w:val="nil"/>
                  </w:tcBorders>
                  <w:shd w:val="clear" w:color="auto" w:fill="FFFFFF"/>
                  <w:vAlign w:val="center"/>
                </w:tcPr>
                <w:p w14:paraId="326E180B">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达标</w:t>
                  </w:r>
                </w:p>
              </w:tc>
            </w:tr>
          </w:tbl>
          <w:p w14:paraId="5B7740D0">
            <w:pPr>
              <w:spacing w:line="360" w:lineRule="auto"/>
              <w:ind w:firstLine="480" w:firstLineChars="200"/>
              <w:rPr>
                <w:color w:val="auto"/>
                <w:sz w:val="24"/>
                <w:szCs w:val="20"/>
                <w:highlight w:val="none"/>
              </w:rPr>
            </w:pPr>
            <w:r>
              <w:rPr>
                <w:rFonts w:hint="eastAsia"/>
                <w:color w:val="auto"/>
                <w:sz w:val="24"/>
                <w:szCs w:val="20"/>
                <w:highlight w:val="none"/>
              </w:rPr>
              <w:t>根据上表可知</w:t>
            </w:r>
            <w:r>
              <w:rPr>
                <w:color w:val="auto"/>
                <w:sz w:val="24"/>
                <w:szCs w:val="20"/>
                <w:highlight w:val="none"/>
              </w:rPr>
              <w:t>，本项目运营过程中产生的噪声经基础减</w:t>
            </w:r>
            <w:r>
              <w:rPr>
                <w:rFonts w:hint="eastAsia"/>
                <w:color w:val="auto"/>
                <w:sz w:val="24"/>
                <w:szCs w:val="20"/>
                <w:highlight w:val="none"/>
              </w:rPr>
              <w:t>振</w:t>
            </w:r>
            <w:r>
              <w:rPr>
                <w:color w:val="auto"/>
                <w:sz w:val="24"/>
                <w:szCs w:val="20"/>
                <w:highlight w:val="none"/>
              </w:rPr>
              <w:t>、厂房隔声及距离衰减后，</w:t>
            </w:r>
            <w:r>
              <w:rPr>
                <w:rFonts w:hint="eastAsia"/>
                <w:color w:val="auto"/>
                <w:sz w:val="24"/>
                <w:szCs w:val="20"/>
                <w:highlight w:val="none"/>
              </w:rPr>
              <w:t>四侧</w:t>
            </w:r>
            <w:r>
              <w:rPr>
                <w:color w:val="auto"/>
                <w:sz w:val="24"/>
                <w:szCs w:val="20"/>
                <w:highlight w:val="none"/>
              </w:rPr>
              <w:t>厂界噪声</w:t>
            </w:r>
            <w:r>
              <w:rPr>
                <w:rFonts w:hint="eastAsia"/>
                <w:color w:val="auto"/>
                <w:sz w:val="24"/>
                <w:szCs w:val="20"/>
                <w:highlight w:val="none"/>
              </w:rPr>
              <w:t>贡献值</w:t>
            </w:r>
            <w:r>
              <w:rPr>
                <w:color w:val="auto"/>
                <w:sz w:val="24"/>
                <w:szCs w:val="20"/>
                <w:highlight w:val="none"/>
              </w:rPr>
              <w:t>均满足《工业企业厂界环境噪声排放标准》（GB12348-2008）中的2类标准（昼间60dB(A)）</w:t>
            </w:r>
            <w:r>
              <w:rPr>
                <w:rFonts w:hint="eastAsia"/>
                <w:color w:val="auto"/>
                <w:sz w:val="24"/>
                <w:szCs w:val="21"/>
                <w:highlight w:val="none"/>
              </w:rPr>
              <w:t>。</w:t>
            </w:r>
          </w:p>
          <w:p w14:paraId="08FE5AFC">
            <w:pPr>
              <w:adjustRightInd w:val="0"/>
              <w:snapToGrid w:val="0"/>
              <w:spacing w:line="360" w:lineRule="auto"/>
              <w:ind w:left="420" w:leftChars="200"/>
              <w:rPr>
                <w:color w:val="auto"/>
                <w:sz w:val="24"/>
                <w:highlight w:val="none"/>
              </w:rPr>
            </w:pPr>
            <w:r>
              <w:rPr>
                <w:rFonts w:hint="eastAsia"/>
                <w:color w:val="auto"/>
                <w:sz w:val="24"/>
                <w:highlight w:val="none"/>
              </w:rPr>
              <w:t>2、噪声监测</w:t>
            </w:r>
          </w:p>
          <w:p w14:paraId="20F52CD9">
            <w:pPr>
              <w:adjustRightInd w:val="0"/>
              <w:snapToGrid w:val="0"/>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lang w:eastAsia="zh-CN"/>
              </w:rPr>
              <w:t>根据</w:t>
            </w:r>
            <w:r>
              <w:rPr>
                <w:rFonts w:hint="eastAsia" w:ascii="宋体" w:hAnsi="宋体" w:cs="宋体"/>
                <w:color w:val="auto"/>
                <w:kern w:val="0"/>
                <w:sz w:val="24"/>
                <w:highlight w:val="none"/>
              </w:rPr>
              <w:t>《排污单位自行监测技术指南—食品制造》</w:t>
            </w:r>
            <w:r>
              <w:rPr>
                <w:rFonts w:hint="default" w:ascii="Times New Roman" w:hAnsi="Times New Roman" w:cs="Times New Roman"/>
                <w:color w:val="auto"/>
                <w:kern w:val="0"/>
                <w:sz w:val="24"/>
                <w:highlight w:val="none"/>
              </w:rPr>
              <w:t>（HJ1084-2020）</w:t>
            </w:r>
            <w:r>
              <w:rPr>
                <w:rFonts w:hint="eastAsia" w:ascii="Times New Roman" w:hAnsi="Times New Roman" w:cs="Times New Roman"/>
                <w:color w:val="auto"/>
                <w:kern w:val="0"/>
                <w:sz w:val="24"/>
                <w:highlight w:val="none"/>
                <w:lang w:eastAsia="zh-CN"/>
              </w:rPr>
              <w:t>表</w:t>
            </w:r>
            <w:r>
              <w:rPr>
                <w:rFonts w:hint="eastAsia" w:ascii="Times New Roman" w:hAnsi="Times New Roman" w:cs="Times New Roman"/>
                <w:color w:val="auto"/>
                <w:kern w:val="0"/>
                <w:sz w:val="24"/>
                <w:highlight w:val="none"/>
                <w:lang w:val="en-US" w:eastAsia="zh-CN"/>
              </w:rPr>
              <w:t>4中相关内容</w:t>
            </w:r>
            <w:r>
              <w:rPr>
                <w:rFonts w:hint="eastAsia" w:ascii="宋体" w:hAnsi="宋体" w:cs="宋体"/>
                <w:color w:val="auto"/>
                <w:kern w:val="0"/>
                <w:sz w:val="24"/>
                <w:highlight w:val="none"/>
              </w:rPr>
              <w:t>，建设单位</w:t>
            </w:r>
            <w:r>
              <w:rPr>
                <w:rFonts w:hint="eastAsia" w:ascii="宋体" w:hAnsi="宋体" w:cs="宋体"/>
                <w:color w:val="auto"/>
                <w:kern w:val="0"/>
                <w:sz w:val="24"/>
                <w:highlight w:val="none"/>
                <w:lang w:eastAsia="zh-CN"/>
              </w:rPr>
              <w:t>运营期噪声监测</w:t>
            </w:r>
            <w:r>
              <w:rPr>
                <w:rFonts w:hint="eastAsia" w:ascii="宋体" w:hAnsi="宋体" w:cs="宋体"/>
                <w:color w:val="auto"/>
                <w:kern w:val="0"/>
                <w:sz w:val="24"/>
                <w:highlight w:val="none"/>
              </w:rPr>
              <w:t>具体要求如下：</w:t>
            </w:r>
          </w:p>
          <w:p w14:paraId="78C63641">
            <w:pPr>
              <w:adjustRightInd w:val="0"/>
              <w:snapToGrid w:val="0"/>
              <w:jc w:val="center"/>
              <w:rPr>
                <w:b/>
                <w:bCs/>
                <w:color w:val="auto"/>
                <w:kern w:val="24"/>
                <w:szCs w:val="22"/>
                <w:highlight w:val="none"/>
              </w:rPr>
            </w:pPr>
            <w:r>
              <w:rPr>
                <w:b/>
                <w:bCs/>
                <w:color w:val="auto"/>
                <w:kern w:val="24"/>
                <w:szCs w:val="22"/>
                <w:highlight w:val="none"/>
              </w:rPr>
              <w:t>表4-</w:t>
            </w:r>
            <w:r>
              <w:rPr>
                <w:rFonts w:hint="eastAsia"/>
                <w:b/>
                <w:bCs/>
                <w:color w:val="auto"/>
                <w:kern w:val="24"/>
                <w:szCs w:val="22"/>
                <w:highlight w:val="none"/>
              </w:rPr>
              <w:t>1</w:t>
            </w:r>
            <w:r>
              <w:rPr>
                <w:rFonts w:hint="eastAsia"/>
                <w:b/>
                <w:bCs/>
                <w:color w:val="auto"/>
                <w:kern w:val="24"/>
                <w:szCs w:val="22"/>
                <w:highlight w:val="none"/>
                <w:lang w:val="en-US" w:eastAsia="zh-CN"/>
              </w:rPr>
              <w:t>2</w:t>
            </w:r>
            <w:r>
              <w:rPr>
                <w:rFonts w:hint="eastAsia"/>
                <w:b/>
                <w:bCs/>
                <w:color w:val="auto"/>
                <w:kern w:val="24"/>
                <w:szCs w:val="22"/>
                <w:highlight w:val="none"/>
              </w:rPr>
              <w:t xml:space="preserve"> </w:t>
            </w:r>
            <w:r>
              <w:rPr>
                <w:b/>
                <w:bCs/>
                <w:color w:val="auto"/>
                <w:kern w:val="24"/>
                <w:szCs w:val="22"/>
                <w:highlight w:val="none"/>
              </w:rPr>
              <w:t xml:space="preserve"> </w:t>
            </w:r>
            <w:r>
              <w:rPr>
                <w:rFonts w:hint="eastAsia"/>
                <w:b/>
                <w:bCs/>
                <w:color w:val="auto"/>
                <w:kern w:val="24"/>
                <w:szCs w:val="22"/>
                <w:highlight w:val="none"/>
              </w:rPr>
              <w:t>噪声</w:t>
            </w:r>
            <w:r>
              <w:rPr>
                <w:b/>
                <w:bCs/>
                <w:color w:val="auto"/>
                <w:kern w:val="24"/>
                <w:szCs w:val="22"/>
                <w:highlight w:val="none"/>
              </w:rPr>
              <w:t>监测一览表</w:t>
            </w:r>
          </w:p>
          <w:tbl>
            <w:tblPr>
              <w:tblStyle w:val="35"/>
              <w:tblW w:w="8404" w:type="dxa"/>
              <w:tblInd w:w="15" w:type="dxa"/>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
            <w:tblGrid>
              <w:gridCol w:w="782"/>
              <w:gridCol w:w="1600"/>
              <w:gridCol w:w="1127"/>
              <w:gridCol w:w="1201"/>
              <w:gridCol w:w="3694"/>
            </w:tblGrid>
            <w:tr w14:paraId="22D4D7FA">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97" w:hRule="atLeast"/>
              </w:trPr>
              <w:tc>
                <w:tcPr>
                  <w:tcW w:w="782" w:type="dxa"/>
                  <w:tcBorders>
                    <w:tl2br w:val="nil"/>
                    <w:tr2bl w:val="nil"/>
                  </w:tcBorders>
                  <w:vAlign w:val="center"/>
                </w:tcPr>
                <w:p w14:paraId="671C4902">
                  <w:pPr>
                    <w:jc w:val="center"/>
                    <w:rPr>
                      <w:color w:val="auto"/>
                      <w:szCs w:val="21"/>
                      <w:highlight w:val="none"/>
                    </w:rPr>
                  </w:pPr>
                  <w:r>
                    <w:rPr>
                      <w:color w:val="auto"/>
                      <w:szCs w:val="21"/>
                      <w:highlight w:val="none"/>
                    </w:rPr>
                    <w:t>监测项目</w:t>
                  </w:r>
                </w:p>
              </w:tc>
              <w:tc>
                <w:tcPr>
                  <w:tcW w:w="1600" w:type="dxa"/>
                  <w:tcBorders>
                    <w:tl2br w:val="nil"/>
                    <w:tr2bl w:val="nil"/>
                  </w:tcBorders>
                  <w:vAlign w:val="center"/>
                </w:tcPr>
                <w:p w14:paraId="4329B30F">
                  <w:pPr>
                    <w:jc w:val="center"/>
                    <w:rPr>
                      <w:color w:val="auto"/>
                      <w:szCs w:val="21"/>
                      <w:highlight w:val="none"/>
                    </w:rPr>
                  </w:pPr>
                  <w:r>
                    <w:rPr>
                      <w:color w:val="auto"/>
                      <w:szCs w:val="21"/>
                      <w:highlight w:val="none"/>
                    </w:rPr>
                    <w:t>监测位置</w:t>
                  </w:r>
                </w:p>
              </w:tc>
              <w:tc>
                <w:tcPr>
                  <w:tcW w:w="1127" w:type="dxa"/>
                  <w:tcBorders>
                    <w:tl2br w:val="nil"/>
                    <w:tr2bl w:val="nil"/>
                  </w:tcBorders>
                  <w:vAlign w:val="center"/>
                </w:tcPr>
                <w:p w14:paraId="31C71E6B">
                  <w:pPr>
                    <w:jc w:val="center"/>
                    <w:rPr>
                      <w:color w:val="auto"/>
                      <w:szCs w:val="21"/>
                      <w:highlight w:val="none"/>
                    </w:rPr>
                  </w:pPr>
                  <w:r>
                    <w:rPr>
                      <w:color w:val="auto"/>
                      <w:szCs w:val="21"/>
                      <w:highlight w:val="none"/>
                    </w:rPr>
                    <w:t>监测因子</w:t>
                  </w:r>
                </w:p>
              </w:tc>
              <w:tc>
                <w:tcPr>
                  <w:tcW w:w="1201" w:type="dxa"/>
                  <w:tcBorders>
                    <w:tl2br w:val="nil"/>
                    <w:tr2bl w:val="nil"/>
                  </w:tcBorders>
                  <w:vAlign w:val="center"/>
                </w:tcPr>
                <w:p w14:paraId="3EE6ABCA">
                  <w:pPr>
                    <w:jc w:val="center"/>
                    <w:rPr>
                      <w:color w:val="auto"/>
                      <w:szCs w:val="21"/>
                      <w:highlight w:val="none"/>
                    </w:rPr>
                  </w:pPr>
                  <w:r>
                    <w:rPr>
                      <w:color w:val="auto"/>
                      <w:szCs w:val="21"/>
                      <w:highlight w:val="none"/>
                    </w:rPr>
                    <w:t>监测时间、频率</w:t>
                  </w:r>
                </w:p>
              </w:tc>
              <w:tc>
                <w:tcPr>
                  <w:tcW w:w="3694" w:type="dxa"/>
                  <w:tcBorders>
                    <w:tl2br w:val="nil"/>
                    <w:tr2bl w:val="nil"/>
                  </w:tcBorders>
                  <w:vAlign w:val="center"/>
                </w:tcPr>
                <w:p w14:paraId="325931B6">
                  <w:pPr>
                    <w:jc w:val="center"/>
                    <w:rPr>
                      <w:color w:val="auto"/>
                      <w:szCs w:val="21"/>
                      <w:highlight w:val="none"/>
                    </w:rPr>
                  </w:pPr>
                  <w:r>
                    <w:rPr>
                      <w:color w:val="auto"/>
                      <w:szCs w:val="21"/>
                      <w:highlight w:val="none"/>
                    </w:rPr>
                    <w:t>执行标准</w:t>
                  </w:r>
                </w:p>
              </w:tc>
            </w:tr>
            <w:tr w14:paraId="4BBC10EC">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90" w:hRule="atLeast"/>
              </w:trPr>
              <w:tc>
                <w:tcPr>
                  <w:tcW w:w="782" w:type="dxa"/>
                  <w:tcBorders>
                    <w:tl2br w:val="nil"/>
                    <w:tr2bl w:val="nil"/>
                  </w:tcBorders>
                  <w:vAlign w:val="center"/>
                </w:tcPr>
                <w:p w14:paraId="5A6E68E3">
                  <w:pPr>
                    <w:jc w:val="center"/>
                    <w:rPr>
                      <w:color w:val="auto"/>
                      <w:szCs w:val="21"/>
                      <w:highlight w:val="none"/>
                    </w:rPr>
                  </w:pPr>
                  <w:r>
                    <w:rPr>
                      <w:color w:val="auto"/>
                      <w:szCs w:val="21"/>
                      <w:highlight w:val="none"/>
                    </w:rPr>
                    <w:t>噪声</w:t>
                  </w:r>
                </w:p>
              </w:tc>
              <w:tc>
                <w:tcPr>
                  <w:tcW w:w="1600" w:type="dxa"/>
                  <w:tcBorders>
                    <w:tl2br w:val="nil"/>
                    <w:tr2bl w:val="nil"/>
                  </w:tcBorders>
                  <w:vAlign w:val="center"/>
                </w:tcPr>
                <w:p w14:paraId="58BAA8DA">
                  <w:pPr>
                    <w:jc w:val="center"/>
                    <w:rPr>
                      <w:color w:val="auto"/>
                      <w:szCs w:val="21"/>
                      <w:highlight w:val="none"/>
                    </w:rPr>
                  </w:pPr>
                  <w:r>
                    <w:rPr>
                      <w:color w:val="auto"/>
                      <w:szCs w:val="21"/>
                      <w:highlight w:val="none"/>
                    </w:rPr>
                    <w:t>厂界四</w:t>
                  </w:r>
                  <w:r>
                    <w:rPr>
                      <w:rFonts w:hint="eastAsia"/>
                      <w:color w:val="auto"/>
                      <w:szCs w:val="21"/>
                      <w:highlight w:val="none"/>
                    </w:rPr>
                    <w:t>侧</w:t>
                  </w:r>
                </w:p>
              </w:tc>
              <w:tc>
                <w:tcPr>
                  <w:tcW w:w="1127" w:type="dxa"/>
                  <w:tcBorders>
                    <w:tl2br w:val="nil"/>
                    <w:tr2bl w:val="nil"/>
                  </w:tcBorders>
                  <w:vAlign w:val="center"/>
                </w:tcPr>
                <w:p w14:paraId="0BEC8B9D">
                  <w:pPr>
                    <w:jc w:val="center"/>
                    <w:rPr>
                      <w:color w:val="auto"/>
                      <w:szCs w:val="21"/>
                      <w:highlight w:val="none"/>
                    </w:rPr>
                  </w:pPr>
                  <w:r>
                    <w:rPr>
                      <w:color w:val="auto"/>
                      <w:highlight w:val="none"/>
                    </w:rPr>
                    <w:t>噪声</w:t>
                  </w:r>
                </w:p>
              </w:tc>
              <w:tc>
                <w:tcPr>
                  <w:tcW w:w="1201" w:type="dxa"/>
                  <w:tcBorders>
                    <w:tl2br w:val="nil"/>
                    <w:tr2bl w:val="nil"/>
                  </w:tcBorders>
                  <w:vAlign w:val="center"/>
                </w:tcPr>
                <w:p w14:paraId="0CB4C667">
                  <w:pPr>
                    <w:jc w:val="center"/>
                    <w:rPr>
                      <w:color w:val="auto"/>
                      <w:szCs w:val="21"/>
                      <w:highlight w:val="none"/>
                    </w:rPr>
                  </w:pPr>
                  <w:r>
                    <w:rPr>
                      <w:color w:val="auto"/>
                      <w:szCs w:val="21"/>
                      <w:highlight w:val="none"/>
                    </w:rPr>
                    <w:t>一次/季度</w:t>
                  </w:r>
                </w:p>
              </w:tc>
              <w:tc>
                <w:tcPr>
                  <w:tcW w:w="3694" w:type="dxa"/>
                  <w:tcBorders>
                    <w:tl2br w:val="nil"/>
                    <w:tr2bl w:val="nil"/>
                  </w:tcBorders>
                  <w:vAlign w:val="center"/>
                </w:tcPr>
                <w:p w14:paraId="0E2C1205">
                  <w:pPr>
                    <w:jc w:val="center"/>
                    <w:rPr>
                      <w:color w:val="auto"/>
                      <w:szCs w:val="21"/>
                      <w:highlight w:val="none"/>
                    </w:rPr>
                  </w:pPr>
                  <w:r>
                    <w:rPr>
                      <w:color w:val="auto"/>
                      <w:szCs w:val="21"/>
                      <w:highlight w:val="none"/>
                      <w:lang w:val="en-GB"/>
                    </w:rPr>
                    <w:t>《</w:t>
                  </w:r>
                  <w:r>
                    <w:rPr>
                      <w:color w:val="auto"/>
                      <w:szCs w:val="21"/>
                      <w:highlight w:val="none"/>
                    </w:rPr>
                    <w:t>工业企业厂界环境噪声排放标准</w:t>
                  </w:r>
                  <w:r>
                    <w:rPr>
                      <w:color w:val="auto"/>
                      <w:szCs w:val="21"/>
                      <w:highlight w:val="none"/>
                      <w:lang w:val="en-GB"/>
                    </w:rPr>
                    <w:t>》</w:t>
                  </w:r>
                  <w:r>
                    <w:rPr>
                      <w:rFonts w:hint="eastAsia"/>
                      <w:color w:val="auto"/>
                      <w:szCs w:val="21"/>
                      <w:highlight w:val="none"/>
                      <w:lang w:val="en-GB"/>
                    </w:rPr>
                    <w:t>（</w:t>
                  </w:r>
                  <w:r>
                    <w:rPr>
                      <w:color w:val="auto"/>
                      <w:szCs w:val="21"/>
                      <w:highlight w:val="none"/>
                      <w:lang w:val="en-GB"/>
                    </w:rPr>
                    <w:t>GB</w:t>
                  </w:r>
                  <w:r>
                    <w:rPr>
                      <w:color w:val="auto"/>
                      <w:szCs w:val="21"/>
                      <w:highlight w:val="none"/>
                    </w:rPr>
                    <w:t>12348-2008</w:t>
                  </w:r>
                  <w:r>
                    <w:rPr>
                      <w:rFonts w:hint="eastAsia"/>
                      <w:color w:val="auto"/>
                      <w:szCs w:val="21"/>
                      <w:highlight w:val="none"/>
                      <w:lang w:val="en-GB"/>
                    </w:rPr>
                    <w:t>）</w:t>
                  </w:r>
                  <w:r>
                    <w:rPr>
                      <w:rFonts w:hint="eastAsia"/>
                      <w:color w:val="auto"/>
                      <w:szCs w:val="21"/>
                      <w:highlight w:val="none"/>
                    </w:rPr>
                    <w:t>2</w:t>
                  </w:r>
                  <w:r>
                    <w:rPr>
                      <w:color w:val="auto"/>
                      <w:szCs w:val="21"/>
                      <w:highlight w:val="none"/>
                    </w:rPr>
                    <w:t>类区标准</w:t>
                  </w:r>
                </w:p>
              </w:tc>
            </w:tr>
          </w:tbl>
          <w:p w14:paraId="08E2160A">
            <w:pPr>
              <w:adjustRightInd w:val="0"/>
              <w:snapToGrid w:val="0"/>
              <w:spacing w:line="360" w:lineRule="auto"/>
              <w:rPr>
                <w:b/>
                <w:color w:val="auto"/>
                <w:kern w:val="0"/>
                <w:sz w:val="24"/>
                <w:highlight w:val="none"/>
              </w:rPr>
            </w:pPr>
            <w:r>
              <w:rPr>
                <w:rFonts w:hint="eastAsia"/>
                <w:b/>
                <w:color w:val="auto"/>
                <w:kern w:val="0"/>
                <w:sz w:val="24"/>
                <w:highlight w:val="none"/>
              </w:rPr>
              <w:t>（</w:t>
            </w:r>
            <w:r>
              <w:rPr>
                <w:b/>
                <w:color w:val="auto"/>
                <w:kern w:val="0"/>
                <w:sz w:val="24"/>
                <w:highlight w:val="none"/>
              </w:rPr>
              <w:t>四</w:t>
            </w:r>
            <w:r>
              <w:rPr>
                <w:rFonts w:hint="eastAsia"/>
                <w:b/>
                <w:color w:val="auto"/>
                <w:kern w:val="0"/>
                <w:sz w:val="24"/>
                <w:highlight w:val="none"/>
              </w:rPr>
              <w:t>）</w:t>
            </w:r>
            <w:r>
              <w:rPr>
                <w:b/>
                <w:color w:val="auto"/>
                <w:kern w:val="0"/>
                <w:sz w:val="24"/>
                <w:highlight w:val="none"/>
              </w:rPr>
              <w:t>固体废物对环境影响分析</w:t>
            </w:r>
          </w:p>
          <w:p w14:paraId="64742B1D">
            <w:pPr>
              <w:pStyle w:val="46"/>
              <w:snapToGrid w:val="0"/>
              <w:spacing w:line="360" w:lineRule="auto"/>
              <w:ind w:firstLine="480" w:firstLineChars="200"/>
              <w:rPr>
                <w:rFonts w:ascii="Times New Roman" w:cs="Times New Roman"/>
                <w:color w:val="auto"/>
                <w:highlight w:val="none"/>
              </w:rPr>
            </w:pPr>
            <w:r>
              <w:rPr>
                <w:rFonts w:hint="eastAsia" w:ascii="Times New Roman" w:cs="Times New Roman"/>
                <w:color w:val="auto"/>
                <w:highlight w:val="none"/>
              </w:rPr>
              <w:t>根据前文分析，除生活垃圾外，本项目运营期固废主要为</w:t>
            </w:r>
            <w:r>
              <w:rPr>
                <w:rFonts w:hint="eastAsia" w:ascii="Times New Roman" w:cs="Times New Roman"/>
                <w:color w:val="auto"/>
                <w:highlight w:val="none"/>
                <w:lang w:eastAsia="zh-CN"/>
              </w:rPr>
              <w:t>果蔬皮及不合格品、</w:t>
            </w:r>
            <w:r>
              <w:rPr>
                <w:rFonts w:hint="eastAsia" w:ascii="Times New Roman" w:cs="Times New Roman"/>
                <w:color w:val="auto"/>
                <w:highlight w:val="none"/>
              </w:rPr>
              <w:t>废油脂</w:t>
            </w:r>
            <w:r>
              <w:rPr>
                <w:rFonts w:hint="eastAsia" w:ascii="Times New Roman" w:cs="Times New Roman"/>
                <w:color w:val="auto"/>
                <w:highlight w:val="none"/>
                <w:lang w:eastAsia="zh-CN"/>
              </w:rPr>
              <w:t>、</w:t>
            </w:r>
            <w:r>
              <w:rPr>
                <w:rFonts w:hint="eastAsia"/>
                <w:bCs/>
                <w:color w:val="auto"/>
                <w:szCs w:val="21"/>
                <w:highlight w:val="none"/>
              </w:rPr>
              <w:t>废弃包装袋</w:t>
            </w:r>
            <w:r>
              <w:rPr>
                <w:rFonts w:hint="eastAsia" w:ascii="Times New Roman" w:cs="Times New Roman"/>
                <w:color w:val="auto"/>
                <w:highlight w:val="none"/>
              </w:rPr>
              <w:t>、灰渣、污泥。</w:t>
            </w:r>
          </w:p>
          <w:p w14:paraId="57A6DB30">
            <w:pPr>
              <w:pStyle w:val="46"/>
              <w:snapToGrid w:val="0"/>
              <w:spacing w:line="360" w:lineRule="auto"/>
              <w:ind w:firstLine="480" w:firstLineChars="200"/>
              <w:rPr>
                <w:rFonts w:ascii="Times New Roman" w:cs="Times New Roman"/>
                <w:color w:val="auto"/>
                <w:kern w:val="2"/>
                <w:highlight w:val="none"/>
              </w:rPr>
            </w:pPr>
            <w:r>
              <w:rPr>
                <w:rFonts w:hint="eastAsia" w:ascii="Times New Roman" w:cs="Times New Roman"/>
                <w:color w:val="auto"/>
                <w:highlight w:val="none"/>
              </w:rPr>
              <w:t>1、</w:t>
            </w:r>
            <w:r>
              <w:rPr>
                <w:rFonts w:ascii="Times New Roman" w:cs="Times New Roman"/>
                <w:color w:val="auto"/>
                <w:kern w:val="2"/>
                <w:highlight w:val="none"/>
              </w:rPr>
              <w:t>生活垃圾</w:t>
            </w:r>
          </w:p>
          <w:p w14:paraId="3733B09B">
            <w:pPr>
              <w:adjustRightInd w:val="0"/>
              <w:snapToGrid w:val="0"/>
              <w:spacing w:line="360" w:lineRule="auto"/>
              <w:ind w:firstLine="482" w:firstLineChars="200"/>
              <w:rPr>
                <w:rFonts w:ascii="宋体" w:hAnsi="宋体" w:cs="宋体"/>
                <w:color w:val="auto"/>
                <w:kern w:val="0"/>
                <w:sz w:val="24"/>
                <w:highlight w:val="none"/>
              </w:rPr>
            </w:pPr>
            <w:r>
              <w:rPr>
                <w:rFonts w:hint="eastAsia" w:ascii="宋体" w:hAnsi="宋体" w:cs="宋体"/>
                <w:b/>
                <w:bCs/>
                <w:color w:val="auto"/>
                <w:kern w:val="0"/>
                <w:sz w:val="24"/>
                <w:highlight w:val="none"/>
              </w:rPr>
              <w:t>产生情况：</w:t>
            </w:r>
            <w:r>
              <w:rPr>
                <w:color w:val="auto"/>
                <w:kern w:val="0"/>
                <w:sz w:val="24"/>
                <w:highlight w:val="none"/>
              </w:rPr>
              <w:t>根据前文分析，</w:t>
            </w:r>
            <w:r>
              <w:rPr>
                <w:rFonts w:hint="eastAsia"/>
                <w:color w:val="auto"/>
                <w:kern w:val="0"/>
                <w:sz w:val="24"/>
                <w:highlight w:val="none"/>
              </w:rPr>
              <w:t>本项目员工合计</w:t>
            </w:r>
            <w:r>
              <w:rPr>
                <w:color w:val="auto"/>
                <w:kern w:val="0"/>
                <w:sz w:val="24"/>
                <w:highlight w:val="none"/>
              </w:rPr>
              <w:t>1</w:t>
            </w:r>
            <w:r>
              <w:rPr>
                <w:rFonts w:hint="eastAsia"/>
                <w:color w:val="auto"/>
                <w:kern w:val="0"/>
                <w:sz w:val="24"/>
                <w:highlight w:val="none"/>
              </w:rPr>
              <w:t>0</w:t>
            </w:r>
            <w:r>
              <w:rPr>
                <w:color w:val="auto"/>
                <w:kern w:val="0"/>
                <w:sz w:val="24"/>
                <w:highlight w:val="none"/>
              </w:rPr>
              <w:t>人，</w:t>
            </w:r>
            <w:r>
              <w:rPr>
                <w:rFonts w:hint="eastAsia"/>
                <w:color w:val="auto"/>
                <w:kern w:val="0"/>
                <w:sz w:val="24"/>
                <w:highlight w:val="none"/>
              </w:rPr>
              <w:t>生活</w:t>
            </w:r>
            <w:r>
              <w:rPr>
                <w:color w:val="auto"/>
                <w:kern w:val="0"/>
                <w:sz w:val="24"/>
                <w:highlight w:val="none"/>
              </w:rPr>
              <w:t>垃圾产生系数按每人0.38kg/d计算，工作天数300d/a</w:t>
            </w:r>
            <w:r>
              <w:rPr>
                <w:rFonts w:hint="eastAsia"/>
                <w:color w:val="auto"/>
                <w:kern w:val="0"/>
                <w:sz w:val="24"/>
                <w:highlight w:val="none"/>
              </w:rPr>
              <w:t>，则运营期全厂生活垃圾</w:t>
            </w:r>
            <w:r>
              <w:rPr>
                <w:rFonts w:hint="eastAsia"/>
                <w:color w:val="auto"/>
                <w:sz w:val="24"/>
                <w:highlight w:val="none"/>
              </w:rPr>
              <w:t>合计产生量1.14t/a。</w:t>
            </w:r>
          </w:p>
          <w:p w14:paraId="550B00ED">
            <w:pPr>
              <w:adjustRightInd w:val="0"/>
              <w:snapToGrid w:val="0"/>
              <w:spacing w:line="360" w:lineRule="auto"/>
              <w:ind w:firstLine="482" w:firstLineChars="200"/>
              <w:rPr>
                <w:color w:val="auto"/>
                <w:sz w:val="24"/>
                <w:highlight w:val="none"/>
              </w:rPr>
            </w:pPr>
            <w:r>
              <w:rPr>
                <w:rFonts w:hint="eastAsia"/>
                <w:b/>
                <w:bCs/>
                <w:color w:val="auto"/>
                <w:sz w:val="24"/>
                <w:highlight w:val="none"/>
              </w:rPr>
              <w:t>治理措施：</w:t>
            </w:r>
            <w:r>
              <w:rPr>
                <w:color w:val="auto"/>
                <w:sz w:val="24"/>
                <w:highlight w:val="none"/>
              </w:rPr>
              <w:t>生活垃圾经垃圾桶集中收集后送至</w:t>
            </w:r>
            <w:r>
              <w:rPr>
                <w:rFonts w:hint="eastAsia"/>
                <w:color w:val="auto"/>
                <w:sz w:val="24"/>
                <w:highlight w:val="none"/>
              </w:rPr>
              <w:t>就近</w:t>
            </w:r>
            <w:r>
              <w:rPr>
                <w:color w:val="auto"/>
                <w:sz w:val="24"/>
                <w:highlight w:val="none"/>
              </w:rPr>
              <w:t>垃圾收集点，交由环卫部门处理。</w:t>
            </w:r>
          </w:p>
          <w:p w14:paraId="222F5D0A">
            <w:pPr>
              <w:keepNext/>
              <w:keepLines/>
              <w:adjustRightInd w:val="0"/>
              <w:snapToGrid w:val="0"/>
              <w:spacing w:line="360" w:lineRule="auto"/>
              <w:ind w:firstLine="480" w:firstLineChars="200"/>
              <w:outlineLvl w:val="2"/>
              <w:rPr>
                <w:color w:val="auto"/>
                <w:sz w:val="24"/>
                <w:highlight w:val="none"/>
              </w:rPr>
            </w:pPr>
            <w:r>
              <w:rPr>
                <w:rFonts w:hint="eastAsia"/>
                <w:color w:val="auto"/>
                <w:sz w:val="24"/>
                <w:highlight w:val="none"/>
              </w:rPr>
              <w:t>2、</w:t>
            </w:r>
            <w:r>
              <w:rPr>
                <w:rFonts w:hint="eastAsia"/>
                <w:color w:val="auto"/>
                <w:sz w:val="24"/>
                <w:highlight w:val="none"/>
                <w:lang w:eastAsia="zh-CN"/>
              </w:rPr>
              <w:t>果蔬皮及不合格品</w:t>
            </w:r>
          </w:p>
          <w:p w14:paraId="0E11136A">
            <w:pPr>
              <w:adjustRightInd w:val="0"/>
              <w:snapToGrid w:val="0"/>
              <w:spacing w:line="360" w:lineRule="auto"/>
              <w:ind w:firstLine="482" w:firstLineChars="200"/>
              <w:rPr>
                <w:rFonts w:ascii="宋体" w:hAnsi="宋体" w:cs="宋体"/>
                <w:color w:val="auto"/>
                <w:kern w:val="0"/>
                <w:sz w:val="24"/>
                <w:highlight w:val="none"/>
              </w:rPr>
            </w:pPr>
            <w:r>
              <w:rPr>
                <w:rFonts w:hint="eastAsia" w:ascii="宋体" w:hAnsi="宋体" w:cs="宋体"/>
                <w:b/>
                <w:bCs/>
                <w:color w:val="auto"/>
                <w:kern w:val="0"/>
                <w:sz w:val="24"/>
                <w:highlight w:val="none"/>
              </w:rPr>
              <w:t>产生情况：</w:t>
            </w:r>
            <w:r>
              <w:rPr>
                <w:rFonts w:hint="eastAsia" w:ascii="宋体" w:hAnsi="宋体" w:cs="宋体"/>
                <w:color w:val="auto"/>
                <w:kern w:val="0"/>
                <w:sz w:val="24"/>
                <w:highlight w:val="none"/>
              </w:rPr>
              <w:t>由于建设单位在外购时就已对原料质量进行控制，且本次采取目前行业内成熟稳定的工艺，因此挑选和</w:t>
            </w:r>
            <w:r>
              <w:rPr>
                <w:rFonts w:hint="eastAsia" w:ascii="宋体" w:hAnsi="宋体" w:cs="宋体"/>
                <w:color w:val="auto"/>
                <w:kern w:val="0"/>
                <w:sz w:val="24"/>
                <w:highlight w:val="none"/>
                <w:lang w:eastAsia="zh-CN"/>
              </w:rPr>
              <w:t>检验</w:t>
            </w:r>
            <w:r>
              <w:rPr>
                <w:rFonts w:hint="eastAsia" w:ascii="宋体" w:hAnsi="宋体" w:cs="宋体"/>
                <w:color w:val="auto"/>
                <w:kern w:val="0"/>
                <w:sz w:val="24"/>
                <w:highlight w:val="none"/>
              </w:rPr>
              <w:t>工序产生的不合格品很少；此外，根据前文分析，去皮工序会产生一定量果蔬表皮。结合生产规模并类比同类项目，预计产生量</w:t>
            </w:r>
            <w:r>
              <w:rPr>
                <w:color w:val="auto"/>
                <w:kern w:val="0"/>
                <w:sz w:val="24"/>
                <w:highlight w:val="none"/>
              </w:rPr>
              <w:t>为</w:t>
            </w:r>
            <w:r>
              <w:rPr>
                <w:rFonts w:hint="eastAsia"/>
                <w:color w:val="auto"/>
                <w:kern w:val="0"/>
                <w:sz w:val="24"/>
                <w:highlight w:val="none"/>
                <w:lang w:val="en-US" w:eastAsia="zh-CN"/>
              </w:rPr>
              <w:t>23.512</w:t>
            </w:r>
            <w:r>
              <w:rPr>
                <w:color w:val="auto"/>
                <w:kern w:val="0"/>
                <w:sz w:val="24"/>
                <w:highlight w:val="none"/>
              </w:rPr>
              <w:t>t/a。</w:t>
            </w:r>
          </w:p>
          <w:p w14:paraId="402287A0">
            <w:pPr>
              <w:keepNext/>
              <w:keepLines/>
              <w:adjustRightInd w:val="0"/>
              <w:snapToGrid w:val="0"/>
              <w:spacing w:line="360" w:lineRule="auto"/>
              <w:ind w:firstLine="482" w:firstLineChars="200"/>
              <w:outlineLvl w:val="2"/>
              <w:rPr>
                <w:color w:val="auto"/>
                <w:sz w:val="24"/>
                <w:highlight w:val="none"/>
              </w:rPr>
            </w:pPr>
            <w:r>
              <w:rPr>
                <w:rFonts w:hint="eastAsia"/>
                <w:b/>
                <w:bCs/>
                <w:color w:val="auto"/>
                <w:sz w:val="24"/>
                <w:highlight w:val="none"/>
              </w:rPr>
              <w:t>治理措施：</w:t>
            </w:r>
            <w:r>
              <w:rPr>
                <w:rFonts w:hint="eastAsia"/>
                <w:color w:val="auto"/>
                <w:sz w:val="24"/>
                <w:highlight w:val="none"/>
              </w:rPr>
              <w:t>生产过程产生的</w:t>
            </w:r>
            <w:r>
              <w:rPr>
                <w:rFonts w:hint="eastAsia"/>
                <w:color w:val="auto"/>
                <w:sz w:val="24"/>
                <w:highlight w:val="none"/>
                <w:lang w:eastAsia="zh-CN"/>
              </w:rPr>
              <w:t>果蔬皮及不合格品</w:t>
            </w:r>
            <w:r>
              <w:rPr>
                <w:rFonts w:hint="eastAsia"/>
                <w:color w:val="auto"/>
                <w:sz w:val="24"/>
                <w:highlight w:val="none"/>
              </w:rPr>
              <w:t>桶装收集后暂存于厂房闲置区，</w:t>
            </w:r>
            <w:r>
              <w:rPr>
                <w:rFonts w:hint="eastAsia"/>
                <w:color w:val="auto"/>
                <w:sz w:val="24"/>
                <w:highlight w:val="none"/>
                <w:lang w:eastAsia="zh-CN"/>
              </w:rPr>
              <w:t>后期用于果园堆肥处理</w:t>
            </w:r>
            <w:r>
              <w:rPr>
                <w:rFonts w:hint="eastAsia"/>
                <w:color w:val="auto"/>
                <w:sz w:val="24"/>
                <w:highlight w:val="none"/>
              </w:rPr>
              <w:t>。</w:t>
            </w:r>
          </w:p>
          <w:p w14:paraId="07B9CEDC">
            <w:pPr>
              <w:keepNext/>
              <w:keepLines/>
              <w:adjustRightInd w:val="0"/>
              <w:snapToGrid w:val="0"/>
              <w:spacing w:line="360" w:lineRule="auto"/>
              <w:ind w:firstLine="480" w:firstLineChars="200"/>
              <w:outlineLvl w:val="2"/>
              <w:rPr>
                <w:color w:val="auto"/>
                <w:sz w:val="24"/>
                <w:highlight w:val="none"/>
              </w:rPr>
            </w:pPr>
            <w:r>
              <w:rPr>
                <w:rFonts w:hint="eastAsia"/>
                <w:color w:val="auto"/>
                <w:sz w:val="24"/>
                <w:highlight w:val="none"/>
              </w:rPr>
              <w:t>3、废油脂</w:t>
            </w:r>
          </w:p>
          <w:p w14:paraId="7E417734">
            <w:pPr>
              <w:adjustRightInd w:val="0"/>
              <w:snapToGrid w:val="0"/>
              <w:spacing w:line="360" w:lineRule="auto"/>
              <w:ind w:firstLine="482" w:firstLineChars="200"/>
              <w:rPr>
                <w:color w:val="auto"/>
                <w:sz w:val="24"/>
                <w:highlight w:val="none"/>
              </w:rPr>
            </w:pPr>
            <w:r>
              <w:rPr>
                <w:b/>
                <w:bCs/>
                <w:color w:val="auto"/>
                <w:sz w:val="24"/>
                <w:highlight w:val="none"/>
                <w:lang w:bidi="ar"/>
              </w:rPr>
              <w:t>产生情况：</w:t>
            </w:r>
            <w:r>
              <w:rPr>
                <w:rFonts w:hint="eastAsia"/>
                <w:color w:val="auto"/>
                <w:sz w:val="24"/>
                <w:highlight w:val="none"/>
                <w:lang w:bidi="ar"/>
              </w:rPr>
              <w:t>本项目低温油炸区设置有油烟净化器，挥发的油烟经油烟净化器处理后剩余的废油脂会进入油烟净化器下部的储存盒内，本项目</w:t>
            </w:r>
            <w:r>
              <w:rPr>
                <w:color w:val="auto"/>
                <w:sz w:val="24"/>
                <w:highlight w:val="none"/>
              </w:rPr>
              <w:t>食用油量为</w:t>
            </w:r>
            <w:r>
              <w:rPr>
                <w:rFonts w:hint="eastAsia"/>
                <w:color w:val="auto"/>
                <w:sz w:val="24"/>
                <w:highlight w:val="none"/>
              </w:rPr>
              <w:t>5</w:t>
            </w:r>
            <w:r>
              <w:rPr>
                <w:color w:val="auto"/>
                <w:sz w:val="24"/>
                <w:highlight w:val="none"/>
              </w:rPr>
              <w:t>t/a，油的挥发量按3%计，</w:t>
            </w:r>
            <w:r>
              <w:rPr>
                <w:rFonts w:hint="eastAsia"/>
                <w:color w:val="auto"/>
                <w:sz w:val="24"/>
                <w:highlight w:val="none"/>
              </w:rPr>
              <w:t>油烟净化器处理效率按85%计，</w:t>
            </w:r>
            <w:r>
              <w:rPr>
                <w:color w:val="auto"/>
                <w:sz w:val="24"/>
                <w:highlight w:val="none"/>
              </w:rPr>
              <w:t>则</w:t>
            </w:r>
            <w:r>
              <w:rPr>
                <w:rFonts w:hint="eastAsia"/>
                <w:color w:val="auto"/>
                <w:sz w:val="24"/>
                <w:highlight w:val="none"/>
              </w:rPr>
              <w:t>油炸</w:t>
            </w:r>
            <w:r>
              <w:rPr>
                <w:color w:val="auto"/>
                <w:sz w:val="24"/>
                <w:highlight w:val="none"/>
              </w:rPr>
              <w:t>过程中</w:t>
            </w:r>
            <w:r>
              <w:rPr>
                <w:rFonts w:hint="eastAsia"/>
                <w:color w:val="auto"/>
                <w:sz w:val="24"/>
                <w:highlight w:val="none"/>
              </w:rPr>
              <w:t>废油脂产生量约为0.13</w:t>
            </w:r>
            <w:r>
              <w:rPr>
                <w:rFonts w:hint="eastAsia"/>
                <w:color w:val="auto"/>
                <w:sz w:val="24"/>
                <w:highlight w:val="none"/>
                <w:lang w:val="en-US" w:eastAsia="zh-CN"/>
              </w:rPr>
              <w:t>5</w:t>
            </w:r>
            <w:r>
              <w:rPr>
                <w:color w:val="auto"/>
                <w:sz w:val="24"/>
                <w:highlight w:val="none"/>
              </w:rPr>
              <w:t>t/a</w:t>
            </w:r>
            <w:r>
              <w:rPr>
                <w:rFonts w:hint="eastAsia"/>
                <w:color w:val="auto"/>
                <w:sz w:val="24"/>
                <w:highlight w:val="none"/>
              </w:rPr>
              <w:t>。</w:t>
            </w:r>
          </w:p>
          <w:p w14:paraId="30870951">
            <w:pPr>
              <w:adjustRightInd w:val="0"/>
              <w:snapToGrid w:val="0"/>
              <w:spacing w:line="360" w:lineRule="auto"/>
              <w:ind w:firstLine="482" w:firstLineChars="200"/>
              <w:rPr>
                <w:color w:val="auto"/>
                <w:sz w:val="24"/>
                <w:highlight w:val="none"/>
              </w:rPr>
            </w:pPr>
            <w:r>
              <w:rPr>
                <w:b/>
                <w:bCs/>
                <w:color w:val="auto"/>
                <w:sz w:val="24"/>
                <w:highlight w:val="none"/>
                <w:lang w:bidi="ar"/>
              </w:rPr>
              <w:t>处置措施：</w:t>
            </w:r>
            <w:r>
              <w:rPr>
                <w:rFonts w:hint="eastAsia"/>
                <w:color w:val="auto"/>
                <w:sz w:val="24"/>
                <w:highlight w:val="none"/>
              </w:rPr>
              <w:t>废油脂采用带盖容器收集后暂存于厂房闲置区，定期交由废油脂回收公司进行回收处理。</w:t>
            </w:r>
          </w:p>
          <w:p w14:paraId="477D32FB">
            <w:pPr>
              <w:keepNext/>
              <w:keepLines/>
              <w:adjustRightInd w:val="0"/>
              <w:snapToGrid w:val="0"/>
              <w:spacing w:line="360" w:lineRule="auto"/>
              <w:ind w:firstLine="480" w:firstLineChars="200"/>
              <w:outlineLvl w:val="2"/>
              <w:rPr>
                <w:color w:val="auto"/>
                <w:sz w:val="24"/>
                <w:highlight w:val="none"/>
              </w:rPr>
            </w:pPr>
            <w:r>
              <w:rPr>
                <w:rFonts w:hint="eastAsia"/>
                <w:color w:val="auto"/>
                <w:sz w:val="24"/>
                <w:highlight w:val="none"/>
              </w:rPr>
              <w:t>4、废弃包装袋</w:t>
            </w:r>
          </w:p>
          <w:p w14:paraId="291996C2">
            <w:pPr>
              <w:adjustRightInd w:val="0"/>
              <w:snapToGrid w:val="0"/>
              <w:spacing w:line="360" w:lineRule="auto"/>
              <w:ind w:firstLine="482" w:firstLineChars="200"/>
              <w:rPr>
                <w:color w:val="auto"/>
                <w:sz w:val="24"/>
                <w:highlight w:val="none"/>
                <w:lang w:bidi="ar"/>
              </w:rPr>
            </w:pPr>
            <w:r>
              <w:rPr>
                <w:b/>
                <w:bCs/>
                <w:color w:val="auto"/>
                <w:sz w:val="24"/>
                <w:highlight w:val="none"/>
                <w:lang w:bidi="ar"/>
              </w:rPr>
              <w:t>产生情况：</w:t>
            </w:r>
            <w:r>
              <w:rPr>
                <w:color w:val="auto"/>
                <w:sz w:val="24"/>
                <w:highlight w:val="none"/>
                <w:lang w:bidi="ar"/>
              </w:rPr>
              <w:t>本项目</w:t>
            </w:r>
            <w:r>
              <w:rPr>
                <w:rFonts w:hint="eastAsia"/>
                <w:color w:val="auto"/>
                <w:sz w:val="24"/>
                <w:highlight w:val="none"/>
                <w:lang w:bidi="ar"/>
              </w:rPr>
              <w:t>外购</w:t>
            </w:r>
            <w:r>
              <w:rPr>
                <w:color w:val="auto"/>
                <w:sz w:val="24"/>
                <w:highlight w:val="none"/>
                <w:lang w:bidi="ar"/>
              </w:rPr>
              <w:t>的原辅材料</w:t>
            </w:r>
            <w:r>
              <w:rPr>
                <w:rFonts w:hint="eastAsia"/>
                <w:color w:val="auto"/>
                <w:sz w:val="24"/>
                <w:highlight w:val="none"/>
                <w:lang w:bidi="ar"/>
              </w:rPr>
              <w:t>均采用袋装形式</w:t>
            </w:r>
            <w:r>
              <w:rPr>
                <w:color w:val="auto"/>
                <w:sz w:val="24"/>
                <w:highlight w:val="none"/>
                <w:lang w:bidi="ar"/>
              </w:rPr>
              <w:t>，</w:t>
            </w:r>
            <w:r>
              <w:rPr>
                <w:rFonts w:hint="eastAsia"/>
                <w:color w:val="auto"/>
                <w:sz w:val="24"/>
                <w:highlight w:val="none"/>
                <w:lang w:bidi="ar"/>
              </w:rPr>
              <w:t>挑选前会去除掉外包装。结合生产规模，预计</w:t>
            </w:r>
            <w:r>
              <w:rPr>
                <w:color w:val="auto"/>
                <w:sz w:val="24"/>
                <w:highlight w:val="none"/>
                <w:lang w:bidi="ar"/>
              </w:rPr>
              <w:t>废包装材料产生量约为</w:t>
            </w:r>
            <w:r>
              <w:rPr>
                <w:rFonts w:hint="eastAsia"/>
                <w:color w:val="auto"/>
                <w:sz w:val="24"/>
                <w:highlight w:val="none"/>
                <w:lang w:bidi="ar"/>
              </w:rPr>
              <w:t>0.05</w:t>
            </w:r>
            <w:r>
              <w:rPr>
                <w:color w:val="auto"/>
                <w:sz w:val="24"/>
                <w:highlight w:val="none"/>
                <w:lang w:bidi="ar"/>
              </w:rPr>
              <w:t>t/a。</w:t>
            </w:r>
          </w:p>
          <w:p w14:paraId="55B96691">
            <w:pPr>
              <w:keepNext/>
              <w:keepLines/>
              <w:adjustRightInd w:val="0"/>
              <w:snapToGrid w:val="0"/>
              <w:spacing w:line="360" w:lineRule="auto"/>
              <w:ind w:firstLine="482" w:firstLineChars="200"/>
              <w:outlineLvl w:val="2"/>
              <w:rPr>
                <w:color w:val="auto"/>
                <w:sz w:val="24"/>
                <w:highlight w:val="none"/>
              </w:rPr>
            </w:pPr>
            <w:r>
              <w:rPr>
                <w:b/>
                <w:bCs/>
                <w:color w:val="auto"/>
                <w:sz w:val="24"/>
                <w:highlight w:val="none"/>
                <w:lang w:bidi="ar"/>
              </w:rPr>
              <w:t>处置措施：</w:t>
            </w:r>
            <w:r>
              <w:rPr>
                <w:rFonts w:hint="eastAsia"/>
                <w:color w:val="auto"/>
                <w:sz w:val="24"/>
                <w:highlight w:val="none"/>
                <w:lang w:bidi="ar"/>
              </w:rPr>
              <w:t>统一收集后暂存于材料区</w:t>
            </w:r>
            <w:r>
              <w:rPr>
                <w:color w:val="auto"/>
                <w:sz w:val="24"/>
                <w:highlight w:val="none"/>
                <w:lang w:bidi="ar"/>
              </w:rPr>
              <w:t>，</w:t>
            </w:r>
            <w:r>
              <w:rPr>
                <w:rFonts w:hint="eastAsia"/>
                <w:color w:val="auto"/>
                <w:sz w:val="24"/>
                <w:highlight w:val="none"/>
                <w:lang w:bidi="ar"/>
              </w:rPr>
              <w:t>外售至</w:t>
            </w:r>
            <w:r>
              <w:rPr>
                <w:color w:val="auto"/>
                <w:sz w:val="24"/>
                <w:highlight w:val="none"/>
                <w:lang w:bidi="ar"/>
              </w:rPr>
              <w:t>废品回收站</w:t>
            </w:r>
            <w:r>
              <w:rPr>
                <w:rFonts w:hint="eastAsia"/>
                <w:color w:val="auto"/>
                <w:sz w:val="24"/>
                <w:highlight w:val="none"/>
                <w:lang w:bidi="ar"/>
              </w:rPr>
              <w:t>处置。</w:t>
            </w:r>
          </w:p>
          <w:p w14:paraId="44A0BD90">
            <w:pPr>
              <w:keepNext/>
              <w:keepLines/>
              <w:adjustRightInd w:val="0"/>
              <w:snapToGrid w:val="0"/>
              <w:spacing w:line="360" w:lineRule="auto"/>
              <w:ind w:firstLine="480" w:firstLineChars="200"/>
              <w:outlineLvl w:val="2"/>
              <w:rPr>
                <w:rFonts w:hint="eastAsia" w:eastAsia="宋体"/>
                <w:color w:val="auto"/>
                <w:sz w:val="24"/>
                <w:highlight w:val="none"/>
                <w:lang w:eastAsia="zh-CN"/>
              </w:rPr>
            </w:pPr>
            <w:r>
              <w:rPr>
                <w:rFonts w:hint="eastAsia"/>
                <w:color w:val="auto"/>
                <w:sz w:val="24"/>
                <w:highlight w:val="none"/>
              </w:rPr>
              <w:t>5、灰渣</w:t>
            </w:r>
          </w:p>
          <w:p w14:paraId="659524F0">
            <w:pPr>
              <w:adjustRightInd w:val="0"/>
              <w:snapToGrid w:val="0"/>
              <w:spacing w:line="360" w:lineRule="auto"/>
              <w:ind w:firstLine="482" w:firstLineChars="200"/>
              <w:rPr>
                <w:color w:val="auto"/>
                <w:sz w:val="24"/>
                <w:highlight w:val="none"/>
              </w:rPr>
            </w:pPr>
            <w:r>
              <w:rPr>
                <w:b/>
                <w:bCs/>
                <w:color w:val="auto"/>
                <w:sz w:val="24"/>
                <w:highlight w:val="none"/>
                <w:lang w:bidi="ar"/>
              </w:rPr>
              <w:t>产生情况：</w:t>
            </w:r>
            <w:r>
              <w:rPr>
                <w:rFonts w:hint="eastAsia"/>
                <w:color w:val="auto"/>
                <w:kern w:val="0"/>
                <w:sz w:val="24"/>
                <w:szCs w:val="22"/>
                <w:highlight w:val="none"/>
              </w:rPr>
              <w:t>生物质燃料燃烧过程</w:t>
            </w:r>
            <w:r>
              <w:rPr>
                <w:color w:val="auto"/>
                <w:kern w:val="0"/>
                <w:sz w:val="24"/>
                <w:szCs w:val="22"/>
                <w:highlight w:val="none"/>
              </w:rPr>
              <w:t>会产生</w:t>
            </w:r>
            <w:r>
              <w:rPr>
                <w:rFonts w:hint="eastAsia"/>
                <w:color w:val="auto"/>
                <w:kern w:val="0"/>
                <w:sz w:val="24"/>
                <w:szCs w:val="22"/>
                <w:highlight w:val="none"/>
              </w:rPr>
              <w:t>灰</w:t>
            </w:r>
            <w:r>
              <w:rPr>
                <w:color w:val="auto"/>
                <w:kern w:val="0"/>
                <w:sz w:val="24"/>
                <w:szCs w:val="22"/>
                <w:highlight w:val="none"/>
              </w:rPr>
              <w:t>渣</w:t>
            </w:r>
            <w:r>
              <w:rPr>
                <w:rFonts w:hint="eastAsia"/>
                <w:color w:val="auto"/>
                <w:kern w:val="0"/>
                <w:sz w:val="24"/>
                <w:szCs w:val="22"/>
                <w:highlight w:val="none"/>
              </w:rPr>
              <w:t>。灰渣</w:t>
            </w:r>
            <w:r>
              <w:rPr>
                <w:color w:val="auto"/>
                <w:kern w:val="0"/>
                <w:sz w:val="24"/>
                <w:szCs w:val="22"/>
                <w:highlight w:val="none"/>
              </w:rPr>
              <w:t>产污系数类比</w:t>
            </w:r>
            <w:r>
              <w:rPr>
                <w:color w:val="auto"/>
                <w:sz w:val="24"/>
                <w:highlight w:val="none"/>
              </w:rPr>
              <w:t>《排放源统计调查产排污核算方法和系数手册》（生态环境部，2021年）中“430 工业锅炉（热力生产和供应行业）产污系数表-工业固体废物”而给出的室燃炉炉渣产污系数，为1.05Akg（干基）/吨-原料，</w:t>
            </w:r>
            <w:r>
              <w:rPr>
                <w:color w:val="auto"/>
                <w:kern w:val="0"/>
                <w:sz w:val="24"/>
                <w:szCs w:val="22"/>
                <w:highlight w:val="none"/>
              </w:rPr>
              <w:t>项目年用生物质</w:t>
            </w:r>
            <w:r>
              <w:rPr>
                <w:rFonts w:hint="eastAsia"/>
                <w:color w:val="auto"/>
                <w:kern w:val="0"/>
                <w:sz w:val="24"/>
                <w:szCs w:val="22"/>
                <w:highlight w:val="none"/>
              </w:rPr>
              <w:t>燃料合计500t</w:t>
            </w:r>
            <w:r>
              <w:rPr>
                <w:color w:val="auto"/>
                <w:kern w:val="0"/>
                <w:sz w:val="24"/>
                <w:szCs w:val="22"/>
                <w:highlight w:val="none"/>
              </w:rPr>
              <w:t>，</w:t>
            </w:r>
            <w:r>
              <w:rPr>
                <w:rFonts w:hint="eastAsia"/>
                <w:color w:val="auto"/>
                <w:sz w:val="24"/>
                <w:highlight w:val="none"/>
              </w:rPr>
              <w:t>则灰</w:t>
            </w:r>
            <w:r>
              <w:rPr>
                <w:color w:val="auto"/>
                <w:sz w:val="24"/>
                <w:highlight w:val="none"/>
              </w:rPr>
              <w:t>渣产生量为</w:t>
            </w:r>
            <w:r>
              <w:rPr>
                <w:rFonts w:hint="eastAsia"/>
                <w:color w:val="auto"/>
                <w:sz w:val="24"/>
                <w:highlight w:val="none"/>
              </w:rPr>
              <w:t>0.525</w:t>
            </w:r>
            <w:r>
              <w:rPr>
                <w:color w:val="auto"/>
                <w:sz w:val="24"/>
                <w:highlight w:val="none"/>
              </w:rPr>
              <w:t>t/a。</w:t>
            </w:r>
          </w:p>
          <w:p w14:paraId="25B6ED0C">
            <w:pPr>
              <w:keepNext/>
              <w:keepLines/>
              <w:adjustRightInd w:val="0"/>
              <w:snapToGrid w:val="0"/>
              <w:spacing w:line="360" w:lineRule="auto"/>
              <w:ind w:firstLine="482" w:firstLineChars="200"/>
              <w:outlineLvl w:val="2"/>
              <w:rPr>
                <w:color w:val="auto"/>
                <w:sz w:val="24"/>
                <w:highlight w:val="none"/>
              </w:rPr>
            </w:pPr>
            <w:r>
              <w:rPr>
                <w:b/>
                <w:bCs/>
                <w:color w:val="auto"/>
                <w:sz w:val="24"/>
                <w:highlight w:val="none"/>
                <w:lang w:bidi="ar"/>
              </w:rPr>
              <w:t>处置措施：</w:t>
            </w:r>
            <w:r>
              <w:rPr>
                <w:rFonts w:hint="eastAsia"/>
                <w:b w:val="0"/>
                <w:bCs w:val="0"/>
                <w:color w:val="auto"/>
                <w:sz w:val="24"/>
                <w:highlight w:val="none"/>
                <w:lang w:eastAsia="zh-CN" w:bidi="ar"/>
              </w:rPr>
              <w:t>根据前文分析可知，灰渣由生物质燃料燃烧而来。</w:t>
            </w:r>
            <w:r>
              <w:rPr>
                <w:rFonts w:hint="eastAsia" w:cs="宋体"/>
                <w:color w:val="auto"/>
                <w:sz w:val="24"/>
                <w:highlight w:val="none"/>
                <w:lang w:bidi="ar"/>
              </w:rPr>
              <w:t>经查阅资料，灰渣</w:t>
            </w:r>
            <w:r>
              <w:rPr>
                <w:rFonts w:hint="eastAsia" w:cs="宋体"/>
                <w:color w:val="auto"/>
                <w:sz w:val="24"/>
                <w:highlight w:val="none"/>
                <w:lang w:eastAsia="zh-CN" w:bidi="ar"/>
              </w:rPr>
              <w:t>中</w:t>
            </w:r>
            <w:r>
              <w:rPr>
                <w:rFonts w:hint="eastAsia" w:cs="宋体"/>
                <w:color w:val="auto"/>
                <w:sz w:val="24"/>
                <w:highlight w:val="none"/>
                <w:lang w:bidi="ar"/>
              </w:rPr>
              <w:t>含有丰富的钾、钙、磷等元素，袋装后暂存于厂区闲置区域</w:t>
            </w:r>
            <w:r>
              <w:rPr>
                <w:rFonts w:hint="eastAsia" w:cs="宋体"/>
                <w:color w:val="auto"/>
                <w:sz w:val="24"/>
                <w:highlight w:val="none"/>
                <w:lang w:eastAsia="zh-CN" w:bidi="ar"/>
              </w:rPr>
              <w:t>，</w:t>
            </w:r>
            <w:r>
              <w:rPr>
                <w:rFonts w:hint="eastAsia" w:cs="宋体"/>
                <w:color w:val="auto"/>
                <w:sz w:val="24"/>
                <w:highlight w:val="none"/>
                <w:lang w:bidi="ar"/>
              </w:rPr>
              <w:t>根据库容量及时交由附近住户，作为农业肥料综合利用。</w:t>
            </w:r>
          </w:p>
          <w:p w14:paraId="75B0A160">
            <w:pPr>
              <w:keepNext/>
              <w:keepLines/>
              <w:adjustRightInd w:val="0"/>
              <w:snapToGrid w:val="0"/>
              <w:spacing w:line="360" w:lineRule="auto"/>
              <w:ind w:firstLine="480" w:firstLineChars="200"/>
              <w:outlineLvl w:val="2"/>
              <w:rPr>
                <w:color w:val="auto"/>
                <w:sz w:val="24"/>
                <w:highlight w:val="none"/>
              </w:rPr>
            </w:pPr>
            <w:r>
              <w:rPr>
                <w:rFonts w:hint="eastAsia"/>
                <w:color w:val="auto"/>
                <w:sz w:val="24"/>
                <w:highlight w:val="none"/>
              </w:rPr>
              <w:t>6、污泥</w:t>
            </w:r>
          </w:p>
          <w:p w14:paraId="142BCCAD">
            <w:pPr>
              <w:adjustRightInd w:val="0"/>
              <w:snapToGrid w:val="0"/>
              <w:spacing w:line="360" w:lineRule="auto"/>
              <w:ind w:firstLine="480" w:firstLineChars="200"/>
              <w:rPr>
                <w:color w:val="auto"/>
                <w:sz w:val="24"/>
                <w:highlight w:val="none"/>
              </w:rPr>
            </w:pPr>
            <w:r>
              <w:rPr>
                <w:color w:val="auto"/>
                <w:sz w:val="24"/>
                <w:highlight w:val="none"/>
              </w:rPr>
              <w:t>根据《排污许可证申请与核发技术规范</w:t>
            </w:r>
            <w:r>
              <w:rPr>
                <w:rFonts w:hint="eastAsia"/>
                <w:color w:val="auto"/>
                <w:sz w:val="24"/>
                <w:highlight w:val="none"/>
              </w:rPr>
              <w:t xml:space="preserve">  </w:t>
            </w:r>
            <w:r>
              <w:rPr>
                <w:color w:val="auto"/>
                <w:sz w:val="24"/>
                <w:highlight w:val="none"/>
              </w:rPr>
              <w:t>水处理（试行）》（HJ978-2018），</w:t>
            </w:r>
            <w:r>
              <w:rPr>
                <w:rFonts w:hint="eastAsia"/>
                <w:color w:val="auto"/>
                <w:sz w:val="24"/>
                <w:highlight w:val="none"/>
              </w:rPr>
              <w:t>污泥产生量公式为：</w:t>
            </w:r>
          </w:p>
          <w:p w14:paraId="6F57B26E">
            <w:pPr>
              <w:adjustRightInd w:val="0"/>
              <w:snapToGrid w:val="0"/>
              <w:spacing w:line="360" w:lineRule="auto"/>
              <w:ind w:firstLine="480" w:firstLineChars="200"/>
              <w:rPr>
                <w:color w:val="auto"/>
                <w:sz w:val="24"/>
                <w:highlight w:val="none"/>
              </w:rPr>
            </w:pPr>
            <w:r>
              <w:rPr>
                <w:color w:val="auto"/>
                <w:sz w:val="24"/>
                <w:highlight w:val="none"/>
              </w:rPr>
              <w:t>E</w:t>
            </w:r>
            <w:r>
              <w:rPr>
                <w:color w:val="auto"/>
                <w:sz w:val="24"/>
                <w:highlight w:val="none"/>
                <w:vertAlign w:val="subscript"/>
              </w:rPr>
              <w:t>产生量</w:t>
            </w:r>
            <w:r>
              <w:rPr>
                <w:color w:val="auto"/>
                <w:sz w:val="24"/>
                <w:highlight w:val="none"/>
              </w:rPr>
              <w:t>=1.7×Q×W</w:t>
            </w:r>
            <w:r>
              <w:rPr>
                <w:color w:val="auto"/>
                <w:sz w:val="24"/>
                <w:highlight w:val="none"/>
                <w:vertAlign w:val="subscript"/>
              </w:rPr>
              <w:t>深</w:t>
            </w:r>
            <w:r>
              <w:rPr>
                <w:color w:val="auto"/>
                <w:sz w:val="24"/>
                <w:highlight w:val="none"/>
              </w:rPr>
              <w:t>×10</w:t>
            </w:r>
            <w:r>
              <w:rPr>
                <w:rFonts w:hint="eastAsia"/>
                <w:color w:val="auto"/>
                <w:sz w:val="24"/>
                <w:highlight w:val="none"/>
                <w:vertAlign w:val="superscript"/>
              </w:rPr>
              <w:t>-</w:t>
            </w:r>
            <w:r>
              <w:rPr>
                <w:color w:val="auto"/>
                <w:sz w:val="24"/>
                <w:highlight w:val="none"/>
                <w:vertAlign w:val="superscript"/>
              </w:rPr>
              <w:t>4</w:t>
            </w:r>
          </w:p>
          <w:p w14:paraId="12651EE6">
            <w:pPr>
              <w:adjustRightInd w:val="0"/>
              <w:snapToGrid w:val="0"/>
              <w:spacing w:line="360" w:lineRule="auto"/>
              <w:ind w:firstLine="480" w:firstLineChars="200"/>
              <w:rPr>
                <w:color w:val="auto"/>
                <w:sz w:val="24"/>
                <w:highlight w:val="none"/>
              </w:rPr>
            </w:pPr>
            <w:r>
              <w:rPr>
                <w:color w:val="auto"/>
                <w:sz w:val="24"/>
                <w:highlight w:val="none"/>
              </w:rPr>
              <w:t>式中</w:t>
            </w:r>
            <w:r>
              <w:rPr>
                <w:rFonts w:hint="eastAsia"/>
                <w:color w:val="auto"/>
                <w:sz w:val="24"/>
                <w:highlight w:val="none"/>
              </w:rPr>
              <w:t>：E</w:t>
            </w:r>
            <w:r>
              <w:rPr>
                <w:color w:val="auto"/>
                <w:sz w:val="24"/>
                <w:highlight w:val="none"/>
                <w:vertAlign w:val="subscript"/>
              </w:rPr>
              <w:t>产生量</w:t>
            </w:r>
            <w:r>
              <w:rPr>
                <w:color w:val="auto"/>
                <w:sz w:val="24"/>
                <w:highlight w:val="none"/>
              </w:rPr>
              <w:t>一污水处理过程中产生的污泥量，以干泥计，t</w:t>
            </w:r>
            <w:r>
              <w:rPr>
                <w:rFonts w:hint="eastAsia"/>
                <w:color w:val="auto"/>
                <w:sz w:val="24"/>
                <w:highlight w:val="none"/>
              </w:rPr>
              <w:t>；</w:t>
            </w:r>
          </w:p>
          <w:p w14:paraId="4C5F17A0">
            <w:pPr>
              <w:adjustRightInd w:val="0"/>
              <w:snapToGrid w:val="0"/>
              <w:spacing w:line="360" w:lineRule="auto"/>
              <w:ind w:firstLine="480" w:firstLineChars="200"/>
              <w:rPr>
                <w:color w:val="auto"/>
                <w:sz w:val="24"/>
                <w:highlight w:val="none"/>
              </w:rPr>
            </w:pPr>
            <w:r>
              <w:rPr>
                <w:color w:val="auto"/>
                <w:sz w:val="24"/>
                <w:highlight w:val="none"/>
              </w:rPr>
              <w:t>Q一核算时段内排污单位废水排放量，m，具有有效出水口实测值按实测值计，无有效出水口实测值按进水口实测值计，无有效进水口实测值按协议进水水量计</w:t>
            </w:r>
            <w:r>
              <w:rPr>
                <w:rFonts w:hint="eastAsia"/>
                <w:color w:val="auto"/>
                <w:sz w:val="24"/>
                <w:highlight w:val="none"/>
              </w:rPr>
              <w:t>；</w:t>
            </w:r>
          </w:p>
          <w:p w14:paraId="771A2632">
            <w:pPr>
              <w:adjustRightInd w:val="0"/>
              <w:snapToGrid w:val="0"/>
              <w:spacing w:line="360" w:lineRule="auto"/>
              <w:ind w:firstLine="480" w:firstLineChars="200"/>
              <w:rPr>
                <w:color w:val="auto"/>
                <w:sz w:val="24"/>
                <w:highlight w:val="none"/>
              </w:rPr>
            </w:pPr>
            <w:r>
              <w:rPr>
                <w:color w:val="auto"/>
                <w:sz w:val="24"/>
                <w:highlight w:val="none"/>
              </w:rPr>
              <w:t>W</w:t>
            </w:r>
            <w:r>
              <w:rPr>
                <w:color w:val="auto"/>
                <w:sz w:val="24"/>
                <w:highlight w:val="none"/>
                <w:vertAlign w:val="subscript"/>
              </w:rPr>
              <w:t>深</w:t>
            </w:r>
            <w:r>
              <w:rPr>
                <w:color w:val="auto"/>
                <w:sz w:val="24"/>
                <w:highlight w:val="none"/>
              </w:rPr>
              <w:t>一有深度处理工艺(添加化学药剂)时按2计，无深度处理工艺时按1计，量纲一。</w:t>
            </w:r>
          </w:p>
          <w:p w14:paraId="41383A89">
            <w:pPr>
              <w:adjustRightInd w:val="0"/>
              <w:snapToGrid w:val="0"/>
              <w:spacing w:line="360" w:lineRule="auto"/>
              <w:ind w:firstLine="480" w:firstLineChars="200"/>
              <w:rPr>
                <w:color w:val="auto"/>
                <w:sz w:val="24"/>
                <w:highlight w:val="none"/>
              </w:rPr>
            </w:pPr>
            <w:r>
              <w:rPr>
                <w:rFonts w:hint="eastAsia"/>
                <w:color w:val="auto"/>
                <w:sz w:val="24"/>
                <w:highlight w:val="none"/>
              </w:rPr>
              <w:t>综合计算可得出，本项目污泥产生量为：</w:t>
            </w:r>
          </w:p>
          <w:p w14:paraId="252A62AD">
            <w:pPr>
              <w:adjustRightInd w:val="0"/>
              <w:snapToGrid w:val="0"/>
              <w:spacing w:line="360" w:lineRule="auto"/>
              <w:ind w:firstLine="480" w:firstLineChars="200"/>
              <w:rPr>
                <w:color w:val="auto"/>
                <w:sz w:val="24"/>
                <w:highlight w:val="none"/>
              </w:rPr>
            </w:pPr>
            <w:r>
              <w:rPr>
                <w:color w:val="auto"/>
                <w:sz w:val="24"/>
                <w:highlight w:val="none"/>
              </w:rPr>
              <w:t>E</w:t>
            </w:r>
            <w:r>
              <w:rPr>
                <w:color w:val="auto"/>
                <w:sz w:val="24"/>
                <w:highlight w:val="none"/>
                <w:vertAlign w:val="subscript"/>
              </w:rPr>
              <w:t>产生量</w:t>
            </w:r>
            <w:r>
              <w:rPr>
                <w:color w:val="auto"/>
                <w:sz w:val="24"/>
                <w:highlight w:val="none"/>
              </w:rPr>
              <w:t>=1.7×Q×W</w:t>
            </w:r>
            <w:r>
              <w:rPr>
                <w:color w:val="auto"/>
                <w:sz w:val="24"/>
                <w:highlight w:val="none"/>
                <w:vertAlign w:val="subscript"/>
              </w:rPr>
              <w:t>深</w:t>
            </w:r>
            <w:r>
              <w:rPr>
                <w:color w:val="auto"/>
                <w:sz w:val="24"/>
                <w:highlight w:val="none"/>
              </w:rPr>
              <w:t>×10</w:t>
            </w:r>
            <w:r>
              <w:rPr>
                <w:rFonts w:hint="eastAsia"/>
                <w:color w:val="auto"/>
                <w:sz w:val="24"/>
                <w:highlight w:val="none"/>
                <w:vertAlign w:val="superscript"/>
              </w:rPr>
              <w:t>-</w:t>
            </w:r>
            <w:r>
              <w:rPr>
                <w:color w:val="auto"/>
                <w:sz w:val="24"/>
                <w:highlight w:val="none"/>
                <w:vertAlign w:val="superscript"/>
              </w:rPr>
              <w:t>4</w:t>
            </w:r>
            <w:r>
              <w:rPr>
                <w:rFonts w:hint="eastAsia"/>
                <w:color w:val="auto"/>
                <w:sz w:val="24"/>
                <w:highlight w:val="none"/>
              </w:rPr>
              <w:t>=1.7</w:t>
            </w:r>
            <w:r>
              <w:rPr>
                <w:color w:val="auto"/>
                <w:sz w:val="24"/>
                <w:highlight w:val="none"/>
              </w:rPr>
              <w:t>×</w:t>
            </w:r>
            <w:r>
              <w:rPr>
                <w:rFonts w:hint="eastAsia"/>
                <w:color w:val="auto"/>
                <w:sz w:val="24"/>
                <w:highlight w:val="none"/>
              </w:rPr>
              <w:t>4.93</w:t>
            </w:r>
            <w:r>
              <w:rPr>
                <w:color w:val="auto"/>
                <w:sz w:val="24"/>
                <w:highlight w:val="none"/>
              </w:rPr>
              <w:t>×</w:t>
            </w:r>
            <w:r>
              <w:rPr>
                <w:rFonts w:hint="eastAsia"/>
                <w:color w:val="auto"/>
                <w:sz w:val="24"/>
                <w:highlight w:val="none"/>
              </w:rPr>
              <w:t>300</w:t>
            </w:r>
            <w:r>
              <w:rPr>
                <w:color w:val="auto"/>
                <w:sz w:val="24"/>
                <w:highlight w:val="none"/>
              </w:rPr>
              <w:t>×</w:t>
            </w:r>
            <w:r>
              <w:rPr>
                <w:rFonts w:hint="eastAsia"/>
                <w:color w:val="auto"/>
                <w:sz w:val="24"/>
                <w:highlight w:val="none"/>
              </w:rPr>
              <w:t>2</w:t>
            </w:r>
            <w:r>
              <w:rPr>
                <w:color w:val="auto"/>
                <w:sz w:val="24"/>
                <w:highlight w:val="none"/>
              </w:rPr>
              <w:t>×10</w:t>
            </w:r>
            <w:r>
              <w:rPr>
                <w:rFonts w:hint="eastAsia"/>
                <w:color w:val="auto"/>
                <w:sz w:val="24"/>
                <w:highlight w:val="none"/>
                <w:vertAlign w:val="superscript"/>
              </w:rPr>
              <w:t>-</w:t>
            </w:r>
            <w:r>
              <w:rPr>
                <w:color w:val="auto"/>
                <w:sz w:val="24"/>
                <w:highlight w:val="none"/>
                <w:vertAlign w:val="superscript"/>
              </w:rPr>
              <w:t>4</w:t>
            </w:r>
            <w:r>
              <w:rPr>
                <w:rFonts w:hint="eastAsia"/>
                <w:color w:val="auto"/>
                <w:sz w:val="24"/>
                <w:highlight w:val="none"/>
              </w:rPr>
              <w:t>=0.5t/a。</w:t>
            </w:r>
          </w:p>
          <w:p w14:paraId="66185692">
            <w:pPr>
              <w:adjustRightInd w:val="0"/>
              <w:snapToGrid w:val="0"/>
              <w:spacing w:line="360" w:lineRule="auto"/>
              <w:ind w:firstLine="482" w:firstLineChars="200"/>
              <w:rPr>
                <w:b/>
                <w:bCs/>
                <w:color w:val="auto"/>
                <w:sz w:val="24"/>
                <w:highlight w:val="none"/>
              </w:rPr>
            </w:pPr>
            <w:r>
              <w:rPr>
                <w:rFonts w:hint="eastAsia"/>
                <w:b/>
                <w:bCs/>
                <w:color w:val="auto"/>
                <w:sz w:val="24"/>
                <w:highlight w:val="none"/>
              </w:rPr>
              <w:t>处置措施：</w:t>
            </w:r>
            <w:r>
              <w:rPr>
                <w:rFonts w:hint="eastAsia"/>
                <w:color w:val="auto"/>
                <w:sz w:val="24"/>
                <w:highlight w:val="none"/>
              </w:rPr>
              <w:t>污泥经浓缩+压滤脱水后</w:t>
            </w:r>
            <w:r>
              <w:rPr>
                <w:rFonts w:hint="eastAsia"/>
                <w:color w:val="auto"/>
                <w:sz w:val="24"/>
                <w:highlight w:val="none"/>
                <w:lang w:eastAsia="zh-CN"/>
              </w:rPr>
              <w:t>（含水率小于</w:t>
            </w:r>
            <w:r>
              <w:rPr>
                <w:rFonts w:hint="eastAsia"/>
                <w:color w:val="auto"/>
                <w:sz w:val="24"/>
                <w:highlight w:val="none"/>
                <w:lang w:val="en-US" w:eastAsia="zh-CN"/>
              </w:rPr>
              <w:t>60%</w:t>
            </w:r>
            <w:r>
              <w:rPr>
                <w:rFonts w:hint="eastAsia"/>
                <w:color w:val="auto"/>
                <w:sz w:val="24"/>
                <w:highlight w:val="none"/>
                <w:lang w:eastAsia="zh-CN"/>
              </w:rPr>
              <w:t>）</w:t>
            </w:r>
            <w:r>
              <w:rPr>
                <w:rFonts w:hint="eastAsia"/>
                <w:color w:val="auto"/>
                <w:sz w:val="24"/>
                <w:highlight w:val="none"/>
              </w:rPr>
              <w:t>暂存于污泥池，定期外运至洋县生活垃圾焚烧发电</w:t>
            </w:r>
            <w:r>
              <w:rPr>
                <w:rFonts w:hint="eastAsia"/>
                <w:color w:val="auto"/>
                <w:sz w:val="24"/>
                <w:highlight w:val="none"/>
                <w:lang w:eastAsia="zh-CN"/>
              </w:rPr>
              <w:t>厂</w:t>
            </w:r>
            <w:r>
              <w:rPr>
                <w:rFonts w:hint="eastAsia"/>
                <w:color w:val="auto"/>
                <w:sz w:val="24"/>
                <w:highlight w:val="none"/>
              </w:rPr>
              <w:t>处置。</w:t>
            </w:r>
          </w:p>
          <w:p w14:paraId="4EBE0311">
            <w:pPr>
              <w:pStyle w:val="29"/>
              <w:widowControl w:val="0"/>
              <w:spacing w:before="0" w:beforeAutospacing="0" w:after="0" w:afterAutospacing="0" w:line="360" w:lineRule="auto"/>
              <w:ind w:firstLine="480" w:firstLineChars="200"/>
              <w:jc w:val="both"/>
              <w:rPr>
                <w:rFonts w:cs="宋体"/>
                <w:b/>
                <w:color w:val="auto"/>
                <w:highlight w:val="none"/>
              </w:rPr>
            </w:pPr>
            <w:r>
              <w:rPr>
                <w:rFonts w:hint="eastAsia" w:ascii="Times New Roman" w:hAnsi="Times New Roman" w:cs="宋体"/>
                <w:color w:val="auto"/>
                <w:kern w:val="2"/>
                <w:szCs w:val="22"/>
                <w:highlight w:val="none"/>
              </w:rPr>
              <w:t>本项目固体废物产排特性见下表所示：</w:t>
            </w:r>
          </w:p>
          <w:p w14:paraId="6A888FD2">
            <w:pPr>
              <w:snapToGrid w:val="0"/>
              <w:jc w:val="center"/>
              <w:rPr>
                <w:b/>
                <w:color w:val="auto"/>
                <w:highlight w:val="none"/>
              </w:rPr>
            </w:pPr>
            <w:r>
              <w:rPr>
                <w:rFonts w:hint="eastAsia" w:cs="宋体"/>
                <w:b/>
                <w:color w:val="auto"/>
                <w:highlight w:val="none"/>
              </w:rPr>
              <w:t>表</w:t>
            </w:r>
            <w:r>
              <w:rPr>
                <w:b/>
                <w:color w:val="auto"/>
                <w:highlight w:val="none"/>
              </w:rPr>
              <w:t>4-</w:t>
            </w:r>
            <w:r>
              <w:rPr>
                <w:rFonts w:hint="eastAsia"/>
                <w:b/>
                <w:color w:val="auto"/>
                <w:highlight w:val="none"/>
              </w:rPr>
              <w:t>1</w:t>
            </w:r>
            <w:r>
              <w:rPr>
                <w:rFonts w:hint="eastAsia"/>
                <w:b/>
                <w:color w:val="auto"/>
                <w:highlight w:val="none"/>
                <w:lang w:val="en-US" w:eastAsia="zh-CN"/>
              </w:rPr>
              <w:t>3</w:t>
            </w:r>
            <w:r>
              <w:rPr>
                <w:rFonts w:hint="eastAsia"/>
                <w:b/>
                <w:color w:val="auto"/>
                <w:highlight w:val="none"/>
              </w:rPr>
              <w:t xml:space="preserve"> </w:t>
            </w:r>
            <w:r>
              <w:rPr>
                <w:b/>
                <w:color w:val="auto"/>
                <w:highlight w:val="none"/>
              </w:rPr>
              <w:t xml:space="preserve"> </w:t>
            </w:r>
            <w:r>
              <w:rPr>
                <w:rFonts w:hint="eastAsia"/>
                <w:b/>
                <w:color w:val="auto"/>
                <w:highlight w:val="none"/>
              </w:rPr>
              <w:t>本项目运营期</w:t>
            </w:r>
            <w:r>
              <w:rPr>
                <w:rFonts w:hint="eastAsia" w:cs="宋体"/>
                <w:b/>
                <w:color w:val="auto"/>
                <w:highlight w:val="none"/>
              </w:rPr>
              <w:t>固体废物产排特性表</w:t>
            </w:r>
          </w:p>
          <w:tbl>
            <w:tblPr>
              <w:tblStyle w:val="35"/>
              <w:tblW w:w="8301"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1348"/>
              <w:gridCol w:w="713"/>
              <w:gridCol w:w="1141"/>
              <w:gridCol w:w="1100"/>
              <w:gridCol w:w="1033"/>
              <w:gridCol w:w="1450"/>
              <w:gridCol w:w="1516"/>
            </w:tblGrid>
            <w:tr w14:paraId="02A16F9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13" w:hRule="atLeast"/>
                <w:jc w:val="center"/>
              </w:trPr>
              <w:tc>
                <w:tcPr>
                  <w:tcW w:w="1348" w:type="dxa"/>
                  <w:vMerge w:val="restart"/>
                  <w:tcBorders>
                    <w:tl2br w:val="nil"/>
                    <w:tr2bl w:val="nil"/>
                  </w:tcBorders>
                  <w:vAlign w:val="center"/>
                </w:tcPr>
                <w:p w14:paraId="140253AB">
                  <w:pPr>
                    <w:pStyle w:val="29"/>
                    <w:widowControl w:val="0"/>
                    <w:spacing w:before="0" w:beforeAutospacing="0" w:after="0" w:afterAutospacing="0"/>
                    <w:jc w:val="center"/>
                    <w:rPr>
                      <w:rFonts w:ascii="Times New Roman" w:hAnsi="Times New Roman"/>
                      <w:color w:val="auto"/>
                      <w:sz w:val="21"/>
                      <w:szCs w:val="21"/>
                      <w:highlight w:val="none"/>
                    </w:rPr>
                  </w:pPr>
                  <w:r>
                    <w:rPr>
                      <w:rFonts w:hint="eastAsia" w:ascii="Times New Roman" w:hAnsi="Times New Roman" w:cs="宋体"/>
                      <w:color w:val="auto"/>
                      <w:kern w:val="2"/>
                      <w:sz w:val="21"/>
                      <w:szCs w:val="21"/>
                      <w:highlight w:val="none"/>
                    </w:rPr>
                    <w:t>产排特性</w:t>
                  </w:r>
                </w:p>
              </w:tc>
              <w:tc>
                <w:tcPr>
                  <w:tcW w:w="6953" w:type="dxa"/>
                  <w:gridSpan w:val="6"/>
                  <w:tcBorders>
                    <w:tl2br w:val="nil"/>
                    <w:tr2bl w:val="nil"/>
                  </w:tcBorders>
                  <w:vAlign w:val="center"/>
                </w:tcPr>
                <w:p w14:paraId="38507B92">
                  <w:pPr>
                    <w:pStyle w:val="29"/>
                    <w:widowControl w:val="0"/>
                    <w:spacing w:before="0" w:beforeAutospacing="0" w:after="0" w:afterAutospacing="0"/>
                    <w:jc w:val="center"/>
                    <w:rPr>
                      <w:rFonts w:ascii="Times New Roman" w:hAnsi="Times New Roman" w:cs="宋体"/>
                      <w:color w:val="auto"/>
                      <w:kern w:val="2"/>
                      <w:sz w:val="21"/>
                      <w:szCs w:val="21"/>
                      <w:highlight w:val="none"/>
                    </w:rPr>
                  </w:pPr>
                  <w:r>
                    <w:rPr>
                      <w:rFonts w:hint="eastAsia" w:ascii="Times New Roman" w:hAnsi="Times New Roman" w:cs="宋体"/>
                      <w:color w:val="auto"/>
                      <w:kern w:val="2"/>
                      <w:sz w:val="21"/>
                      <w:szCs w:val="21"/>
                      <w:highlight w:val="none"/>
                    </w:rPr>
                    <w:t>污染物</w:t>
                  </w:r>
                </w:p>
              </w:tc>
            </w:tr>
            <w:tr w14:paraId="7E2EDAD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13" w:hRule="atLeast"/>
                <w:jc w:val="center"/>
              </w:trPr>
              <w:tc>
                <w:tcPr>
                  <w:tcW w:w="1348" w:type="dxa"/>
                  <w:vMerge w:val="continue"/>
                  <w:tcBorders>
                    <w:tl2br w:val="nil"/>
                    <w:tr2bl w:val="nil"/>
                  </w:tcBorders>
                  <w:vAlign w:val="center"/>
                </w:tcPr>
                <w:p w14:paraId="06422496">
                  <w:pPr>
                    <w:rPr>
                      <w:color w:val="auto"/>
                      <w:sz w:val="20"/>
                      <w:szCs w:val="20"/>
                      <w:highlight w:val="none"/>
                    </w:rPr>
                  </w:pPr>
                </w:p>
              </w:tc>
              <w:tc>
                <w:tcPr>
                  <w:tcW w:w="713" w:type="dxa"/>
                  <w:tcBorders>
                    <w:tl2br w:val="nil"/>
                    <w:tr2bl w:val="nil"/>
                  </w:tcBorders>
                  <w:vAlign w:val="center"/>
                </w:tcPr>
                <w:p w14:paraId="32823B3A">
                  <w:pPr>
                    <w:pStyle w:val="29"/>
                    <w:widowControl w:val="0"/>
                    <w:spacing w:before="0" w:beforeAutospacing="0" w:after="0" w:afterAutospacing="0"/>
                    <w:jc w:val="center"/>
                    <w:rPr>
                      <w:rFonts w:ascii="Times New Roman" w:hAnsi="Times New Roman" w:cs="宋体"/>
                      <w:color w:val="auto"/>
                      <w:kern w:val="2"/>
                      <w:sz w:val="21"/>
                      <w:szCs w:val="21"/>
                      <w:highlight w:val="none"/>
                    </w:rPr>
                  </w:pPr>
                  <w:r>
                    <w:rPr>
                      <w:rFonts w:hint="eastAsia" w:ascii="Times New Roman" w:hAnsi="Times New Roman" w:cs="宋体"/>
                      <w:color w:val="auto"/>
                      <w:kern w:val="2"/>
                      <w:sz w:val="21"/>
                      <w:szCs w:val="21"/>
                      <w:highlight w:val="none"/>
                    </w:rPr>
                    <w:t>生活</w:t>
                  </w:r>
                </w:p>
                <w:p w14:paraId="4926FB66">
                  <w:pPr>
                    <w:pStyle w:val="29"/>
                    <w:widowControl w:val="0"/>
                    <w:spacing w:before="0" w:beforeAutospacing="0" w:after="0" w:afterAutospacing="0"/>
                    <w:jc w:val="center"/>
                    <w:rPr>
                      <w:rFonts w:ascii="Times New Roman" w:hAnsi="Times New Roman"/>
                      <w:color w:val="auto"/>
                      <w:sz w:val="21"/>
                      <w:szCs w:val="21"/>
                      <w:highlight w:val="none"/>
                    </w:rPr>
                  </w:pPr>
                  <w:r>
                    <w:rPr>
                      <w:rFonts w:hint="eastAsia" w:ascii="Times New Roman" w:hAnsi="Times New Roman" w:cs="宋体"/>
                      <w:color w:val="auto"/>
                      <w:kern w:val="2"/>
                      <w:sz w:val="21"/>
                      <w:szCs w:val="21"/>
                      <w:highlight w:val="none"/>
                    </w:rPr>
                    <w:t>垃圾</w:t>
                  </w:r>
                </w:p>
              </w:tc>
              <w:tc>
                <w:tcPr>
                  <w:tcW w:w="1141" w:type="dxa"/>
                  <w:tcBorders>
                    <w:tl2br w:val="nil"/>
                    <w:tr2bl w:val="nil"/>
                  </w:tcBorders>
                  <w:vAlign w:val="center"/>
                </w:tcPr>
                <w:p w14:paraId="778752C1">
                  <w:pPr>
                    <w:pStyle w:val="29"/>
                    <w:widowControl w:val="0"/>
                    <w:spacing w:before="0" w:beforeAutospacing="0" w:after="0" w:afterAutospacing="0"/>
                    <w:jc w:val="center"/>
                    <w:rPr>
                      <w:rFonts w:ascii="Times New Roman" w:hAnsi="Times New Roman" w:cs="宋体"/>
                      <w:color w:val="auto"/>
                      <w:kern w:val="2"/>
                      <w:sz w:val="21"/>
                      <w:szCs w:val="21"/>
                      <w:highlight w:val="none"/>
                    </w:rPr>
                  </w:pPr>
                  <w:r>
                    <w:rPr>
                      <w:rFonts w:hint="eastAsia" w:ascii="Times New Roman" w:hAnsi="Times New Roman" w:cs="宋体"/>
                      <w:color w:val="auto"/>
                      <w:kern w:val="2"/>
                      <w:sz w:val="21"/>
                      <w:szCs w:val="21"/>
                      <w:highlight w:val="none"/>
                      <w:lang w:eastAsia="zh-CN"/>
                    </w:rPr>
                    <w:t>果蔬皮及不合格品</w:t>
                  </w:r>
                </w:p>
              </w:tc>
              <w:tc>
                <w:tcPr>
                  <w:tcW w:w="1100" w:type="dxa"/>
                  <w:tcBorders>
                    <w:tl2br w:val="nil"/>
                    <w:tr2bl w:val="nil"/>
                  </w:tcBorders>
                  <w:vAlign w:val="center"/>
                </w:tcPr>
                <w:p w14:paraId="1D7E9E6A">
                  <w:pPr>
                    <w:pStyle w:val="29"/>
                    <w:widowControl w:val="0"/>
                    <w:spacing w:before="0" w:beforeAutospacing="0" w:after="0" w:afterAutospacing="0"/>
                    <w:jc w:val="center"/>
                    <w:rPr>
                      <w:rFonts w:ascii="Times New Roman" w:hAnsi="Times New Roman" w:cs="宋体"/>
                      <w:color w:val="auto"/>
                      <w:kern w:val="2"/>
                      <w:sz w:val="21"/>
                      <w:szCs w:val="21"/>
                      <w:highlight w:val="none"/>
                    </w:rPr>
                  </w:pPr>
                  <w:r>
                    <w:rPr>
                      <w:rFonts w:hint="eastAsia" w:ascii="Times New Roman" w:hAnsi="Times New Roman" w:cs="宋体"/>
                      <w:color w:val="auto"/>
                      <w:kern w:val="2"/>
                      <w:sz w:val="21"/>
                      <w:szCs w:val="21"/>
                      <w:highlight w:val="none"/>
                    </w:rPr>
                    <w:t>废油脂</w:t>
                  </w:r>
                </w:p>
              </w:tc>
              <w:tc>
                <w:tcPr>
                  <w:tcW w:w="1033" w:type="dxa"/>
                  <w:tcBorders>
                    <w:tl2br w:val="nil"/>
                    <w:tr2bl w:val="nil"/>
                  </w:tcBorders>
                  <w:vAlign w:val="center"/>
                </w:tcPr>
                <w:p w14:paraId="1D901C5B">
                  <w:pPr>
                    <w:pStyle w:val="29"/>
                    <w:widowControl w:val="0"/>
                    <w:spacing w:before="0" w:beforeAutospacing="0" w:after="0" w:afterAutospacing="0"/>
                    <w:jc w:val="center"/>
                    <w:rPr>
                      <w:rFonts w:ascii="Times New Roman" w:hAnsi="Times New Roman" w:cs="宋体"/>
                      <w:color w:val="auto"/>
                      <w:kern w:val="2"/>
                      <w:sz w:val="21"/>
                      <w:szCs w:val="21"/>
                      <w:highlight w:val="none"/>
                    </w:rPr>
                  </w:pPr>
                  <w:r>
                    <w:rPr>
                      <w:rFonts w:hint="eastAsia" w:ascii="Times New Roman" w:hAnsi="Times New Roman" w:cs="宋体"/>
                      <w:color w:val="auto"/>
                      <w:kern w:val="2"/>
                      <w:sz w:val="21"/>
                      <w:szCs w:val="21"/>
                      <w:highlight w:val="none"/>
                    </w:rPr>
                    <w:t>废弃</w:t>
                  </w:r>
                </w:p>
                <w:p w14:paraId="3C9C8C5A">
                  <w:pPr>
                    <w:pStyle w:val="29"/>
                    <w:widowControl w:val="0"/>
                    <w:spacing w:before="0" w:beforeAutospacing="0" w:after="0" w:afterAutospacing="0"/>
                    <w:jc w:val="center"/>
                    <w:rPr>
                      <w:rFonts w:ascii="Times New Roman" w:hAnsi="Times New Roman" w:cs="宋体"/>
                      <w:color w:val="auto"/>
                      <w:kern w:val="2"/>
                      <w:sz w:val="21"/>
                      <w:szCs w:val="21"/>
                      <w:highlight w:val="none"/>
                    </w:rPr>
                  </w:pPr>
                  <w:r>
                    <w:rPr>
                      <w:rFonts w:hint="eastAsia" w:ascii="Times New Roman" w:hAnsi="Times New Roman" w:cs="宋体"/>
                      <w:color w:val="auto"/>
                      <w:kern w:val="2"/>
                      <w:sz w:val="21"/>
                      <w:szCs w:val="21"/>
                      <w:highlight w:val="none"/>
                    </w:rPr>
                    <w:t>包装袋</w:t>
                  </w:r>
                </w:p>
              </w:tc>
              <w:tc>
                <w:tcPr>
                  <w:tcW w:w="1450" w:type="dxa"/>
                  <w:tcBorders>
                    <w:tl2br w:val="nil"/>
                    <w:tr2bl w:val="nil"/>
                  </w:tcBorders>
                  <w:vAlign w:val="center"/>
                </w:tcPr>
                <w:p w14:paraId="5CC12280">
                  <w:pPr>
                    <w:pStyle w:val="29"/>
                    <w:widowControl w:val="0"/>
                    <w:spacing w:before="0" w:beforeAutospacing="0" w:after="0" w:afterAutospacing="0"/>
                    <w:jc w:val="center"/>
                    <w:rPr>
                      <w:rFonts w:hint="eastAsia" w:ascii="Times New Roman" w:hAnsi="Times New Roman" w:eastAsia="宋体"/>
                      <w:color w:val="auto"/>
                      <w:sz w:val="21"/>
                      <w:szCs w:val="21"/>
                      <w:highlight w:val="none"/>
                      <w:lang w:eastAsia="zh-CN"/>
                    </w:rPr>
                  </w:pPr>
                  <w:r>
                    <w:rPr>
                      <w:rFonts w:hint="eastAsia" w:ascii="Times New Roman" w:hAnsi="Times New Roman" w:cs="宋体"/>
                      <w:color w:val="auto"/>
                      <w:kern w:val="2"/>
                      <w:sz w:val="21"/>
                      <w:szCs w:val="21"/>
                      <w:highlight w:val="none"/>
                    </w:rPr>
                    <w:t>灰渣</w:t>
                  </w:r>
                </w:p>
              </w:tc>
              <w:tc>
                <w:tcPr>
                  <w:tcW w:w="1516" w:type="dxa"/>
                  <w:tcBorders>
                    <w:tl2br w:val="nil"/>
                    <w:tr2bl w:val="nil"/>
                  </w:tcBorders>
                  <w:vAlign w:val="center"/>
                </w:tcPr>
                <w:p w14:paraId="78555F1D">
                  <w:pPr>
                    <w:pStyle w:val="29"/>
                    <w:widowControl w:val="0"/>
                    <w:spacing w:before="0" w:beforeAutospacing="0" w:after="0" w:afterAutospacing="0"/>
                    <w:jc w:val="center"/>
                    <w:rPr>
                      <w:rFonts w:ascii="Times New Roman" w:hAnsi="Times New Roman"/>
                      <w:color w:val="auto"/>
                      <w:sz w:val="21"/>
                      <w:szCs w:val="21"/>
                      <w:highlight w:val="none"/>
                    </w:rPr>
                  </w:pPr>
                  <w:r>
                    <w:rPr>
                      <w:rFonts w:hint="eastAsia" w:ascii="Times New Roman" w:hAnsi="Times New Roman" w:cs="宋体"/>
                      <w:color w:val="auto"/>
                      <w:kern w:val="2"/>
                      <w:sz w:val="21"/>
                      <w:szCs w:val="21"/>
                      <w:highlight w:val="none"/>
                    </w:rPr>
                    <w:t>污泥</w:t>
                  </w:r>
                </w:p>
              </w:tc>
            </w:tr>
            <w:tr w14:paraId="67097C3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13" w:hRule="atLeast"/>
                <w:jc w:val="center"/>
              </w:trPr>
              <w:tc>
                <w:tcPr>
                  <w:tcW w:w="1348" w:type="dxa"/>
                  <w:tcBorders>
                    <w:tl2br w:val="nil"/>
                    <w:tr2bl w:val="nil"/>
                  </w:tcBorders>
                  <w:vAlign w:val="center"/>
                </w:tcPr>
                <w:p w14:paraId="668E34F5">
                  <w:pPr>
                    <w:pStyle w:val="29"/>
                    <w:widowControl w:val="0"/>
                    <w:spacing w:before="0" w:beforeAutospacing="0" w:after="0" w:afterAutospacing="0"/>
                    <w:jc w:val="center"/>
                    <w:rPr>
                      <w:rFonts w:ascii="Times New Roman" w:hAnsi="Times New Roman"/>
                      <w:color w:val="auto"/>
                      <w:sz w:val="21"/>
                      <w:szCs w:val="21"/>
                      <w:highlight w:val="none"/>
                    </w:rPr>
                  </w:pPr>
                  <w:r>
                    <w:rPr>
                      <w:rFonts w:hint="eastAsia" w:ascii="Times New Roman" w:hAnsi="Times New Roman" w:cs="宋体"/>
                      <w:color w:val="auto"/>
                      <w:kern w:val="2"/>
                      <w:sz w:val="21"/>
                      <w:szCs w:val="21"/>
                      <w:highlight w:val="none"/>
                    </w:rPr>
                    <w:t>产生环节</w:t>
                  </w:r>
                </w:p>
              </w:tc>
              <w:tc>
                <w:tcPr>
                  <w:tcW w:w="713" w:type="dxa"/>
                  <w:tcBorders>
                    <w:tl2br w:val="nil"/>
                    <w:tr2bl w:val="nil"/>
                  </w:tcBorders>
                  <w:vAlign w:val="center"/>
                </w:tcPr>
                <w:p w14:paraId="78928686">
                  <w:pPr>
                    <w:pStyle w:val="29"/>
                    <w:widowControl w:val="0"/>
                    <w:spacing w:before="0" w:beforeAutospacing="0" w:after="0" w:afterAutospacing="0"/>
                    <w:jc w:val="center"/>
                    <w:rPr>
                      <w:rFonts w:ascii="Times New Roman" w:hAnsi="Times New Roman" w:cs="宋体"/>
                      <w:color w:val="auto"/>
                      <w:kern w:val="2"/>
                      <w:sz w:val="21"/>
                      <w:szCs w:val="21"/>
                      <w:highlight w:val="none"/>
                    </w:rPr>
                  </w:pPr>
                  <w:r>
                    <w:rPr>
                      <w:rFonts w:hint="eastAsia" w:ascii="Times New Roman" w:hAnsi="Times New Roman" w:cs="宋体"/>
                      <w:color w:val="auto"/>
                      <w:kern w:val="2"/>
                      <w:sz w:val="21"/>
                      <w:szCs w:val="21"/>
                      <w:highlight w:val="none"/>
                    </w:rPr>
                    <w:t>员工</w:t>
                  </w:r>
                </w:p>
                <w:p w14:paraId="283FB59F">
                  <w:pPr>
                    <w:pStyle w:val="29"/>
                    <w:widowControl w:val="0"/>
                    <w:spacing w:before="0" w:beforeAutospacing="0" w:after="0" w:afterAutospacing="0"/>
                    <w:jc w:val="center"/>
                    <w:rPr>
                      <w:rFonts w:ascii="Times New Roman" w:hAnsi="Times New Roman"/>
                      <w:color w:val="auto"/>
                      <w:sz w:val="21"/>
                      <w:szCs w:val="21"/>
                      <w:highlight w:val="none"/>
                    </w:rPr>
                  </w:pPr>
                  <w:r>
                    <w:rPr>
                      <w:rFonts w:hint="eastAsia" w:ascii="Times New Roman" w:hAnsi="Times New Roman" w:cs="宋体"/>
                      <w:color w:val="auto"/>
                      <w:kern w:val="2"/>
                      <w:sz w:val="21"/>
                      <w:szCs w:val="21"/>
                      <w:highlight w:val="none"/>
                    </w:rPr>
                    <w:t>生活</w:t>
                  </w:r>
                </w:p>
              </w:tc>
              <w:tc>
                <w:tcPr>
                  <w:tcW w:w="1141" w:type="dxa"/>
                  <w:tcBorders>
                    <w:tl2br w:val="nil"/>
                    <w:tr2bl w:val="nil"/>
                  </w:tcBorders>
                  <w:vAlign w:val="center"/>
                </w:tcPr>
                <w:p w14:paraId="2F2760D1">
                  <w:pPr>
                    <w:pStyle w:val="29"/>
                    <w:widowControl w:val="0"/>
                    <w:spacing w:before="0" w:beforeAutospacing="0" w:after="0" w:afterAutospacing="0"/>
                    <w:jc w:val="center"/>
                    <w:rPr>
                      <w:rFonts w:hint="eastAsia" w:ascii="Times New Roman" w:hAnsi="Times New Roman" w:eastAsia="宋体" w:cs="宋体"/>
                      <w:color w:val="auto"/>
                      <w:kern w:val="2"/>
                      <w:sz w:val="21"/>
                      <w:szCs w:val="21"/>
                      <w:highlight w:val="none"/>
                      <w:lang w:eastAsia="zh-CN"/>
                    </w:rPr>
                  </w:pPr>
                  <w:r>
                    <w:rPr>
                      <w:rFonts w:hint="eastAsia" w:ascii="Times New Roman" w:hAnsi="Times New Roman" w:cs="宋体"/>
                      <w:color w:val="auto"/>
                      <w:kern w:val="2"/>
                      <w:sz w:val="21"/>
                      <w:szCs w:val="21"/>
                      <w:highlight w:val="none"/>
                    </w:rPr>
                    <w:t>挑选、去皮、</w:t>
                  </w:r>
                  <w:r>
                    <w:rPr>
                      <w:rFonts w:hint="eastAsia" w:ascii="Times New Roman" w:hAnsi="Times New Roman" w:cs="宋体"/>
                      <w:color w:val="auto"/>
                      <w:kern w:val="2"/>
                      <w:sz w:val="21"/>
                      <w:szCs w:val="21"/>
                      <w:highlight w:val="none"/>
                      <w:lang w:eastAsia="zh-CN"/>
                    </w:rPr>
                    <w:t>检验</w:t>
                  </w:r>
                </w:p>
              </w:tc>
              <w:tc>
                <w:tcPr>
                  <w:tcW w:w="1100" w:type="dxa"/>
                  <w:tcBorders>
                    <w:tl2br w:val="nil"/>
                    <w:tr2bl w:val="nil"/>
                  </w:tcBorders>
                  <w:vAlign w:val="center"/>
                </w:tcPr>
                <w:p w14:paraId="14B9F36B">
                  <w:pPr>
                    <w:pStyle w:val="29"/>
                    <w:widowControl w:val="0"/>
                    <w:spacing w:before="0" w:beforeAutospacing="0" w:after="0" w:afterAutospacing="0"/>
                    <w:jc w:val="center"/>
                    <w:rPr>
                      <w:rFonts w:ascii="Times New Roman" w:hAnsi="Times New Roman" w:cs="宋体"/>
                      <w:color w:val="auto"/>
                      <w:kern w:val="2"/>
                      <w:sz w:val="21"/>
                      <w:szCs w:val="21"/>
                      <w:highlight w:val="none"/>
                    </w:rPr>
                  </w:pPr>
                  <w:r>
                    <w:rPr>
                      <w:rFonts w:hint="eastAsia" w:ascii="Times New Roman" w:hAnsi="Times New Roman" w:cs="宋体"/>
                      <w:color w:val="auto"/>
                      <w:kern w:val="2"/>
                      <w:sz w:val="21"/>
                      <w:szCs w:val="21"/>
                      <w:highlight w:val="none"/>
                    </w:rPr>
                    <w:t>油炸</w:t>
                  </w:r>
                </w:p>
              </w:tc>
              <w:tc>
                <w:tcPr>
                  <w:tcW w:w="1033" w:type="dxa"/>
                  <w:tcBorders>
                    <w:tl2br w:val="nil"/>
                    <w:tr2bl w:val="nil"/>
                  </w:tcBorders>
                  <w:vAlign w:val="center"/>
                </w:tcPr>
                <w:p w14:paraId="3CBBF9E8">
                  <w:pPr>
                    <w:pStyle w:val="29"/>
                    <w:widowControl w:val="0"/>
                    <w:spacing w:before="0" w:beforeAutospacing="0" w:after="0" w:afterAutospacing="0"/>
                    <w:jc w:val="center"/>
                    <w:rPr>
                      <w:rFonts w:ascii="Times New Roman" w:hAnsi="Times New Roman" w:cs="宋体"/>
                      <w:color w:val="auto"/>
                      <w:kern w:val="2"/>
                      <w:sz w:val="21"/>
                      <w:szCs w:val="21"/>
                      <w:highlight w:val="none"/>
                    </w:rPr>
                  </w:pPr>
                  <w:r>
                    <w:rPr>
                      <w:rFonts w:hint="eastAsia" w:ascii="Times New Roman" w:hAnsi="Times New Roman" w:cs="宋体"/>
                      <w:color w:val="auto"/>
                      <w:kern w:val="2"/>
                      <w:sz w:val="21"/>
                      <w:szCs w:val="21"/>
                      <w:highlight w:val="none"/>
                    </w:rPr>
                    <w:t>拆除外</w:t>
                  </w:r>
                </w:p>
                <w:p w14:paraId="126F0F4D">
                  <w:pPr>
                    <w:pStyle w:val="29"/>
                    <w:widowControl w:val="0"/>
                    <w:spacing w:before="0" w:beforeAutospacing="0" w:after="0" w:afterAutospacing="0"/>
                    <w:jc w:val="center"/>
                    <w:rPr>
                      <w:rFonts w:ascii="Times New Roman" w:hAnsi="Times New Roman" w:cs="宋体"/>
                      <w:color w:val="auto"/>
                      <w:kern w:val="2"/>
                      <w:sz w:val="21"/>
                      <w:szCs w:val="21"/>
                      <w:highlight w:val="none"/>
                    </w:rPr>
                  </w:pPr>
                  <w:r>
                    <w:rPr>
                      <w:rFonts w:hint="eastAsia" w:ascii="Times New Roman" w:hAnsi="Times New Roman" w:cs="宋体"/>
                      <w:color w:val="auto"/>
                      <w:kern w:val="2"/>
                      <w:sz w:val="21"/>
                      <w:szCs w:val="21"/>
                      <w:highlight w:val="none"/>
                    </w:rPr>
                    <w:t>包装</w:t>
                  </w:r>
                </w:p>
              </w:tc>
              <w:tc>
                <w:tcPr>
                  <w:tcW w:w="1450" w:type="dxa"/>
                  <w:tcBorders>
                    <w:tl2br w:val="nil"/>
                    <w:tr2bl w:val="nil"/>
                  </w:tcBorders>
                  <w:vAlign w:val="center"/>
                </w:tcPr>
                <w:p w14:paraId="49AAC487">
                  <w:pPr>
                    <w:pStyle w:val="29"/>
                    <w:widowControl w:val="0"/>
                    <w:spacing w:before="0" w:beforeAutospacing="0" w:after="0" w:afterAutospacing="0"/>
                    <w:jc w:val="center"/>
                    <w:rPr>
                      <w:rFonts w:ascii="Times New Roman" w:hAnsi="Times New Roman" w:cs="宋体"/>
                      <w:color w:val="auto"/>
                      <w:kern w:val="2"/>
                      <w:sz w:val="21"/>
                      <w:szCs w:val="21"/>
                      <w:highlight w:val="none"/>
                    </w:rPr>
                  </w:pPr>
                  <w:r>
                    <w:rPr>
                      <w:rFonts w:hint="eastAsia" w:ascii="Times New Roman" w:hAnsi="Times New Roman" w:cs="宋体"/>
                      <w:color w:val="auto"/>
                      <w:kern w:val="2"/>
                      <w:sz w:val="21"/>
                      <w:szCs w:val="21"/>
                      <w:highlight w:val="none"/>
                    </w:rPr>
                    <w:t>生物质燃料</w:t>
                  </w:r>
                </w:p>
                <w:p w14:paraId="37425ACA">
                  <w:pPr>
                    <w:pStyle w:val="29"/>
                    <w:widowControl w:val="0"/>
                    <w:spacing w:before="0" w:beforeAutospacing="0" w:after="0" w:afterAutospacing="0"/>
                    <w:jc w:val="center"/>
                    <w:rPr>
                      <w:rFonts w:ascii="Times New Roman" w:hAnsi="Times New Roman"/>
                      <w:color w:val="auto"/>
                      <w:sz w:val="21"/>
                      <w:szCs w:val="21"/>
                      <w:highlight w:val="none"/>
                    </w:rPr>
                  </w:pPr>
                  <w:r>
                    <w:rPr>
                      <w:rFonts w:hint="eastAsia" w:ascii="Times New Roman" w:hAnsi="Times New Roman" w:cs="宋体"/>
                      <w:color w:val="auto"/>
                      <w:kern w:val="2"/>
                      <w:sz w:val="21"/>
                      <w:szCs w:val="21"/>
                      <w:highlight w:val="none"/>
                    </w:rPr>
                    <w:t>燃烧</w:t>
                  </w:r>
                </w:p>
              </w:tc>
              <w:tc>
                <w:tcPr>
                  <w:tcW w:w="1516" w:type="dxa"/>
                  <w:tcBorders>
                    <w:tl2br w:val="nil"/>
                    <w:tr2bl w:val="nil"/>
                  </w:tcBorders>
                  <w:vAlign w:val="center"/>
                </w:tcPr>
                <w:p w14:paraId="07A1D8DE">
                  <w:pPr>
                    <w:pStyle w:val="29"/>
                    <w:widowControl w:val="0"/>
                    <w:spacing w:before="0" w:beforeAutospacing="0" w:after="0" w:afterAutospacing="0"/>
                    <w:jc w:val="center"/>
                    <w:rPr>
                      <w:rFonts w:ascii="Times New Roman" w:hAnsi="Times New Roman" w:cs="宋体"/>
                      <w:color w:val="auto"/>
                      <w:kern w:val="2"/>
                      <w:sz w:val="21"/>
                      <w:szCs w:val="21"/>
                      <w:highlight w:val="none"/>
                    </w:rPr>
                  </w:pPr>
                  <w:r>
                    <w:rPr>
                      <w:rFonts w:hint="eastAsia" w:ascii="Times New Roman" w:hAnsi="Times New Roman" w:cs="宋体"/>
                      <w:color w:val="auto"/>
                      <w:kern w:val="2"/>
                      <w:sz w:val="21"/>
                      <w:szCs w:val="21"/>
                      <w:highlight w:val="none"/>
                    </w:rPr>
                    <w:t>污水处理</w:t>
                  </w:r>
                </w:p>
              </w:tc>
            </w:tr>
            <w:tr w14:paraId="296DAF6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13" w:hRule="atLeast"/>
                <w:jc w:val="center"/>
              </w:trPr>
              <w:tc>
                <w:tcPr>
                  <w:tcW w:w="1348" w:type="dxa"/>
                  <w:tcBorders>
                    <w:tl2br w:val="nil"/>
                    <w:tr2bl w:val="nil"/>
                  </w:tcBorders>
                  <w:vAlign w:val="center"/>
                </w:tcPr>
                <w:p w14:paraId="71EE1879">
                  <w:pPr>
                    <w:pStyle w:val="29"/>
                    <w:widowControl w:val="0"/>
                    <w:spacing w:before="0" w:beforeAutospacing="0" w:after="0" w:afterAutospacing="0"/>
                    <w:jc w:val="center"/>
                    <w:rPr>
                      <w:rFonts w:ascii="Times New Roman" w:hAnsi="Times New Roman"/>
                      <w:color w:val="auto"/>
                      <w:sz w:val="21"/>
                      <w:szCs w:val="21"/>
                      <w:highlight w:val="none"/>
                    </w:rPr>
                  </w:pPr>
                  <w:r>
                    <w:rPr>
                      <w:rFonts w:hint="eastAsia" w:ascii="Times New Roman" w:hAnsi="Times New Roman" w:cs="宋体"/>
                      <w:color w:val="auto"/>
                      <w:kern w:val="2"/>
                      <w:sz w:val="21"/>
                      <w:szCs w:val="21"/>
                      <w:highlight w:val="none"/>
                    </w:rPr>
                    <w:t>属性</w:t>
                  </w:r>
                </w:p>
              </w:tc>
              <w:tc>
                <w:tcPr>
                  <w:tcW w:w="713" w:type="dxa"/>
                  <w:tcBorders>
                    <w:tl2br w:val="nil"/>
                    <w:tr2bl w:val="nil"/>
                  </w:tcBorders>
                  <w:vAlign w:val="center"/>
                </w:tcPr>
                <w:p w14:paraId="562DCE65">
                  <w:pPr>
                    <w:pStyle w:val="29"/>
                    <w:widowControl w:val="0"/>
                    <w:spacing w:before="0" w:beforeAutospacing="0" w:after="0" w:afterAutospacing="0"/>
                    <w:jc w:val="center"/>
                    <w:rPr>
                      <w:rFonts w:ascii="Times New Roman" w:hAnsi="Times New Roman" w:cs="宋体"/>
                      <w:color w:val="auto"/>
                      <w:kern w:val="2"/>
                      <w:sz w:val="21"/>
                      <w:szCs w:val="21"/>
                      <w:highlight w:val="none"/>
                    </w:rPr>
                  </w:pPr>
                  <w:r>
                    <w:rPr>
                      <w:rFonts w:hint="eastAsia" w:ascii="Times New Roman" w:hAnsi="Times New Roman" w:cs="宋体"/>
                      <w:color w:val="auto"/>
                      <w:kern w:val="2"/>
                      <w:sz w:val="21"/>
                      <w:szCs w:val="21"/>
                      <w:highlight w:val="none"/>
                    </w:rPr>
                    <w:t>生活</w:t>
                  </w:r>
                </w:p>
                <w:p w14:paraId="3653DD05">
                  <w:pPr>
                    <w:pStyle w:val="29"/>
                    <w:widowControl w:val="0"/>
                    <w:spacing w:before="0" w:beforeAutospacing="0" w:after="0" w:afterAutospacing="0"/>
                    <w:jc w:val="center"/>
                    <w:rPr>
                      <w:rFonts w:ascii="Times New Roman" w:hAnsi="Times New Roman"/>
                      <w:color w:val="auto"/>
                      <w:sz w:val="21"/>
                      <w:szCs w:val="21"/>
                      <w:highlight w:val="none"/>
                    </w:rPr>
                  </w:pPr>
                  <w:r>
                    <w:rPr>
                      <w:rFonts w:hint="eastAsia" w:ascii="Times New Roman" w:hAnsi="Times New Roman" w:cs="宋体"/>
                      <w:color w:val="auto"/>
                      <w:kern w:val="2"/>
                      <w:sz w:val="21"/>
                      <w:szCs w:val="21"/>
                      <w:highlight w:val="none"/>
                    </w:rPr>
                    <w:t>垃圾</w:t>
                  </w:r>
                </w:p>
              </w:tc>
              <w:tc>
                <w:tcPr>
                  <w:tcW w:w="1141" w:type="dxa"/>
                  <w:tcBorders>
                    <w:tl2br w:val="nil"/>
                    <w:tr2bl w:val="nil"/>
                  </w:tcBorders>
                  <w:vAlign w:val="center"/>
                </w:tcPr>
                <w:p w14:paraId="4A52EAF9">
                  <w:pPr>
                    <w:pStyle w:val="29"/>
                    <w:widowControl w:val="0"/>
                    <w:spacing w:before="0" w:beforeAutospacing="0" w:after="0" w:afterAutospacing="0"/>
                    <w:jc w:val="center"/>
                    <w:rPr>
                      <w:rFonts w:ascii="Times New Roman" w:hAnsi="Times New Roman" w:cs="宋体"/>
                      <w:color w:val="auto"/>
                      <w:kern w:val="2"/>
                      <w:sz w:val="21"/>
                      <w:szCs w:val="21"/>
                      <w:highlight w:val="none"/>
                    </w:rPr>
                  </w:pPr>
                  <w:r>
                    <w:rPr>
                      <w:rFonts w:hint="eastAsia" w:ascii="Times New Roman" w:hAnsi="Times New Roman" w:cs="宋体"/>
                      <w:color w:val="auto"/>
                      <w:kern w:val="2"/>
                      <w:sz w:val="21"/>
                      <w:szCs w:val="21"/>
                      <w:highlight w:val="none"/>
                    </w:rPr>
                    <w:t>厨余垃圾</w:t>
                  </w:r>
                </w:p>
              </w:tc>
              <w:tc>
                <w:tcPr>
                  <w:tcW w:w="1100" w:type="dxa"/>
                  <w:tcBorders>
                    <w:tl2br w:val="nil"/>
                    <w:tr2bl w:val="nil"/>
                  </w:tcBorders>
                  <w:vAlign w:val="center"/>
                </w:tcPr>
                <w:p w14:paraId="6A0D2A58">
                  <w:pPr>
                    <w:pStyle w:val="29"/>
                    <w:widowControl w:val="0"/>
                    <w:spacing w:before="0" w:beforeAutospacing="0" w:after="0" w:afterAutospacing="0"/>
                    <w:jc w:val="center"/>
                    <w:rPr>
                      <w:rFonts w:ascii="Times New Roman" w:hAnsi="Times New Roman" w:cs="宋体"/>
                      <w:color w:val="auto"/>
                      <w:kern w:val="2"/>
                      <w:sz w:val="21"/>
                      <w:szCs w:val="21"/>
                      <w:highlight w:val="none"/>
                    </w:rPr>
                  </w:pPr>
                  <w:r>
                    <w:rPr>
                      <w:rFonts w:hint="eastAsia" w:ascii="Times New Roman" w:hAnsi="Times New Roman" w:cs="宋体"/>
                      <w:color w:val="auto"/>
                      <w:kern w:val="2"/>
                      <w:sz w:val="21"/>
                      <w:szCs w:val="21"/>
                      <w:highlight w:val="none"/>
                    </w:rPr>
                    <w:t>厨余垃圾</w:t>
                  </w:r>
                </w:p>
              </w:tc>
              <w:tc>
                <w:tcPr>
                  <w:tcW w:w="3999" w:type="dxa"/>
                  <w:gridSpan w:val="3"/>
                  <w:tcBorders>
                    <w:tl2br w:val="nil"/>
                    <w:tr2bl w:val="nil"/>
                  </w:tcBorders>
                  <w:vAlign w:val="center"/>
                </w:tcPr>
                <w:p w14:paraId="161E74A6">
                  <w:pPr>
                    <w:pStyle w:val="29"/>
                    <w:widowControl w:val="0"/>
                    <w:spacing w:before="0" w:beforeAutospacing="0" w:after="0" w:afterAutospacing="0"/>
                    <w:jc w:val="center"/>
                    <w:rPr>
                      <w:rFonts w:ascii="Times New Roman" w:hAnsi="Times New Roman" w:cs="宋体"/>
                      <w:color w:val="auto"/>
                      <w:kern w:val="2"/>
                      <w:sz w:val="21"/>
                      <w:szCs w:val="21"/>
                      <w:highlight w:val="none"/>
                    </w:rPr>
                  </w:pPr>
                  <w:r>
                    <w:rPr>
                      <w:rFonts w:hint="eastAsia" w:ascii="Times New Roman" w:hAnsi="Times New Roman" w:cs="宋体"/>
                      <w:color w:val="auto"/>
                      <w:kern w:val="2"/>
                      <w:sz w:val="21"/>
                      <w:szCs w:val="21"/>
                      <w:highlight w:val="none"/>
                    </w:rPr>
                    <w:t>一般工业固体废物</w:t>
                  </w:r>
                </w:p>
              </w:tc>
            </w:tr>
            <w:tr w14:paraId="4B65D2C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13" w:hRule="atLeast"/>
                <w:jc w:val="center"/>
              </w:trPr>
              <w:tc>
                <w:tcPr>
                  <w:tcW w:w="1348" w:type="dxa"/>
                  <w:tcBorders>
                    <w:tl2br w:val="nil"/>
                    <w:tr2bl w:val="nil"/>
                  </w:tcBorders>
                  <w:vAlign w:val="center"/>
                </w:tcPr>
                <w:p w14:paraId="6FEE53CF">
                  <w:pPr>
                    <w:pStyle w:val="29"/>
                    <w:widowControl w:val="0"/>
                    <w:spacing w:before="0" w:beforeAutospacing="0" w:after="0" w:afterAutospacing="0"/>
                    <w:jc w:val="center"/>
                    <w:rPr>
                      <w:rFonts w:ascii="Times New Roman" w:hAnsi="Times New Roman"/>
                      <w:color w:val="auto"/>
                      <w:sz w:val="21"/>
                      <w:szCs w:val="21"/>
                      <w:highlight w:val="none"/>
                    </w:rPr>
                  </w:pPr>
                  <w:r>
                    <w:rPr>
                      <w:rFonts w:hint="eastAsia" w:ascii="Times New Roman" w:hAnsi="Times New Roman" w:cs="宋体"/>
                      <w:color w:val="auto"/>
                      <w:kern w:val="2"/>
                      <w:sz w:val="21"/>
                      <w:szCs w:val="21"/>
                      <w:highlight w:val="none"/>
                    </w:rPr>
                    <w:t>主要有毒有害物质</w:t>
                  </w:r>
                </w:p>
              </w:tc>
              <w:tc>
                <w:tcPr>
                  <w:tcW w:w="713" w:type="dxa"/>
                  <w:tcBorders>
                    <w:tl2br w:val="nil"/>
                    <w:tr2bl w:val="nil"/>
                  </w:tcBorders>
                  <w:vAlign w:val="center"/>
                </w:tcPr>
                <w:p w14:paraId="25122D27">
                  <w:pPr>
                    <w:pStyle w:val="29"/>
                    <w:widowControl w:val="0"/>
                    <w:spacing w:before="0" w:beforeAutospacing="0" w:after="0" w:afterAutospacing="0"/>
                    <w:jc w:val="center"/>
                    <w:rPr>
                      <w:rFonts w:ascii="Times New Roman" w:hAnsi="Times New Roman"/>
                      <w:color w:val="auto"/>
                      <w:sz w:val="21"/>
                      <w:szCs w:val="21"/>
                      <w:highlight w:val="none"/>
                    </w:rPr>
                  </w:pPr>
                  <w:r>
                    <w:rPr>
                      <w:rFonts w:ascii="Times New Roman" w:hAnsi="Times New Roman"/>
                      <w:color w:val="auto"/>
                      <w:kern w:val="2"/>
                      <w:sz w:val="21"/>
                      <w:szCs w:val="21"/>
                      <w:highlight w:val="none"/>
                    </w:rPr>
                    <w:t>/</w:t>
                  </w:r>
                </w:p>
              </w:tc>
              <w:tc>
                <w:tcPr>
                  <w:tcW w:w="1141" w:type="dxa"/>
                  <w:tcBorders>
                    <w:tl2br w:val="nil"/>
                    <w:tr2bl w:val="nil"/>
                  </w:tcBorders>
                  <w:vAlign w:val="center"/>
                </w:tcPr>
                <w:p w14:paraId="455AFBDF">
                  <w:pPr>
                    <w:pStyle w:val="29"/>
                    <w:widowControl w:val="0"/>
                    <w:spacing w:before="0" w:beforeAutospacing="0" w:after="0" w:afterAutospacing="0"/>
                    <w:jc w:val="center"/>
                    <w:rPr>
                      <w:rFonts w:ascii="Times New Roman" w:hAnsi="Times New Roman"/>
                      <w:color w:val="auto"/>
                      <w:kern w:val="2"/>
                      <w:sz w:val="21"/>
                      <w:szCs w:val="21"/>
                      <w:highlight w:val="none"/>
                    </w:rPr>
                  </w:pPr>
                  <w:r>
                    <w:rPr>
                      <w:rFonts w:ascii="Times New Roman" w:hAnsi="Times New Roman"/>
                      <w:color w:val="auto"/>
                      <w:kern w:val="2"/>
                      <w:sz w:val="21"/>
                      <w:szCs w:val="21"/>
                      <w:highlight w:val="none"/>
                    </w:rPr>
                    <w:t>/</w:t>
                  </w:r>
                </w:p>
              </w:tc>
              <w:tc>
                <w:tcPr>
                  <w:tcW w:w="1100" w:type="dxa"/>
                  <w:tcBorders>
                    <w:tl2br w:val="nil"/>
                    <w:tr2bl w:val="nil"/>
                  </w:tcBorders>
                  <w:vAlign w:val="center"/>
                </w:tcPr>
                <w:p w14:paraId="4E7D7786">
                  <w:pPr>
                    <w:jc w:val="center"/>
                    <w:rPr>
                      <w:color w:val="auto"/>
                      <w:szCs w:val="21"/>
                      <w:highlight w:val="none"/>
                    </w:rPr>
                  </w:pPr>
                  <w:r>
                    <w:rPr>
                      <w:color w:val="auto"/>
                      <w:szCs w:val="21"/>
                      <w:highlight w:val="none"/>
                    </w:rPr>
                    <w:t>/</w:t>
                  </w:r>
                </w:p>
              </w:tc>
              <w:tc>
                <w:tcPr>
                  <w:tcW w:w="1033" w:type="dxa"/>
                  <w:tcBorders>
                    <w:tl2br w:val="nil"/>
                    <w:tr2bl w:val="nil"/>
                  </w:tcBorders>
                  <w:vAlign w:val="center"/>
                </w:tcPr>
                <w:p w14:paraId="3E5F1D88">
                  <w:pPr>
                    <w:jc w:val="center"/>
                    <w:rPr>
                      <w:color w:val="auto"/>
                      <w:szCs w:val="21"/>
                      <w:highlight w:val="none"/>
                    </w:rPr>
                  </w:pPr>
                  <w:r>
                    <w:rPr>
                      <w:color w:val="auto"/>
                      <w:szCs w:val="21"/>
                      <w:highlight w:val="none"/>
                    </w:rPr>
                    <w:t>/</w:t>
                  </w:r>
                </w:p>
              </w:tc>
              <w:tc>
                <w:tcPr>
                  <w:tcW w:w="1450" w:type="dxa"/>
                  <w:tcBorders>
                    <w:tl2br w:val="nil"/>
                    <w:tr2bl w:val="nil"/>
                  </w:tcBorders>
                  <w:vAlign w:val="center"/>
                </w:tcPr>
                <w:p w14:paraId="61FCB9AE">
                  <w:pPr>
                    <w:jc w:val="center"/>
                    <w:rPr>
                      <w:color w:val="auto"/>
                      <w:szCs w:val="21"/>
                      <w:highlight w:val="none"/>
                    </w:rPr>
                  </w:pPr>
                  <w:r>
                    <w:rPr>
                      <w:color w:val="auto"/>
                      <w:szCs w:val="21"/>
                      <w:highlight w:val="none"/>
                    </w:rPr>
                    <w:t>/</w:t>
                  </w:r>
                </w:p>
              </w:tc>
              <w:tc>
                <w:tcPr>
                  <w:tcW w:w="1516" w:type="dxa"/>
                  <w:tcBorders>
                    <w:tl2br w:val="nil"/>
                    <w:tr2bl w:val="nil"/>
                  </w:tcBorders>
                  <w:vAlign w:val="center"/>
                </w:tcPr>
                <w:p w14:paraId="376C28CB">
                  <w:pPr>
                    <w:jc w:val="center"/>
                    <w:rPr>
                      <w:color w:val="auto"/>
                      <w:szCs w:val="21"/>
                      <w:highlight w:val="none"/>
                    </w:rPr>
                  </w:pPr>
                  <w:r>
                    <w:rPr>
                      <w:color w:val="auto"/>
                      <w:szCs w:val="21"/>
                      <w:highlight w:val="none"/>
                    </w:rPr>
                    <w:t>/</w:t>
                  </w:r>
                </w:p>
              </w:tc>
            </w:tr>
            <w:tr w14:paraId="60FDF9B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13" w:hRule="atLeast"/>
                <w:jc w:val="center"/>
              </w:trPr>
              <w:tc>
                <w:tcPr>
                  <w:tcW w:w="1348" w:type="dxa"/>
                  <w:tcBorders>
                    <w:tl2br w:val="nil"/>
                    <w:tr2bl w:val="nil"/>
                  </w:tcBorders>
                  <w:vAlign w:val="center"/>
                </w:tcPr>
                <w:p w14:paraId="1C531C3E">
                  <w:pPr>
                    <w:pStyle w:val="29"/>
                    <w:widowControl w:val="0"/>
                    <w:spacing w:before="0" w:beforeAutospacing="0" w:after="0" w:afterAutospacing="0"/>
                    <w:jc w:val="center"/>
                    <w:rPr>
                      <w:rFonts w:ascii="Times New Roman" w:hAnsi="Times New Roman"/>
                      <w:color w:val="auto"/>
                      <w:sz w:val="21"/>
                      <w:szCs w:val="21"/>
                      <w:highlight w:val="none"/>
                    </w:rPr>
                  </w:pPr>
                  <w:r>
                    <w:rPr>
                      <w:rFonts w:hint="eastAsia" w:ascii="Times New Roman" w:hAnsi="Times New Roman" w:cs="宋体"/>
                      <w:color w:val="auto"/>
                      <w:kern w:val="2"/>
                      <w:sz w:val="21"/>
                      <w:szCs w:val="21"/>
                      <w:highlight w:val="none"/>
                    </w:rPr>
                    <w:t>物理性状</w:t>
                  </w:r>
                </w:p>
              </w:tc>
              <w:tc>
                <w:tcPr>
                  <w:tcW w:w="713" w:type="dxa"/>
                  <w:tcBorders>
                    <w:tl2br w:val="nil"/>
                    <w:tr2bl w:val="nil"/>
                  </w:tcBorders>
                  <w:vAlign w:val="center"/>
                </w:tcPr>
                <w:p w14:paraId="3B6F401B">
                  <w:pPr>
                    <w:pStyle w:val="29"/>
                    <w:widowControl w:val="0"/>
                    <w:spacing w:before="0" w:beforeAutospacing="0" w:after="0" w:afterAutospacing="0"/>
                    <w:jc w:val="center"/>
                    <w:rPr>
                      <w:rFonts w:ascii="Times New Roman" w:hAnsi="Times New Roman"/>
                      <w:color w:val="auto"/>
                      <w:sz w:val="21"/>
                      <w:szCs w:val="21"/>
                      <w:highlight w:val="none"/>
                    </w:rPr>
                  </w:pPr>
                  <w:r>
                    <w:rPr>
                      <w:rFonts w:hint="eastAsia" w:ascii="Times New Roman" w:hAnsi="Times New Roman" w:cs="宋体"/>
                      <w:color w:val="auto"/>
                      <w:kern w:val="2"/>
                      <w:sz w:val="21"/>
                      <w:szCs w:val="21"/>
                      <w:highlight w:val="none"/>
                    </w:rPr>
                    <w:t>固体</w:t>
                  </w:r>
                </w:p>
              </w:tc>
              <w:tc>
                <w:tcPr>
                  <w:tcW w:w="1141" w:type="dxa"/>
                  <w:tcBorders>
                    <w:tl2br w:val="nil"/>
                    <w:tr2bl w:val="nil"/>
                  </w:tcBorders>
                  <w:vAlign w:val="center"/>
                </w:tcPr>
                <w:p w14:paraId="35FB0D86">
                  <w:pPr>
                    <w:pStyle w:val="29"/>
                    <w:widowControl w:val="0"/>
                    <w:spacing w:before="0" w:beforeAutospacing="0" w:after="0" w:afterAutospacing="0"/>
                    <w:jc w:val="center"/>
                    <w:rPr>
                      <w:rFonts w:ascii="Times New Roman" w:hAnsi="Times New Roman" w:cs="宋体"/>
                      <w:color w:val="auto"/>
                      <w:kern w:val="2"/>
                      <w:sz w:val="21"/>
                      <w:szCs w:val="21"/>
                      <w:highlight w:val="none"/>
                    </w:rPr>
                  </w:pPr>
                  <w:r>
                    <w:rPr>
                      <w:rFonts w:hint="eastAsia" w:ascii="Times New Roman" w:hAnsi="Times New Roman" w:cs="宋体"/>
                      <w:color w:val="auto"/>
                      <w:kern w:val="2"/>
                      <w:sz w:val="21"/>
                      <w:szCs w:val="21"/>
                      <w:highlight w:val="none"/>
                    </w:rPr>
                    <w:t>固体</w:t>
                  </w:r>
                </w:p>
              </w:tc>
              <w:tc>
                <w:tcPr>
                  <w:tcW w:w="1100" w:type="dxa"/>
                  <w:tcBorders>
                    <w:tl2br w:val="nil"/>
                    <w:tr2bl w:val="nil"/>
                  </w:tcBorders>
                  <w:vAlign w:val="center"/>
                </w:tcPr>
                <w:p w14:paraId="7B428C9E">
                  <w:pPr>
                    <w:pStyle w:val="29"/>
                    <w:widowControl w:val="0"/>
                    <w:spacing w:before="0" w:beforeAutospacing="0" w:after="0" w:afterAutospacing="0"/>
                    <w:jc w:val="center"/>
                    <w:rPr>
                      <w:rFonts w:ascii="Times New Roman" w:hAnsi="Times New Roman" w:cs="宋体"/>
                      <w:color w:val="auto"/>
                      <w:kern w:val="2"/>
                      <w:sz w:val="21"/>
                      <w:szCs w:val="21"/>
                      <w:highlight w:val="none"/>
                    </w:rPr>
                  </w:pPr>
                  <w:r>
                    <w:rPr>
                      <w:rFonts w:hint="eastAsia" w:ascii="Times New Roman" w:hAnsi="Times New Roman" w:cs="宋体"/>
                      <w:color w:val="auto"/>
                      <w:kern w:val="2"/>
                      <w:sz w:val="21"/>
                      <w:szCs w:val="21"/>
                      <w:highlight w:val="none"/>
                    </w:rPr>
                    <w:t>液体</w:t>
                  </w:r>
                </w:p>
              </w:tc>
              <w:tc>
                <w:tcPr>
                  <w:tcW w:w="1033" w:type="dxa"/>
                  <w:tcBorders>
                    <w:tl2br w:val="nil"/>
                    <w:tr2bl w:val="nil"/>
                  </w:tcBorders>
                  <w:vAlign w:val="center"/>
                </w:tcPr>
                <w:p w14:paraId="4319796B">
                  <w:pPr>
                    <w:pStyle w:val="29"/>
                    <w:widowControl w:val="0"/>
                    <w:spacing w:before="0" w:beforeAutospacing="0" w:after="0" w:afterAutospacing="0"/>
                    <w:jc w:val="center"/>
                    <w:rPr>
                      <w:rFonts w:ascii="Times New Roman" w:hAnsi="Times New Roman" w:cs="宋体"/>
                      <w:color w:val="auto"/>
                      <w:kern w:val="2"/>
                      <w:sz w:val="21"/>
                      <w:szCs w:val="21"/>
                      <w:highlight w:val="none"/>
                    </w:rPr>
                  </w:pPr>
                  <w:r>
                    <w:rPr>
                      <w:rFonts w:hint="eastAsia" w:ascii="Times New Roman" w:hAnsi="Times New Roman" w:cs="宋体"/>
                      <w:color w:val="auto"/>
                      <w:kern w:val="2"/>
                      <w:sz w:val="21"/>
                      <w:szCs w:val="21"/>
                      <w:highlight w:val="none"/>
                    </w:rPr>
                    <w:t>固体</w:t>
                  </w:r>
                </w:p>
              </w:tc>
              <w:tc>
                <w:tcPr>
                  <w:tcW w:w="1450" w:type="dxa"/>
                  <w:tcBorders>
                    <w:tl2br w:val="nil"/>
                    <w:tr2bl w:val="nil"/>
                  </w:tcBorders>
                  <w:vAlign w:val="center"/>
                </w:tcPr>
                <w:p w14:paraId="4353C6A0">
                  <w:pPr>
                    <w:pStyle w:val="29"/>
                    <w:widowControl w:val="0"/>
                    <w:spacing w:before="0" w:beforeAutospacing="0" w:after="0" w:afterAutospacing="0"/>
                    <w:jc w:val="center"/>
                    <w:rPr>
                      <w:rFonts w:ascii="Times New Roman" w:hAnsi="Times New Roman"/>
                      <w:color w:val="auto"/>
                      <w:sz w:val="21"/>
                      <w:szCs w:val="21"/>
                      <w:highlight w:val="none"/>
                    </w:rPr>
                  </w:pPr>
                  <w:r>
                    <w:rPr>
                      <w:rFonts w:hint="eastAsia" w:ascii="Times New Roman" w:hAnsi="Times New Roman" w:cs="宋体"/>
                      <w:color w:val="auto"/>
                      <w:kern w:val="2"/>
                      <w:sz w:val="21"/>
                      <w:szCs w:val="21"/>
                      <w:highlight w:val="none"/>
                    </w:rPr>
                    <w:t>固体</w:t>
                  </w:r>
                </w:p>
              </w:tc>
              <w:tc>
                <w:tcPr>
                  <w:tcW w:w="1516" w:type="dxa"/>
                  <w:tcBorders>
                    <w:tl2br w:val="nil"/>
                    <w:tr2bl w:val="nil"/>
                  </w:tcBorders>
                  <w:vAlign w:val="center"/>
                </w:tcPr>
                <w:p w14:paraId="7FF7D046">
                  <w:pPr>
                    <w:pStyle w:val="29"/>
                    <w:widowControl w:val="0"/>
                    <w:spacing w:before="0" w:beforeAutospacing="0" w:after="0" w:afterAutospacing="0"/>
                    <w:jc w:val="center"/>
                    <w:rPr>
                      <w:rFonts w:ascii="Times New Roman" w:hAnsi="Times New Roman"/>
                      <w:color w:val="auto"/>
                      <w:sz w:val="21"/>
                      <w:szCs w:val="21"/>
                      <w:highlight w:val="none"/>
                    </w:rPr>
                  </w:pPr>
                  <w:r>
                    <w:rPr>
                      <w:rFonts w:hint="eastAsia" w:ascii="Times New Roman" w:hAnsi="Times New Roman" w:cs="宋体"/>
                      <w:color w:val="auto"/>
                      <w:kern w:val="2"/>
                      <w:sz w:val="21"/>
                      <w:szCs w:val="21"/>
                      <w:highlight w:val="none"/>
                    </w:rPr>
                    <w:t>固体</w:t>
                  </w:r>
                </w:p>
              </w:tc>
            </w:tr>
            <w:tr w14:paraId="1F2CEE0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13" w:hRule="atLeast"/>
                <w:jc w:val="center"/>
              </w:trPr>
              <w:tc>
                <w:tcPr>
                  <w:tcW w:w="1348" w:type="dxa"/>
                  <w:tcBorders>
                    <w:tl2br w:val="nil"/>
                    <w:tr2bl w:val="nil"/>
                  </w:tcBorders>
                  <w:vAlign w:val="center"/>
                </w:tcPr>
                <w:p w14:paraId="0A613401">
                  <w:pPr>
                    <w:pStyle w:val="29"/>
                    <w:widowControl w:val="0"/>
                    <w:spacing w:before="0" w:beforeAutospacing="0" w:after="0" w:afterAutospacing="0"/>
                    <w:jc w:val="center"/>
                    <w:rPr>
                      <w:rFonts w:ascii="Times New Roman" w:hAnsi="Times New Roman"/>
                      <w:color w:val="auto"/>
                      <w:sz w:val="21"/>
                      <w:szCs w:val="21"/>
                      <w:highlight w:val="none"/>
                    </w:rPr>
                  </w:pPr>
                  <w:r>
                    <w:rPr>
                      <w:rFonts w:hint="eastAsia" w:ascii="Times New Roman" w:hAnsi="Times New Roman" w:cs="宋体"/>
                      <w:color w:val="auto"/>
                      <w:kern w:val="2"/>
                      <w:sz w:val="21"/>
                      <w:szCs w:val="21"/>
                      <w:highlight w:val="none"/>
                    </w:rPr>
                    <w:t>环境危险特性</w:t>
                  </w:r>
                </w:p>
              </w:tc>
              <w:tc>
                <w:tcPr>
                  <w:tcW w:w="713" w:type="dxa"/>
                  <w:tcBorders>
                    <w:tl2br w:val="nil"/>
                    <w:tr2bl w:val="nil"/>
                  </w:tcBorders>
                  <w:vAlign w:val="center"/>
                </w:tcPr>
                <w:p w14:paraId="4E14B406">
                  <w:pPr>
                    <w:pStyle w:val="29"/>
                    <w:widowControl w:val="0"/>
                    <w:spacing w:before="0" w:beforeAutospacing="0" w:after="0" w:afterAutospacing="0"/>
                    <w:jc w:val="center"/>
                    <w:rPr>
                      <w:rFonts w:ascii="Times New Roman" w:hAnsi="Times New Roman"/>
                      <w:color w:val="auto"/>
                      <w:sz w:val="21"/>
                      <w:szCs w:val="21"/>
                      <w:highlight w:val="none"/>
                    </w:rPr>
                  </w:pPr>
                  <w:r>
                    <w:rPr>
                      <w:rFonts w:ascii="Times New Roman" w:hAnsi="Times New Roman"/>
                      <w:color w:val="auto"/>
                      <w:kern w:val="2"/>
                      <w:sz w:val="21"/>
                      <w:szCs w:val="21"/>
                      <w:highlight w:val="none"/>
                    </w:rPr>
                    <w:t>/</w:t>
                  </w:r>
                </w:p>
              </w:tc>
              <w:tc>
                <w:tcPr>
                  <w:tcW w:w="1141" w:type="dxa"/>
                  <w:tcBorders>
                    <w:tl2br w:val="nil"/>
                    <w:tr2bl w:val="nil"/>
                  </w:tcBorders>
                  <w:vAlign w:val="center"/>
                </w:tcPr>
                <w:p w14:paraId="0B4B23B9">
                  <w:pPr>
                    <w:pStyle w:val="29"/>
                    <w:widowControl w:val="0"/>
                    <w:spacing w:before="0" w:beforeAutospacing="0" w:after="0" w:afterAutospacing="0"/>
                    <w:jc w:val="center"/>
                    <w:rPr>
                      <w:rFonts w:ascii="Times New Roman" w:hAnsi="Times New Roman"/>
                      <w:color w:val="auto"/>
                      <w:kern w:val="2"/>
                      <w:sz w:val="21"/>
                      <w:szCs w:val="21"/>
                      <w:highlight w:val="none"/>
                    </w:rPr>
                  </w:pPr>
                  <w:r>
                    <w:rPr>
                      <w:rFonts w:ascii="Times New Roman" w:hAnsi="Times New Roman"/>
                      <w:color w:val="auto"/>
                      <w:kern w:val="2"/>
                      <w:sz w:val="21"/>
                      <w:szCs w:val="21"/>
                      <w:highlight w:val="none"/>
                    </w:rPr>
                    <w:t>/</w:t>
                  </w:r>
                </w:p>
              </w:tc>
              <w:tc>
                <w:tcPr>
                  <w:tcW w:w="1100" w:type="dxa"/>
                  <w:tcBorders>
                    <w:tl2br w:val="nil"/>
                    <w:tr2bl w:val="nil"/>
                  </w:tcBorders>
                  <w:vAlign w:val="center"/>
                </w:tcPr>
                <w:p w14:paraId="5CA62601">
                  <w:pPr>
                    <w:jc w:val="center"/>
                    <w:rPr>
                      <w:color w:val="auto"/>
                      <w:szCs w:val="21"/>
                      <w:highlight w:val="none"/>
                    </w:rPr>
                  </w:pPr>
                  <w:r>
                    <w:rPr>
                      <w:color w:val="auto"/>
                      <w:szCs w:val="21"/>
                      <w:highlight w:val="none"/>
                    </w:rPr>
                    <w:t>/</w:t>
                  </w:r>
                </w:p>
              </w:tc>
              <w:tc>
                <w:tcPr>
                  <w:tcW w:w="1033" w:type="dxa"/>
                  <w:tcBorders>
                    <w:tl2br w:val="nil"/>
                    <w:tr2bl w:val="nil"/>
                  </w:tcBorders>
                  <w:vAlign w:val="center"/>
                </w:tcPr>
                <w:p w14:paraId="6D0CDE3C">
                  <w:pPr>
                    <w:jc w:val="center"/>
                    <w:rPr>
                      <w:color w:val="auto"/>
                      <w:szCs w:val="21"/>
                      <w:highlight w:val="none"/>
                    </w:rPr>
                  </w:pPr>
                  <w:r>
                    <w:rPr>
                      <w:color w:val="auto"/>
                      <w:szCs w:val="21"/>
                      <w:highlight w:val="none"/>
                    </w:rPr>
                    <w:t>/</w:t>
                  </w:r>
                </w:p>
              </w:tc>
              <w:tc>
                <w:tcPr>
                  <w:tcW w:w="1450" w:type="dxa"/>
                  <w:tcBorders>
                    <w:tl2br w:val="nil"/>
                    <w:tr2bl w:val="nil"/>
                  </w:tcBorders>
                  <w:vAlign w:val="center"/>
                </w:tcPr>
                <w:p w14:paraId="21B696E4">
                  <w:pPr>
                    <w:jc w:val="center"/>
                    <w:rPr>
                      <w:color w:val="auto"/>
                      <w:szCs w:val="21"/>
                      <w:highlight w:val="none"/>
                    </w:rPr>
                  </w:pPr>
                  <w:r>
                    <w:rPr>
                      <w:color w:val="auto"/>
                      <w:szCs w:val="21"/>
                      <w:highlight w:val="none"/>
                    </w:rPr>
                    <w:t>/</w:t>
                  </w:r>
                </w:p>
              </w:tc>
              <w:tc>
                <w:tcPr>
                  <w:tcW w:w="1516" w:type="dxa"/>
                  <w:tcBorders>
                    <w:tl2br w:val="nil"/>
                    <w:tr2bl w:val="nil"/>
                  </w:tcBorders>
                  <w:vAlign w:val="center"/>
                </w:tcPr>
                <w:p w14:paraId="74C75C4D">
                  <w:pPr>
                    <w:jc w:val="center"/>
                    <w:rPr>
                      <w:color w:val="auto"/>
                      <w:szCs w:val="21"/>
                      <w:highlight w:val="none"/>
                    </w:rPr>
                  </w:pPr>
                  <w:r>
                    <w:rPr>
                      <w:color w:val="auto"/>
                      <w:szCs w:val="21"/>
                      <w:highlight w:val="none"/>
                    </w:rPr>
                    <w:t>/</w:t>
                  </w:r>
                </w:p>
              </w:tc>
            </w:tr>
            <w:tr w14:paraId="26847A8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13" w:hRule="atLeast"/>
                <w:jc w:val="center"/>
              </w:trPr>
              <w:tc>
                <w:tcPr>
                  <w:tcW w:w="1348" w:type="dxa"/>
                  <w:tcBorders>
                    <w:tl2br w:val="nil"/>
                    <w:tr2bl w:val="nil"/>
                  </w:tcBorders>
                  <w:vAlign w:val="center"/>
                </w:tcPr>
                <w:p w14:paraId="19B39C45">
                  <w:pPr>
                    <w:pStyle w:val="29"/>
                    <w:widowControl w:val="0"/>
                    <w:spacing w:before="0" w:beforeAutospacing="0" w:after="0" w:afterAutospacing="0"/>
                    <w:jc w:val="center"/>
                    <w:rPr>
                      <w:rFonts w:ascii="Times New Roman" w:hAnsi="Times New Roman"/>
                      <w:color w:val="auto"/>
                      <w:sz w:val="21"/>
                      <w:szCs w:val="21"/>
                      <w:highlight w:val="none"/>
                    </w:rPr>
                  </w:pPr>
                  <w:r>
                    <w:rPr>
                      <w:rFonts w:hint="eastAsia" w:ascii="Times New Roman" w:hAnsi="Times New Roman" w:cs="宋体"/>
                      <w:color w:val="auto"/>
                      <w:kern w:val="2"/>
                      <w:sz w:val="21"/>
                      <w:szCs w:val="21"/>
                      <w:highlight w:val="none"/>
                    </w:rPr>
                    <w:t>年产生量</w:t>
                  </w:r>
                </w:p>
              </w:tc>
              <w:tc>
                <w:tcPr>
                  <w:tcW w:w="713" w:type="dxa"/>
                  <w:tcBorders>
                    <w:tl2br w:val="nil"/>
                    <w:tr2bl w:val="nil"/>
                  </w:tcBorders>
                  <w:vAlign w:val="center"/>
                </w:tcPr>
                <w:p w14:paraId="1A7EB8DE">
                  <w:pPr>
                    <w:pStyle w:val="29"/>
                    <w:widowControl w:val="0"/>
                    <w:spacing w:before="0" w:beforeAutospacing="0" w:after="0" w:afterAutospacing="0"/>
                    <w:jc w:val="center"/>
                    <w:rPr>
                      <w:rFonts w:ascii="Times New Roman" w:hAnsi="Times New Roman"/>
                      <w:color w:val="auto"/>
                      <w:sz w:val="21"/>
                      <w:szCs w:val="21"/>
                      <w:highlight w:val="none"/>
                    </w:rPr>
                  </w:pPr>
                  <w:r>
                    <w:rPr>
                      <w:rFonts w:hint="eastAsia" w:ascii="Times New Roman" w:hAnsi="Times New Roman"/>
                      <w:color w:val="auto"/>
                      <w:kern w:val="2"/>
                      <w:sz w:val="21"/>
                      <w:szCs w:val="21"/>
                      <w:highlight w:val="none"/>
                    </w:rPr>
                    <w:t>1.14</w:t>
                  </w:r>
                  <w:r>
                    <w:rPr>
                      <w:rFonts w:ascii="Times New Roman" w:hAnsi="Times New Roman"/>
                      <w:color w:val="auto"/>
                      <w:kern w:val="2"/>
                      <w:sz w:val="21"/>
                      <w:szCs w:val="21"/>
                      <w:highlight w:val="none"/>
                    </w:rPr>
                    <w:t>t/a</w:t>
                  </w:r>
                </w:p>
              </w:tc>
              <w:tc>
                <w:tcPr>
                  <w:tcW w:w="1141" w:type="dxa"/>
                  <w:tcBorders>
                    <w:tl2br w:val="nil"/>
                    <w:tr2bl w:val="nil"/>
                  </w:tcBorders>
                  <w:vAlign w:val="center"/>
                </w:tcPr>
                <w:p w14:paraId="0A86E02A">
                  <w:pPr>
                    <w:pStyle w:val="29"/>
                    <w:widowControl w:val="0"/>
                    <w:spacing w:before="0" w:beforeAutospacing="0" w:after="0" w:afterAutospacing="0"/>
                    <w:jc w:val="center"/>
                    <w:rPr>
                      <w:rFonts w:ascii="Times New Roman" w:hAnsi="Times New Roman"/>
                      <w:color w:val="auto"/>
                      <w:kern w:val="2"/>
                      <w:sz w:val="21"/>
                      <w:szCs w:val="21"/>
                      <w:highlight w:val="none"/>
                    </w:rPr>
                  </w:pPr>
                  <w:r>
                    <w:rPr>
                      <w:rFonts w:hint="eastAsia" w:ascii="Times New Roman" w:hAnsi="Times New Roman"/>
                      <w:color w:val="auto"/>
                      <w:kern w:val="2"/>
                      <w:sz w:val="21"/>
                      <w:szCs w:val="21"/>
                      <w:highlight w:val="none"/>
                      <w:lang w:val="en-US" w:eastAsia="zh-CN"/>
                    </w:rPr>
                    <w:t>23.512</w:t>
                  </w:r>
                  <w:r>
                    <w:rPr>
                      <w:rFonts w:ascii="Times New Roman" w:hAnsi="Times New Roman"/>
                      <w:color w:val="auto"/>
                      <w:kern w:val="2"/>
                      <w:sz w:val="21"/>
                      <w:szCs w:val="21"/>
                      <w:highlight w:val="none"/>
                    </w:rPr>
                    <w:t>t/a</w:t>
                  </w:r>
                </w:p>
              </w:tc>
              <w:tc>
                <w:tcPr>
                  <w:tcW w:w="1100" w:type="dxa"/>
                  <w:tcBorders>
                    <w:tl2br w:val="nil"/>
                    <w:tr2bl w:val="nil"/>
                  </w:tcBorders>
                  <w:vAlign w:val="center"/>
                </w:tcPr>
                <w:p w14:paraId="7352519E">
                  <w:pPr>
                    <w:pStyle w:val="29"/>
                    <w:widowControl w:val="0"/>
                    <w:spacing w:before="0" w:beforeAutospacing="0" w:after="0" w:afterAutospacing="0"/>
                    <w:jc w:val="center"/>
                    <w:rPr>
                      <w:rFonts w:ascii="Times New Roman" w:hAnsi="Times New Roman"/>
                      <w:color w:val="auto"/>
                      <w:kern w:val="2"/>
                      <w:sz w:val="21"/>
                      <w:szCs w:val="21"/>
                      <w:highlight w:val="none"/>
                    </w:rPr>
                  </w:pPr>
                  <w:r>
                    <w:rPr>
                      <w:rFonts w:hint="eastAsia" w:ascii="Times New Roman" w:hAnsi="Times New Roman"/>
                      <w:color w:val="auto"/>
                      <w:kern w:val="2"/>
                      <w:sz w:val="21"/>
                      <w:szCs w:val="21"/>
                      <w:highlight w:val="none"/>
                    </w:rPr>
                    <w:t>0.13t/a</w:t>
                  </w:r>
                </w:p>
              </w:tc>
              <w:tc>
                <w:tcPr>
                  <w:tcW w:w="1033" w:type="dxa"/>
                  <w:tcBorders>
                    <w:tl2br w:val="nil"/>
                    <w:tr2bl w:val="nil"/>
                  </w:tcBorders>
                  <w:vAlign w:val="center"/>
                </w:tcPr>
                <w:p w14:paraId="38121A9A">
                  <w:pPr>
                    <w:pStyle w:val="29"/>
                    <w:widowControl w:val="0"/>
                    <w:spacing w:before="0" w:beforeAutospacing="0" w:after="0" w:afterAutospacing="0"/>
                    <w:jc w:val="center"/>
                    <w:rPr>
                      <w:rFonts w:ascii="Times New Roman" w:hAnsi="Times New Roman"/>
                      <w:color w:val="auto"/>
                      <w:kern w:val="2"/>
                      <w:sz w:val="21"/>
                      <w:szCs w:val="21"/>
                      <w:highlight w:val="none"/>
                    </w:rPr>
                  </w:pPr>
                  <w:r>
                    <w:rPr>
                      <w:rFonts w:hint="eastAsia" w:ascii="Times New Roman" w:hAnsi="Times New Roman"/>
                      <w:color w:val="auto"/>
                      <w:kern w:val="2"/>
                      <w:sz w:val="21"/>
                      <w:szCs w:val="21"/>
                      <w:highlight w:val="none"/>
                    </w:rPr>
                    <w:t>0.05t/a</w:t>
                  </w:r>
                </w:p>
              </w:tc>
              <w:tc>
                <w:tcPr>
                  <w:tcW w:w="1450" w:type="dxa"/>
                  <w:tcBorders>
                    <w:tl2br w:val="nil"/>
                    <w:tr2bl w:val="nil"/>
                  </w:tcBorders>
                  <w:vAlign w:val="center"/>
                </w:tcPr>
                <w:p w14:paraId="299357B2">
                  <w:pPr>
                    <w:pStyle w:val="29"/>
                    <w:widowControl w:val="0"/>
                    <w:spacing w:before="0" w:beforeAutospacing="0" w:after="0" w:afterAutospacing="0"/>
                    <w:jc w:val="center"/>
                    <w:rPr>
                      <w:rFonts w:ascii="Times New Roman" w:hAnsi="Times New Roman"/>
                      <w:color w:val="auto"/>
                      <w:sz w:val="21"/>
                      <w:szCs w:val="21"/>
                      <w:highlight w:val="none"/>
                    </w:rPr>
                  </w:pPr>
                  <w:r>
                    <w:rPr>
                      <w:rFonts w:hint="eastAsia" w:ascii="Times New Roman" w:hAnsi="Times New Roman"/>
                      <w:color w:val="auto"/>
                      <w:kern w:val="2"/>
                      <w:sz w:val="21"/>
                      <w:szCs w:val="21"/>
                      <w:highlight w:val="none"/>
                    </w:rPr>
                    <w:t>0.</w:t>
                  </w:r>
                  <w:r>
                    <w:rPr>
                      <w:rFonts w:hint="eastAsia" w:ascii="Times New Roman" w:hAnsi="Times New Roman"/>
                      <w:color w:val="auto"/>
                      <w:kern w:val="2"/>
                      <w:sz w:val="21"/>
                      <w:szCs w:val="21"/>
                      <w:highlight w:val="none"/>
                      <w:lang w:val="en-US" w:eastAsia="zh-CN"/>
                    </w:rPr>
                    <w:t>525</w:t>
                  </w:r>
                  <w:r>
                    <w:rPr>
                      <w:rFonts w:ascii="Times New Roman" w:hAnsi="Times New Roman"/>
                      <w:color w:val="auto"/>
                      <w:kern w:val="2"/>
                      <w:sz w:val="21"/>
                      <w:szCs w:val="21"/>
                      <w:highlight w:val="none"/>
                    </w:rPr>
                    <w:t>t/a</w:t>
                  </w:r>
                </w:p>
              </w:tc>
              <w:tc>
                <w:tcPr>
                  <w:tcW w:w="1516" w:type="dxa"/>
                  <w:tcBorders>
                    <w:tl2br w:val="nil"/>
                    <w:tr2bl w:val="nil"/>
                  </w:tcBorders>
                  <w:vAlign w:val="center"/>
                </w:tcPr>
                <w:p w14:paraId="149801A9">
                  <w:pPr>
                    <w:pStyle w:val="29"/>
                    <w:widowControl w:val="0"/>
                    <w:spacing w:before="0" w:beforeAutospacing="0" w:after="0" w:afterAutospacing="0"/>
                    <w:jc w:val="center"/>
                    <w:rPr>
                      <w:rFonts w:ascii="Times New Roman" w:hAnsi="Times New Roman"/>
                      <w:color w:val="auto"/>
                      <w:sz w:val="21"/>
                      <w:szCs w:val="21"/>
                      <w:highlight w:val="none"/>
                    </w:rPr>
                  </w:pPr>
                  <w:r>
                    <w:rPr>
                      <w:rFonts w:hint="eastAsia" w:ascii="Times New Roman" w:hAnsi="Times New Roman"/>
                      <w:color w:val="auto"/>
                      <w:sz w:val="21"/>
                      <w:szCs w:val="21"/>
                      <w:highlight w:val="none"/>
                    </w:rPr>
                    <w:t>0.5t/a</w:t>
                  </w:r>
                </w:p>
              </w:tc>
            </w:tr>
            <w:tr w14:paraId="3E2FB82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13" w:hRule="atLeast"/>
                <w:jc w:val="center"/>
              </w:trPr>
              <w:tc>
                <w:tcPr>
                  <w:tcW w:w="1348" w:type="dxa"/>
                  <w:tcBorders>
                    <w:tl2br w:val="nil"/>
                    <w:tr2bl w:val="nil"/>
                  </w:tcBorders>
                  <w:vAlign w:val="center"/>
                </w:tcPr>
                <w:p w14:paraId="435C4CA1">
                  <w:pPr>
                    <w:pStyle w:val="29"/>
                    <w:widowControl w:val="0"/>
                    <w:spacing w:before="0" w:beforeAutospacing="0" w:after="0" w:afterAutospacing="0"/>
                    <w:jc w:val="center"/>
                    <w:rPr>
                      <w:rFonts w:ascii="Times New Roman" w:hAnsi="Times New Roman" w:cs="宋体"/>
                      <w:color w:val="auto"/>
                      <w:kern w:val="2"/>
                      <w:sz w:val="21"/>
                      <w:szCs w:val="21"/>
                      <w:highlight w:val="none"/>
                    </w:rPr>
                  </w:pPr>
                  <w:r>
                    <w:rPr>
                      <w:rFonts w:hint="eastAsia" w:ascii="Times New Roman" w:hAnsi="Times New Roman" w:cs="宋体"/>
                      <w:color w:val="auto"/>
                      <w:kern w:val="2"/>
                      <w:sz w:val="21"/>
                      <w:szCs w:val="21"/>
                      <w:highlight w:val="none"/>
                    </w:rPr>
                    <w:t>贮存</w:t>
                  </w:r>
                </w:p>
                <w:p w14:paraId="46F484F2">
                  <w:pPr>
                    <w:pStyle w:val="29"/>
                    <w:widowControl w:val="0"/>
                    <w:spacing w:before="0" w:beforeAutospacing="0" w:after="0" w:afterAutospacing="0"/>
                    <w:jc w:val="center"/>
                    <w:rPr>
                      <w:rFonts w:ascii="Times New Roman" w:hAnsi="Times New Roman"/>
                      <w:color w:val="auto"/>
                      <w:sz w:val="21"/>
                      <w:szCs w:val="21"/>
                      <w:highlight w:val="none"/>
                    </w:rPr>
                  </w:pPr>
                  <w:r>
                    <w:rPr>
                      <w:rFonts w:hint="eastAsia" w:ascii="Times New Roman" w:hAnsi="Times New Roman" w:cs="宋体"/>
                      <w:color w:val="auto"/>
                      <w:kern w:val="2"/>
                      <w:sz w:val="21"/>
                      <w:szCs w:val="21"/>
                      <w:highlight w:val="none"/>
                    </w:rPr>
                    <w:t>方式</w:t>
                  </w:r>
                </w:p>
              </w:tc>
              <w:tc>
                <w:tcPr>
                  <w:tcW w:w="713" w:type="dxa"/>
                  <w:tcBorders>
                    <w:tl2br w:val="nil"/>
                    <w:tr2bl w:val="nil"/>
                  </w:tcBorders>
                  <w:vAlign w:val="center"/>
                </w:tcPr>
                <w:p w14:paraId="2D9D0431">
                  <w:pPr>
                    <w:pStyle w:val="29"/>
                    <w:widowControl w:val="0"/>
                    <w:spacing w:before="0" w:beforeAutospacing="0" w:after="0" w:afterAutospacing="0"/>
                    <w:jc w:val="center"/>
                    <w:rPr>
                      <w:rFonts w:ascii="Times New Roman" w:hAnsi="Times New Roman"/>
                      <w:color w:val="auto"/>
                      <w:sz w:val="21"/>
                      <w:szCs w:val="21"/>
                      <w:highlight w:val="none"/>
                    </w:rPr>
                  </w:pPr>
                  <w:r>
                    <w:rPr>
                      <w:rFonts w:hint="eastAsia" w:ascii="Times New Roman" w:hAnsi="Times New Roman" w:cs="宋体"/>
                      <w:color w:val="auto"/>
                      <w:kern w:val="2"/>
                      <w:sz w:val="21"/>
                      <w:szCs w:val="21"/>
                      <w:highlight w:val="none"/>
                    </w:rPr>
                    <w:t>袋盖塑料垃圾桶收集</w:t>
                  </w:r>
                </w:p>
              </w:tc>
              <w:tc>
                <w:tcPr>
                  <w:tcW w:w="1141" w:type="dxa"/>
                  <w:tcBorders>
                    <w:tl2br w:val="nil"/>
                    <w:tr2bl w:val="nil"/>
                  </w:tcBorders>
                  <w:vAlign w:val="center"/>
                </w:tcPr>
                <w:p w14:paraId="7BB6A231">
                  <w:pPr>
                    <w:jc w:val="center"/>
                    <w:rPr>
                      <w:rFonts w:cs="宋体"/>
                      <w:color w:val="auto"/>
                      <w:szCs w:val="21"/>
                      <w:highlight w:val="none"/>
                    </w:rPr>
                  </w:pPr>
                  <w:r>
                    <w:rPr>
                      <w:rFonts w:hint="eastAsia" w:cs="宋体"/>
                      <w:color w:val="auto"/>
                      <w:szCs w:val="21"/>
                      <w:highlight w:val="none"/>
                    </w:rPr>
                    <w:t>桶装收集暂存于生产厂房闲置区域</w:t>
                  </w:r>
                </w:p>
              </w:tc>
              <w:tc>
                <w:tcPr>
                  <w:tcW w:w="1100" w:type="dxa"/>
                  <w:tcBorders>
                    <w:tl2br w:val="nil"/>
                    <w:tr2bl w:val="nil"/>
                  </w:tcBorders>
                  <w:vAlign w:val="center"/>
                </w:tcPr>
                <w:p w14:paraId="28791C33">
                  <w:pPr>
                    <w:jc w:val="center"/>
                    <w:rPr>
                      <w:rFonts w:cs="宋体"/>
                      <w:color w:val="auto"/>
                      <w:szCs w:val="21"/>
                      <w:highlight w:val="none"/>
                    </w:rPr>
                  </w:pPr>
                  <w:r>
                    <w:rPr>
                      <w:rFonts w:hint="eastAsia" w:cs="宋体"/>
                      <w:color w:val="auto"/>
                      <w:szCs w:val="21"/>
                      <w:highlight w:val="none"/>
                    </w:rPr>
                    <w:t>带盖容器收集后暂存于生产厂房闲置区域</w:t>
                  </w:r>
                </w:p>
              </w:tc>
              <w:tc>
                <w:tcPr>
                  <w:tcW w:w="1033" w:type="dxa"/>
                  <w:tcBorders>
                    <w:tl2br w:val="nil"/>
                    <w:tr2bl w:val="nil"/>
                  </w:tcBorders>
                  <w:vAlign w:val="center"/>
                </w:tcPr>
                <w:p w14:paraId="493BA7AB">
                  <w:pPr>
                    <w:jc w:val="center"/>
                    <w:rPr>
                      <w:rFonts w:cs="宋体"/>
                      <w:color w:val="auto"/>
                      <w:szCs w:val="21"/>
                      <w:highlight w:val="none"/>
                    </w:rPr>
                  </w:pPr>
                  <w:r>
                    <w:rPr>
                      <w:rFonts w:hint="eastAsia" w:cs="宋体"/>
                      <w:color w:val="auto"/>
                      <w:szCs w:val="21"/>
                      <w:highlight w:val="none"/>
                    </w:rPr>
                    <w:t>统一收集后暂存于材料暂存区</w:t>
                  </w:r>
                </w:p>
              </w:tc>
              <w:tc>
                <w:tcPr>
                  <w:tcW w:w="1450" w:type="dxa"/>
                  <w:tcBorders>
                    <w:tl2br w:val="nil"/>
                    <w:tr2bl w:val="nil"/>
                  </w:tcBorders>
                  <w:vAlign w:val="center"/>
                </w:tcPr>
                <w:p w14:paraId="109C2E7B">
                  <w:pPr>
                    <w:pStyle w:val="29"/>
                    <w:widowControl w:val="0"/>
                    <w:spacing w:before="0" w:beforeAutospacing="0" w:after="0" w:afterAutospacing="0"/>
                    <w:jc w:val="center"/>
                    <w:rPr>
                      <w:rFonts w:ascii="Times New Roman" w:hAnsi="Times New Roman"/>
                      <w:color w:val="auto"/>
                      <w:sz w:val="21"/>
                      <w:szCs w:val="21"/>
                      <w:highlight w:val="none"/>
                    </w:rPr>
                  </w:pPr>
                  <w:r>
                    <w:rPr>
                      <w:rFonts w:hint="eastAsia" w:ascii="Times New Roman" w:hAnsi="Times New Roman"/>
                      <w:color w:val="auto"/>
                      <w:sz w:val="21"/>
                      <w:szCs w:val="21"/>
                      <w:highlight w:val="none"/>
                    </w:rPr>
                    <w:t>袋装后暂存于厂区闲置区域</w:t>
                  </w:r>
                </w:p>
              </w:tc>
              <w:tc>
                <w:tcPr>
                  <w:tcW w:w="1516" w:type="dxa"/>
                  <w:tcBorders>
                    <w:tl2br w:val="nil"/>
                    <w:tr2bl w:val="nil"/>
                  </w:tcBorders>
                  <w:vAlign w:val="center"/>
                </w:tcPr>
                <w:p w14:paraId="52AFD29D">
                  <w:pPr>
                    <w:pStyle w:val="29"/>
                    <w:widowControl w:val="0"/>
                    <w:spacing w:before="0" w:beforeAutospacing="0" w:after="0" w:afterAutospacing="0"/>
                    <w:jc w:val="center"/>
                    <w:rPr>
                      <w:rFonts w:ascii="Times New Roman" w:hAnsi="Times New Roman"/>
                      <w:color w:val="auto"/>
                      <w:sz w:val="21"/>
                      <w:szCs w:val="21"/>
                      <w:highlight w:val="none"/>
                    </w:rPr>
                  </w:pPr>
                  <w:r>
                    <w:rPr>
                      <w:rFonts w:hint="eastAsia"/>
                      <w:color w:val="auto"/>
                      <w:sz w:val="21"/>
                      <w:szCs w:val="21"/>
                      <w:highlight w:val="none"/>
                    </w:rPr>
                    <w:t>污泥经浓缩+压滤脱水后暂存于污泥池</w:t>
                  </w:r>
                </w:p>
              </w:tc>
            </w:tr>
            <w:tr w14:paraId="47F84AF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13" w:hRule="atLeast"/>
                <w:jc w:val="center"/>
              </w:trPr>
              <w:tc>
                <w:tcPr>
                  <w:tcW w:w="1348" w:type="dxa"/>
                  <w:tcBorders>
                    <w:tl2br w:val="nil"/>
                    <w:tr2bl w:val="nil"/>
                  </w:tcBorders>
                  <w:vAlign w:val="center"/>
                </w:tcPr>
                <w:p w14:paraId="47B7EE28">
                  <w:pPr>
                    <w:pStyle w:val="29"/>
                    <w:widowControl w:val="0"/>
                    <w:spacing w:before="0" w:beforeAutospacing="0" w:after="0" w:afterAutospacing="0"/>
                    <w:jc w:val="center"/>
                    <w:rPr>
                      <w:rFonts w:ascii="Times New Roman" w:hAnsi="Times New Roman" w:cs="宋体"/>
                      <w:bCs/>
                      <w:color w:val="auto"/>
                      <w:kern w:val="21"/>
                      <w:sz w:val="21"/>
                      <w:szCs w:val="21"/>
                      <w:highlight w:val="none"/>
                    </w:rPr>
                  </w:pPr>
                  <w:r>
                    <w:rPr>
                      <w:rFonts w:hint="eastAsia" w:ascii="Times New Roman" w:hAnsi="Times New Roman" w:cs="宋体"/>
                      <w:bCs/>
                      <w:color w:val="auto"/>
                      <w:kern w:val="21"/>
                      <w:sz w:val="21"/>
                      <w:szCs w:val="21"/>
                      <w:highlight w:val="none"/>
                    </w:rPr>
                    <w:t>利用处置方式</w:t>
                  </w:r>
                </w:p>
                <w:p w14:paraId="76384D65">
                  <w:pPr>
                    <w:pStyle w:val="29"/>
                    <w:widowControl w:val="0"/>
                    <w:spacing w:before="0" w:beforeAutospacing="0" w:after="0" w:afterAutospacing="0"/>
                    <w:jc w:val="center"/>
                    <w:rPr>
                      <w:rFonts w:ascii="Times New Roman" w:hAnsi="Times New Roman"/>
                      <w:color w:val="auto"/>
                      <w:sz w:val="21"/>
                      <w:szCs w:val="21"/>
                      <w:highlight w:val="none"/>
                    </w:rPr>
                  </w:pPr>
                  <w:r>
                    <w:rPr>
                      <w:rFonts w:hint="eastAsia" w:ascii="Times New Roman" w:hAnsi="Times New Roman" w:cs="宋体"/>
                      <w:bCs/>
                      <w:color w:val="auto"/>
                      <w:kern w:val="21"/>
                      <w:sz w:val="21"/>
                      <w:szCs w:val="21"/>
                      <w:highlight w:val="none"/>
                    </w:rPr>
                    <w:t>和去向</w:t>
                  </w:r>
                </w:p>
              </w:tc>
              <w:tc>
                <w:tcPr>
                  <w:tcW w:w="713" w:type="dxa"/>
                  <w:tcBorders>
                    <w:tl2br w:val="nil"/>
                    <w:tr2bl w:val="nil"/>
                  </w:tcBorders>
                  <w:vAlign w:val="center"/>
                </w:tcPr>
                <w:p w14:paraId="68FE05DD">
                  <w:pPr>
                    <w:pStyle w:val="29"/>
                    <w:widowControl w:val="0"/>
                    <w:spacing w:before="0" w:beforeAutospacing="0" w:after="0" w:afterAutospacing="0"/>
                    <w:jc w:val="center"/>
                    <w:rPr>
                      <w:rFonts w:ascii="Times New Roman" w:hAnsi="Times New Roman" w:cs="宋体"/>
                      <w:color w:val="auto"/>
                      <w:kern w:val="2"/>
                      <w:sz w:val="21"/>
                      <w:szCs w:val="21"/>
                      <w:highlight w:val="none"/>
                    </w:rPr>
                  </w:pPr>
                  <w:r>
                    <w:rPr>
                      <w:rFonts w:hint="eastAsia" w:ascii="Times New Roman" w:hAnsi="Times New Roman" w:cs="宋体"/>
                      <w:color w:val="auto"/>
                      <w:kern w:val="2"/>
                      <w:sz w:val="21"/>
                      <w:szCs w:val="21"/>
                      <w:highlight w:val="none"/>
                    </w:rPr>
                    <w:t>交环卫部门</w:t>
                  </w:r>
                </w:p>
                <w:p w14:paraId="7433D7F5">
                  <w:pPr>
                    <w:pStyle w:val="29"/>
                    <w:widowControl w:val="0"/>
                    <w:spacing w:before="0" w:beforeAutospacing="0" w:after="0" w:afterAutospacing="0"/>
                    <w:jc w:val="center"/>
                    <w:rPr>
                      <w:rFonts w:ascii="Times New Roman" w:hAnsi="Times New Roman"/>
                      <w:color w:val="auto"/>
                      <w:sz w:val="21"/>
                      <w:szCs w:val="21"/>
                      <w:highlight w:val="none"/>
                    </w:rPr>
                  </w:pPr>
                  <w:r>
                    <w:rPr>
                      <w:rFonts w:hint="eastAsia" w:ascii="Times New Roman" w:hAnsi="Times New Roman" w:cs="宋体"/>
                      <w:color w:val="auto"/>
                      <w:kern w:val="2"/>
                      <w:sz w:val="21"/>
                      <w:szCs w:val="21"/>
                      <w:highlight w:val="none"/>
                    </w:rPr>
                    <w:t>处置</w:t>
                  </w:r>
                </w:p>
              </w:tc>
              <w:tc>
                <w:tcPr>
                  <w:tcW w:w="1141" w:type="dxa"/>
                  <w:tcBorders>
                    <w:tl2br w:val="nil"/>
                    <w:tr2bl w:val="nil"/>
                  </w:tcBorders>
                  <w:vAlign w:val="center"/>
                </w:tcPr>
                <w:p w14:paraId="03F0C8B2">
                  <w:pPr>
                    <w:jc w:val="center"/>
                    <w:rPr>
                      <w:rFonts w:cs="宋体"/>
                      <w:color w:val="auto"/>
                      <w:szCs w:val="21"/>
                      <w:highlight w:val="none"/>
                    </w:rPr>
                  </w:pPr>
                  <w:r>
                    <w:rPr>
                      <w:rFonts w:hint="eastAsia" w:cs="宋体"/>
                      <w:color w:val="auto"/>
                      <w:szCs w:val="21"/>
                      <w:highlight w:val="none"/>
                      <w:lang w:eastAsia="zh-CN"/>
                    </w:rPr>
                    <w:t>用于果园堆肥处理</w:t>
                  </w:r>
                </w:p>
              </w:tc>
              <w:tc>
                <w:tcPr>
                  <w:tcW w:w="1100" w:type="dxa"/>
                  <w:tcBorders>
                    <w:tl2br w:val="nil"/>
                    <w:tr2bl w:val="nil"/>
                  </w:tcBorders>
                  <w:vAlign w:val="center"/>
                </w:tcPr>
                <w:p w14:paraId="474FFD5A">
                  <w:pPr>
                    <w:jc w:val="center"/>
                    <w:rPr>
                      <w:rFonts w:cs="宋体"/>
                      <w:color w:val="auto"/>
                      <w:szCs w:val="21"/>
                      <w:highlight w:val="none"/>
                    </w:rPr>
                  </w:pPr>
                  <w:r>
                    <w:rPr>
                      <w:rFonts w:hint="eastAsia" w:cs="宋体"/>
                      <w:color w:val="auto"/>
                      <w:szCs w:val="21"/>
                      <w:highlight w:val="none"/>
                    </w:rPr>
                    <w:t>交由废油脂回收公司进行回收处理</w:t>
                  </w:r>
                </w:p>
              </w:tc>
              <w:tc>
                <w:tcPr>
                  <w:tcW w:w="1033" w:type="dxa"/>
                  <w:tcBorders>
                    <w:tl2br w:val="nil"/>
                    <w:tr2bl w:val="nil"/>
                  </w:tcBorders>
                  <w:vAlign w:val="center"/>
                </w:tcPr>
                <w:p w14:paraId="62B7315F">
                  <w:pPr>
                    <w:jc w:val="center"/>
                    <w:rPr>
                      <w:rFonts w:cs="宋体"/>
                      <w:color w:val="auto"/>
                      <w:szCs w:val="21"/>
                      <w:highlight w:val="none"/>
                    </w:rPr>
                  </w:pPr>
                  <w:r>
                    <w:rPr>
                      <w:rFonts w:hint="eastAsia" w:cs="宋体"/>
                      <w:color w:val="auto"/>
                      <w:szCs w:val="21"/>
                      <w:highlight w:val="none"/>
                    </w:rPr>
                    <w:t>外售至</w:t>
                  </w:r>
                  <w:r>
                    <w:rPr>
                      <w:rFonts w:cs="宋体"/>
                      <w:color w:val="auto"/>
                      <w:szCs w:val="21"/>
                      <w:highlight w:val="none"/>
                    </w:rPr>
                    <w:t>废品回收站</w:t>
                  </w:r>
                  <w:r>
                    <w:rPr>
                      <w:rFonts w:hint="eastAsia" w:cs="宋体"/>
                      <w:color w:val="auto"/>
                      <w:szCs w:val="21"/>
                      <w:highlight w:val="none"/>
                    </w:rPr>
                    <w:t>处置</w:t>
                  </w:r>
                </w:p>
              </w:tc>
              <w:tc>
                <w:tcPr>
                  <w:tcW w:w="1450" w:type="dxa"/>
                  <w:tcBorders>
                    <w:tl2br w:val="nil"/>
                    <w:tr2bl w:val="nil"/>
                  </w:tcBorders>
                  <w:vAlign w:val="center"/>
                </w:tcPr>
                <w:p w14:paraId="28EDF4E3">
                  <w:pPr>
                    <w:pStyle w:val="29"/>
                    <w:widowControl w:val="0"/>
                    <w:spacing w:before="0" w:beforeAutospacing="0" w:after="0" w:afterAutospacing="0"/>
                    <w:jc w:val="center"/>
                    <w:rPr>
                      <w:rFonts w:ascii="Times New Roman" w:hAnsi="Times New Roman"/>
                      <w:color w:val="auto"/>
                      <w:sz w:val="21"/>
                      <w:szCs w:val="21"/>
                      <w:highlight w:val="none"/>
                    </w:rPr>
                  </w:pPr>
                  <w:r>
                    <w:rPr>
                      <w:rFonts w:hint="eastAsia" w:ascii="Times New Roman" w:hAnsi="Times New Roman"/>
                      <w:color w:val="auto"/>
                      <w:sz w:val="21"/>
                      <w:szCs w:val="21"/>
                      <w:highlight w:val="none"/>
                    </w:rPr>
                    <w:t>交由附近住户，作为农业肥料综合利用</w:t>
                  </w:r>
                </w:p>
              </w:tc>
              <w:tc>
                <w:tcPr>
                  <w:tcW w:w="1516" w:type="dxa"/>
                  <w:tcBorders>
                    <w:tl2br w:val="nil"/>
                    <w:tr2bl w:val="nil"/>
                  </w:tcBorders>
                  <w:vAlign w:val="center"/>
                </w:tcPr>
                <w:p w14:paraId="4BD8671B">
                  <w:pPr>
                    <w:pStyle w:val="29"/>
                    <w:widowControl w:val="0"/>
                    <w:spacing w:before="0" w:beforeAutospacing="0" w:after="0" w:afterAutospacing="0"/>
                    <w:jc w:val="center"/>
                    <w:rPr>
                      <w:rFonts w:ascii="Times New Roman" w:hAnsi="Times New Roman" w:cs="宋体"/>
                      <w:color w:val="auto"/>
                      <w:kern w:val="2"/>
                      <w:sz w:val="21"/>
                      <w:szCs w:val="21"/>
                      <w:highlight w:val="none"/>
                    </w:rPr>
                  </w:pPr>
                  <w:r>
                    <w:rPr>
                      <w:rFonts w:hint="eastAsia" w:ascii="Times New Roman" w:hAnsi="Times New Roman" w:cs="宋体"/>
                      <w:color w:val="auto"/>
                      <w:kern w:val="2"/>
                      <w:sz w:val="21"/>
                      <w:szCs w:val="21"/>
                      <w:highlight w:val="none"/>
                    </w:rPr>
                    <w:t>定期外运至洋县生活垃圾焚烧发电</w:t>
                  </w:r>
                  <w:r>
                    <w:rPr>
                      <w:rFonts w:hint="eastAsia" w:ascii="Times New Roman" w:hAnsi="Times New Roman" w:cs="宋体"/>
                      <w:color w:val="auto"/>
                      <w:kern w:val="2"/>
                      <w:sz w:val="21"/>
                      <w:szCs w:val="21"/>
                      <w:highlight w:val="none"/>
                      <w:lang w:eastAsia="zh-CN"/>
                    </w:rPr>
                    <w:t>厂</w:t>
                  </w:r>
                  <w:r>
                    <w:rPr>
                      <w:rFonts w:hint="eastAsia" w:ascii="Times New Roman" w:hAnsi="Times New Roman" w:cs="宋体"/>
                      <w:color w:val="auto"/>
                      <w:kern w:val="2"/>
                      <w:sz w:val="21"/>
                      <w:szCs w:val="21"/>
                      <w:highlight w:val="none"/>
                    </w:rPr>
                    <w:t>处置</w:t>
                  </w:r>
                </w:p>
              </w:tc>
            </w:tr>
            <w:tr w14:paraId="0332AF7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13" w:hRule="atLeast"/>
                <w:jc w:val="center"/>
              </w:trPr>
              <w:tc>
                <w:tcPr>
                  <w:tcW w:w="1348" w:type="dxa"/>
                  <w:tcBorders>
                    <w:tl2br w:val="nil"/>
                    <w:tr2bl w:val="nil"/>
                  </w:tcBorders>
                  <w:vAlign w:val="center"/>
                </w:tcPr>
                <w:p w14:paraId="1B604BCF">
                  <w:pPr>
                    <w:pStyle w:val="29"/>
                    <w:widowControl w:val="0"/>
                    <w:spacing w:before="0" w:beforeAutospacing="0" w:after="0" w:afterAutospacing="0"/>
                    <w:jc w:val="center"/>
                    <w:rPr>
                      <w:rFonts w:ascii="Times New Roman" w:hAnsi="Times New Roman"/>
                      <w:bCs/>
                      <w:color w:val="auto"/>
                      <w:kern w:val="21"/>
                      <w:sz w:val="21"/>
                      <w:szCs w:val="21"/>
                      <w:highlight w:val="none"/>
                    </w:rPr>
                  </w:pPr>
                  <w:r>
                    <w:rPr>
                      <w:rFonts w:hint="eastAsia" w:ascii="Times New Roman" w:hAnsi="Times New Roman" w:cs="宋体"/>
                      <w:bCs/>
                      <w:color w:val="auto"/>
                      <w:kern w:val="21"/>
                      <w:sz w:val="21"/>
                      <w:szCs w:val="21"/>
                      <w:highlight w:val="none"/>
                    </w:rPr>
                    <w:t>利用或处置量</w:t>
                  </w:r>
                </w:p>
              </w:tc>
              <w:tc>
                <w:tcPr>
                  <w:tcW w:w="6953" w:type="dxa"/>
                  <w:gridSpan w:val="6"/>
                  <w:tcBorders>
                    <w:tl2br w:val="nil"/>
                    <w:tr2bl w:val="nil"/>
                  </w:tcBorders>
                  <w:vAlign w:val="center"/>
                </w:tcPr>
                <w:p w14:paraId="5848FD85">
                  <w:pPr>
                    <w:pStyle w:val="29"/>
                    <w:widowControl w:val="0"/>
                    <w:spacing w:before="0" w:beforeAutospacing="0" w:after="0" w:afterAutospacing="0"/>
                    <w:jc w:val="center"/>
                    <w:rPr>
                      <w:rFonts w:ascii="Times New Roman" w:hAnsi="Times New Roman"/>
                      <w:color w:val="auto"/>
                      <w:kern w:val="2"/>
                      <w:sz w:val="21"/>
                      <w:szCs w:val="21"/>
                      <w:highlight w:val="none"/>
                    </w:rPr>
                  </w:pPr>
                  <w:r>
                    <w:rPr>
                      <w:rFonts w:ascii="Times New Roman" w:hAnsi="Times New Roman"/>
                      <w:color w:val="auto"/>
                      <w:kern w:val="2"/>
                      <w:sz w:val="21"/>
                      <w:szCs w:val="21"/>
                      <w:highlight w:val="none"/>
                    </w:rPr>
                    <w:t>100%</w:t>
                  </w:r>
                  <w:r>
                    <w:rPr>
                      <w:rFonts w:hint="eastAsia" w:ascii="Times New Roman" w:hAnsi="Times New Roman" w:cs="宋体"/>
                      <w:color w:val="auto"/>
                      <w:kern w:val="2"/>
                      <w:sz w:val="21"/>
                      <w:szCs w:val="21"/>
                      <w:highlight w:val="none"/>
                    </w:rPr>
                    <w:t>处置</w:t>
                  </w:r>
                </w:p>
              </w:tc>
            </w:tr>
          </w:tbl>
          <w:p w14:paraId="4A81002D">
            <w:pPr>
              <w:adjustRightInd w:val="0"/>
              <w:snapToGrid w:val="0"/>
              <w:spacing w:line="360" w:lineRule="auto"/>
              <w:ind w:firstLine="480" w:firstLineChars="200"/>
              <w:rPr>
                <w:color w:val="auto"/>
                <w:sz w:val="24"/>
                <w:highlight w:val="none"/>
              </w:rPr>
            </w:pPr>
            <w:r>
              <w:rPr>
                <w:color w:val="auto"/>
                <w:sz w:val="24"/>
                <w:highlight w:val="none"/>
              </w:rPr>
              <w:t>综上，</w:t>
            </w:r>
            <w:r>
              <w:rPr>
                <w:rFonts w:hint="eastAsia"/>
                <w:color w:val="auto"/>
                <w:sz w:val="24"/>
                <w:highlight w:val="none"/>
              </w:rPr>
              <w:t>建设</w:t>
            </w:r>
            <w:r>
              <w:rPr>
                <w:color w:val="auto"/>
                <w:sz w:val="24"/>
                <w:highlight w:val="none"/>
              </w:rPr>
              <w:t>单位在采取上述措施后，</w:t>
            </w:r>
            <w:r>
              <w:rPr>
                <w:rFonts w:hint="eastAsia"/>
                <w:color w:val="auto"/>
                <w:sz w:val="24"/>
                <w:highlight w:val="none"/>
              </w:rPr>
              <w:t>运营期全厂</w:t>
            </w:r>
            <w:r>
              <w:rPr>
                <w:color w:val="auto"/>
                <w:sz w:val="24"/>
                <w:highlight w:val="none"/>
              </w:rPr>
              <w:t>产生的固体废物对周围环境影响较小</w:t>
            </w:r>
            <w:r>
              <w:rPr>
                <w:rFonts w:hint="eastAsia"/>
                <w:color w:val="auto"/>
                <w:sz w:val="24"/>
                <w:highlight w:val="none"/>
              </w:rPr>
              <w:t>。</w:t>
            </w:r>
          </w:p>
          <w:p w14:paraId="51F0A9CC">
            <w:pPr>
              <w:adjustRightInd w:val="0"/>
              <w:snapToGrid w:val="0"/>
              <w:spacing w:line="360" w:lineRule="auto"/>
              <w:rPr>
                <w:b/>
                <w:bCs/>
                <w:color w:val="auto"/>
                <w:sz w:val="24"/>
                <w:highlight w:val="none"/>
              </w:rPr>
            </w:pPr>
            <w:r>
              <w:rPr>
                <w:rFonts w:hint="eastAsia"/>
                <w:b/>
                <w:bCs/>
                <w:color w:val="auto"/>
                <w:sz w:val="24"/>
                <w:highlight w:val="none"/>
              </w:rPr>
              <w:t>（五）</w:t>
            </w:r>
            <w:r>
              <w:rPr>
                <w:b/>
                <w:bCs/>
                <w:color w:val="auto"/>
                <w:sz w:val="24"/>
                <w:highlight w:val="none"/>
              </w:rPr>
              <w:t>地下水及土壤</w:t>
            </w:r>
          </w:p>
          <w:p w14:paraId="18AED3B9">
            <w:pPr>
              <w:adjustRightInd w:val="0"/>
              <w:snapToGrid w:val="0"/>
              <w:spacing w:line="360" w:lineRule="auto"/>
              <w:ind w:firstLine="480" w:firstLineChars="200"/>
              <w:rPr>
                <w:color w:val="auto"/>
                <w:sz w:val="24"/>
                <w:highlight w:val="none"/>
              </w:rPr>
            </w:pPr>
            <w:r>
              <w:rPr>
                <w:rFonts w:hint="eastAsia"/>
                <w:color w:val="auto"/>
                <w:sz w:val="24"/>
                <w:highlight w:val="none"/>
              </w:rPr>
              <w:t>1、影响途径和污染物类型</w:t>
            </w:r>
          </w:p>
          <w:p w14:paraId="05FD272B">
            <w:pPr>
              <w:adjustRightInd w:val="0"/>
              <w:snapToGrid w:val="0"/>
              <w:spacing w:line="360" w:lineRule="auto"/>
              <w:ind w:firstLine="480" w:firstLineChars="200"/>
              <w:rPr>
                <w:color w:val="auto"/>
                <w:sz w:val="24"/>
                <w:highlight w:val="none"/>
              </w:rPr>
            </w:pPr>
            <w:r>
              <w:rPr>
                <w:rFonts w:hint="eastAsia"/>
                <w:color w:val="auto"/>
                <w:sz w:val="24"/>
                <w:highlight w:val="none"/>
              </w:rPr>
              <w:t>地下水和土壤污染源主要为：化粪池、污水处理站；</w:t>
            </w:r>
          </w:p>
          <w:p w14:paraId="5BD4509F">
            <w:pPr>
              <w:adjustRightInd w:val="0"/>
              <w:snapToGrid w:val="0"/>
              <w:spacing w:line="360" w:lineRule="auto"/>
              <w:ind w:firstLine="480" w:firstLineChars="200"/>
              <w:rPr>
                <w:color w:val="auto"/>
                <w:sz w:val="24"/>
                <w:highlight w:val="none"/>
              </w:rPr>
            </w:pPr>
            <w:r>
              <w:rPr>
                <w:rFonts w:hint="eastAsia"/>
                <w:color w:val="auto"/>
                <w:sz w:val="24"/>
                <w:highlight w:val="none"/>
              </w:rPr>
              <w:t>途径：废污水处理设施渗漏，从而造成土壤和地下水污染；</w:t>
            </w:r>
          </w:p>
          <w:p w14:paraId="7B25BFD8">
            <w:pPr>
              <w:adjustRightInd w:val="0"/>
              <w:snapToGrid w:val="0"/>
              <w:spacing w:line="360" w:lineRule="auto"/>
              <w:ind w:firstLine="480" w:firstLineChars="200"/>
              <w:rPr>
                <w:color w:val="auto"/>
                <w:sz w:val="24"/>
                <w:highlight w:val="none"/>
              </w:rPr>
            </w:pPr>
            <w:r>
              <w:rPr>
                <w:rFonts w:hint="eastAsia"/>
                <w:color w:val="auto"/>
                <w:sz w:val="24"/>
                <w:highlight w:val="none"/>
              </w:rPr>
              <w:t>污染物类型：生活污水污染物主要为氨氮、COD、总磷等，生产废水污染物主要为COD、BOD</w:t>
            </w:r>
            <w:r>
              <w:rPr>
                <w:rFonts w:hint="eastAsia"/>
                <w:color w:val="auto"/>
                <w:sz w:val="24"/>
                <w:highlight w:val="none"/>
                <w:vertAlign w:val="subscript"/>
              </w:rPr>
              <w:t>5</w:t>
            </w:r>
            <w:r>
              <w:rPr>
                <w:rFonts w:hint="eastAsia"/>
                <w:color w:val="auto"/>
                <w:sz w:val="24"/>
                <w:highlight w:val="none"/>
              </w:rPr>
              <w:t>、悬浮物等。</w:t>
            </w:r>
          </w:p>
          <w:p w14:paraId="723DCABC">
            <w:pPr>
              <w:adjustRightInd w:val="0"/>
              <w:snapToGrid w:val="0"/>
              <w:spacing w:line="360" w:lineRule="auto"/>
              <w:ind w:firstLine="480" w:firstLineChars="200"/>
              <w:rPr>
                <w:color w:val="auto"/>
                <w:sz w:val="24"/>
                <w:highlight w:val="none"/>
              </w:rPr>
            </w:pPr>
            <w:r>
              <w:rPr>
                <w:rFonts w:hint="eastAsia"/>
                <w:color w:val="auto"/>
                <w:sz w:val="24"/>
                <w:highlight w:val="none"/>
              </w:rPr>
              <w:t>2、防控措施</w:t>
            </w:r>
          </w:p>
          <w:p w14:paraId="47978582">
            <w:pPr>
              <w:adjustRightInd w:val="0"/>
              <w:snapToGrid w:val="0"/>
              <w:spacing w:line="360" w:lineRule="auto"/>
              <w:ind w:firstLine="480" w:firstLineChars="200"/>
              <w:rPr>
                <w:color w:val="auto"/>
                <w:sz w:val="24"/>
                <w:highlight w:val="none"/>
              </w:rPr>
            </w:pPr>
            <w:r>
              <w:rPr>
                <w:rFonts w:hint="eastAsia"/>
                <w:color w:val="auto"/>
                <w:sz w:val="24"/>
                <w:highlight w:val="none"/>
              </w:rPr>
              <w:t>根据建设单位介绍，本次新建的化粪池将进行一般防渗处理，污水处理站区域会按照要求进行重点防渗处理。</w:t>
            </w:r>
          </w:p>
          <w:p w14:paraId="1AE9A5C5">
            <w:pPr>
              <w:adjustRightInd w:val="0"/>
              <w:snapToGrid w:val="0"/>
              <w:spacing w:line="360" w:lineRule="auto"/>
              <w:ind w:firstLine="480" w:firstLineChars="200"/>
              <w:rPr>
                <w:color w:val="auto"/>
                <w:sz w:val="24"/>
                <w:highlight w:val="none"/>
              </w:rPr>
            </w:pPr>
            <w:r>
              <w:rPr>
                <w:rFonts w:hint="eastAsia"/>
                <w:color w:val="auto"/>
                <w:sz w:val="24"/>
                <w:highlight w:val="none"/>
              </w:rPr>
              <w:t>通过采取以上措施并加强管理后，正常工况下不会对项目区地下水和土壤产生影响。</w:t>
            </w:r>
          </w:p>
          <w:p w14:paraId="10892C5E">
            <w:pPr>
              <w:numPr>
                <w:ilvl w:val="0"/>
                <w:numId w:val="5"/>
              </w:numPr>
              <w:adjustRightInd w:val="0"/>
              <w:snapToGrid w:val="0"/>
              <w:spacing w:line="360" w:lineRule="auto"/>
              <w:rPr>
                <w:b/>
                <w:bCs/>
                <w:color w:val="auto"/>
                <w:sz w:val="24"/>
                <w:highlight w:val="none"/>
              </w:rPr>
            </w:pPr>
            <w:r>
              <w:rPr>
                <w:b/>
                <w:bCs/>
                <w:color w:val="auto"/>
                <w:sz w:val="24"/>
                <w:highlight w:val="none"/>
              </w:rPr>
              <w:t>环境风险</w:t>
            </w:r>
          </w:p>
          <w:p w14:paraId="7977D5A8">
            <w:pPr>
              <w:adjustRightInd w:val="0"/>
              <w:snapToGrid w:val="0"/>
              <w:spacing w:line="360" w:lineRule="auto"/>
              <w:ind w:firstLine="480" w:firstLineChars="200"/>
              <w:rPr>
                <w:color w:val="auto"/>
                <w:sz w:val="24"/>
                <w:highlight w:val="none"/>
              </w:rPr>
            </w:pPr>
            <w:r>
              <w:rPr>
                <w:rFonts w:hint="eastAsia"/>
                <w:color w:val="auto"/>
                <w:sz w:val="24"/>
                <w:highlight w:val="none"/>
                <w:lang w:bidi="ar"/>
              </w:rPr>
              <w:t>（1）</w:t>
            </w:r>
            <w:r>
              <w:rPr>
                <w:rFonts w:hint="eastAsia"/>
                <w:color w:val="auto"/>
                <w:sz w:val="24"/>
                <w:highlight w:val="none"/>
              </w:rPr>
              <w:t>环境风险物质：食用油。</w:t>
            </w:r>
          </w:p>
          <w:p w14:paraId="054C8120">
            <w:pPr>
              <w:adjustRightInd w:val="0"/>
              <w:snapToGrid w:val="0"/>
              <w:spacing w:line="360" w:lineRule="auto"/>
              <w:ind w:firstLine="480" w:firstLineChars="200"/>
              <w:rPr>
                <w:color w:val="auto"/>
                <w:sz w:val="24"/>
                <w:highlight w:val="none"/>
                <w:lang w:bidi="ar"/>
              </w:rPr>
            </w:pPr>
            <w:r>
              <w:rPr>
                <w:rFonts w:hint="eastAsia"/>
                <w:color w:val="auto"/>
                <w:sz w:val="24"/>
                <w:highlight w:val="none"/>
              </w:rPr>
              <w:t>（2）影响途径：</w:t>
            </w:r>
            <w:r>
              <w:rPr>
                <w:rFonts w:hint="eastAsia"/>
                <w:color w:val="auto"/>
                <w:sz w:val="24"/>
                <w:highlight w:val="none"/>
                <w:lang w:bidi="ar"/>
              </w:rPr>
              <w:t>食用油若保存不当，高温时易燃，容易引起环境风险事故。</w:t>
            </w:r>
          </w:p>
          <w:p w14:paraId="63025C19">
            <w:pPr>
              <w:numPr>
                <w:ilvl w:val="0"/>
                <w:numId w:val="6"/>
              </w:numPr>
              <w:adjustRightInd w:val="0"/>
              <w:snapToGrid w:val="0"/>
              <w:spacing w:line="360" w:lineRule="auto"/>
              <w:ind w:firstLine="480" w:firstLineChars="200"/>
              <w:rPr>
                <w:color w:val="auto"/>
                <w:sz w:val="24"/>
                <w:highlight w:val="none"/>
              </w:rPr>
            </w:pPr>
            <w:r>
              <w:rPr>
                <w:rFonts w:hint="eastAsia"/>
                <w:color w:val="auto"/>
                <w:sz w:val="24"/>
                <w:highlight w:val="none"/>
              </w:rPr>
              <w:t>防范措施</w:t>
            </w:r>
          </w:p>
          <w:p w14:paraId="6C94231D">
            <w:pPr>
              <w:pStyle w:val="11"/>
              <w:spacing w:line="360" w:lineRule="auto"/>
              <w:ind w:left="0" w:leftChars="0" w:firstLine="480" w:firstLineChars="200"/>
              <w:rPr>
                <w:color w:val="auto"/>
                <w:spacing w:val="-6"/>
                <w:kern w:val="0"/>
                <w:sz w:val="24"/>
                <w:highlight w:val="none"/>
              </w:rPr>
            </w:pPr>
            <w:r>
              <w:rPr>
                <w:rFonts w:hint="eastAsia"/>
                <w:color w:val="auto"/>
                <w:sz w:val="24"/>
                <w:highlight w:val="none"/>
                <w:lang w:bidi="ar"/>
              </w:rPr>
              <w:t>由于本项目运营过程涉及食用油使用，环评建议建设企业应边购边用，尽量避免厂区内贮存量过大；此外，食用油应采用严格密封的容器盛装，</w:t>
            </w:r>
            <w:r>
              <w:rPr>
                <w:rFonts w:hint="eastAsia"/>
                <w:color w:val="auto"/>
                <w:spacing w:val="-6"/>
                <w:kern w:val="0"/>
                <w:sz w:val="24"/>
                <w:highlight w:val="none"/>
              </w:rPr>
              <w:t>储油区应</w:t>
            </w:r>
            <w:r>
              <w:rPr>
                <w:rFonts w:hint="eastAsia"/>
                <w:color w:val="auto"/>
                <w:sz w:val="24"/>
                <w:highlight w:val="none"/>
                <w:lang w:bidi="ar"/>
              </w:rPr>
              <w:t>远离炒制、烹调等高温区域，</w:t>
            </w:r>
            <w:r>
              <w:rPr>
                <w:rFonts w:hint="eastAsia"/>
                <w:color w:val="auto"/>
                <w:spacing w:val="-6"/>
                <w:kern w:val="0"/>
                <w:sz w:val="24"/>
                <w:highlight w:val="none"/>
              </w:rPr>
              <w:t>并且保持干燥、通风、低温</w:t>
            </w:r>
            <w:r>
              <w:rPr>
                <w:rFonts w:ascii="Times New Roman" w:hAnsi="Times New Roman"/>
                <w:color w:val="auto"/>
                <w:spacing w:val="-6"/>
                <w:kern w:val="0"/>
                <w:sz w:val="24"/>
                <w:highlight w:val="none"/>
              </w:rPr>
              <w:t>（10℃~15℃）</w:t>
            </w:r>
            <w:r>
              <w:rPr>
                <w:rFonts w:hint="eastAsia"/>
                <w:color w:val="auto"/>
                <w:spacing w:val="-6"/>
                <w:kern w:val="0"/>
                <w:sz w:val="24"/>
                <w:highlight w:val="none"/>
              </w:rPr>
              <w:t>，避免出现环境风险事故。</w:t>
            </w:r>
          </w:p>
          <w:p w14:paraId="0A140F4B">
            <w:pPr>
              <w:spacing w:line="360" w:lineRule="auto"/>
              <w:ind w:firstLine="480" w:firstLineChars="200"/>
              <w:rPr>
                <w:color w:val="auto"/>
                <w:highlight w:val="none"/>
              </w:rPr>
            </w:pPr>
            <w:r>
              <w:rPr>
                <w:rFonts w:hint="eastAsia"/>
                <w:color w:val="auto"/>
                <w:sz w:val="24"/>
                <w:highlight w:val="none"/>
              </w:rPr>
              <w:t>综上，通过采取上述措施后，运营期基本不会出现环境风险事故。</w:t>
            </w:r>
          </w:p>
          <w:p w14:paraId="3E9B582F">
            <w:pPr>
              <w:adjustRightInd w:val="0"/>
              <w:snapToGrid w:val="0"/>
              <w:spacing w:line="360" w:lineRule="auto"/>
              <w:ind w:firstLine="480" w:firstLineChars="200"/>
              <w:rPr>
                <w:color w:val="auto"/>
                <w:sz w:val="24"/>
                <w:highlight w:val="none"/>
              </w:rPr>
            </w:pPr>
          </w:p>
          <w:p w14:paraId="6892D5CB">
            <w:pPr>
              <w:pStyle w:val="11"/>
              <w:rPr>
                <w:color w:val="auto"/>
                <w:sz w:val="24"/>
                <w:highlight w:val="none"/>
              </w:rPr>
            </w:pPr>
          </w:p>
          <w:p w14:paraId="6420BAF7">
            <w:pPr>
              <w:pStyle w:val="2"/>
              <w:rPr>
                <w:color w:val="auto"/>
                <w:highlight w:val="none"/>
              </w:rPr>
            </w:pPr>
          </w:p>
          <w:p w14:paraId="56B176FD">
            <w:pPr>
              <w:pStyle w:val="2"/>
              <w:rPr>
                <w:color w:val="auto"/>
                <w:highlight w:val="none"/>
              </w:rPr>
            </w:pPr>
          </w:p>
        </w:tc>
      </w:tr>
    </w:tbl>
    <w:p w14:paraId="23ACE3AF">
      <w:pPr>
        <w:pStyle w:val="29"/>
        <w:adjustRightInd w:val="0"/>
        <w:snapToGrid w:val="0"/>
        <w:spacing w:before="0" w:beforeAutospacing="0" w:after="0" w:afterAutospacing="0" w:line="360" w:lineRule="auto"/>
        <w:jc w:val="center"/>
        <w:outlineLvl w:val="0"/>
        <w:rPr>
          <w:rFonts w:ascii="黑体" w:hAnsi="黑体" w:eastAsia="黑体"/>
          <w:snapToGrid w:val="0"/>
          <w:color w:val="auto"/>
          <w:sz w:val="30"/>
          <w:szCs w:val="30"/>
          <w:highlight w:val="none"/>
        </w:rPr>
      </w:pPr>
      <w:r>
        <w:rPr>
          <w:rFonts w:hint="eastAsia" w:ascii="黑体" w:hAnsi="黑体" w:eastAsia="黑体"/>
          <w:snapToGrid w:val="0"/>
          <w:color w:val="auto"/>
          <w:sz w:val="30"/>
          <w:szCs w:val="30"/>
          <w:highlight w:val="none"/>
        </w:rPr>
        <w:t>五、</w:t>
      </w:r>
      <w:bookmarkStart w:id="9" w:name="_Hlk54167917"/>
      <w:r>
        <w:rPr>
          <w:rFonts w:hint="eastAsia" w:ascii="黑体" w:hAnsi="黑体" w:eastAsia="黑体"/>
          <w:snapToGrid w:val="0"/>
          <w:color w:val="auto"/>
          <w:sz w:val="30"/>
          <w:szCs w:val="30"/>
          <w:highlight w:val="none"/>
        </w:rPr>
        <w:t>环境保护措施监督检查清单</w:t>
      </w:r>
      <w:bookmarkEnd w:id="9"/>
    </w:p>
    <w:tbl>
      <w:tblPr>
        <w:tblStyle w:val="35"/>
        <w:tblW w:w="919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504"/>
        <w:gridCol w:w="1575"/>
        <w:gridCol w:w="1088"/>
        <w:gridCol w:w="2740"/>
        <w:gridCol w:w="2283"/>
      </w:tblGrid>
      <w:tr w14:paraId="44A1DBD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504" w:type="dxa"/>
            <w:tcBorders>
              <w:tl2br w:val="single" w:color="auto" w:sz="4" w:space="0"/>
            </w:tcBorders>
          </w:tcPr>
          <w:p w14:paraId="3AA77D87">
            <w:pPr>
              <w:adjustRightInd w:val="0"/>
              <w:snapToGrid w:val="0"/>
              <w:jc w:val="center"/>
              <w:rPr>
                <w:color w:val="auto"/>
                <w:szCs w:val="21"/>
                <w:highlight w:val="none"/>
              </w:rPr>
            </w:pPr>
            <w:r>
              <w:rPr>
                <w:color w:val="auto"/>
                <w:szCs w:val="21"/>
                <w:highlight w:val="none"/>
              </w:rPr>
              <w:t>内容</w:t>
            </w:r>
          </w:p>
          <w:p w14:paraId="46876C6C">
            <w:pPr>
              <w:adjustRightInd w:val="0"/>
              <w:snapToGrid w:val="0"/>
              <w:rPr>
                <w:color w:val="auto"/>
                <w:szCs w:val="21"/>
                <w:highlight w:val="none"/>
              </w:rPr>
            </w:pPr>
            <w:r>
              <w:rPr>
                <w:rFonts w:hint="eastAsia"/>
                <w:color w:val="auto"/>
                <w:szCs w:val="21"/>
                <w:highlight w:val="none"/>
              </w:rPr>
              <w:t>要素</w:t>
            </w:r>
          </w:p>
        </w:tc>
        <w:tc>
          <w:tcPr>
            <w:tcW w:w="1575" w:type="dxa"/>
            <w:vAlign w:val="center"/>
          </w:tcPr>
          <w:p w14:paraId="545756E8">
            <w:pPr>
              <w:adjustRightInd w:val="0"/>
              <w:snapToGrid w:val="0"/>
              <w:jc w:val="center"/>
              <w:rPr>
                <w:color w:val="auto"/>
                <w:szCs w:val="21"/>
                <w:highlight w:val="none"/>
              </w:rPr>
            </w:pPr>
            <w:r>
              <w:rPr>
                <w:color w:val="auto"/>
                <w:szCs w:val="21"/>
                <w:highlight w:val="none"/>
              </w:rPr>
              <w:t>排放口(编号、</w:t>
            </w:r>
          </w:p>
          <w:p w14:paraId="35ADDCCC">
            <w:pPr>
              <w:adjustRightInd w:val="0"/>
              <w:snapToGrid w:val="0"/>
              <w:jc w:val="center"/>
              <w:rPr>
                <w:color w:val="auto"/>
                <w:szCs w:val="21"/>
                <w:highlight w:val="none"/>
              </w:rPr>
            </w:pPr>
            <w:r>
              <w:rPr>
                <w:color w:val="auto"/>
                <w:szCs w:val="21"/>
                <w:highlight w:val="none"/>
              </w:rPr>
              <w:t>名称)/污染源</w:t>
            </w:r>
          </w:p>
        </w:tc>
        <w:tc>
          <w:tcPr>
            <w:tcW w:w="1088" w:type="dxa"/>
            <w:vAlign w:val="center"/>
          </w:tcPr>
          <w:p w14:paraId="69FC41C4">
            <w:pPr>
              <w:adjustRightInd w:val="0"/>
              <w:snapToGrid w:val="0"/>
              <w:jc w:val="center"/>
              <w:rPr>
                <w:color w:val="auto"/>
                <w:szCs w:val="21"/>
                <w:highlight w:val="none"/>
              </w:rPr>
            </w:pPr>
            <w:r>
              <w:rPr>
                <w:color w:val="auto"/>
                <w:szCs w:val="21"/>
                <w:highlight w:val="none"/>
              </w:rPr>
              <w:t>污染物</w:t>
            </w:r>
          </w:p>
          <w:p w14:paraId="0D73FD3C">
            <w:pPr>
              <w:adjustRightInd w:val="0"/>
              <w:snapToGrid w:val="0"/>
              <w:jc w:val="center"/>
              <w:rPr>
                <w:color w:val="auto"/>
                <w:szCs w:val="21"/>
                <w:highlight w:val="none"/>
              </w:rPr>
            </w:pPr>
            <w:r>
              <w:rPr>
                <w:color w:val="auto"/>
                <w:szCs w:val="21"/>
                <w:highlight w:val="none"/>
              </w:rPr>
              <w:t>项目</w:t>
            </w:r>
          </w:p>
        </w:tc>
        <w:tc>
          <w:tcPr>
            <w:tcW w:w="2740" w:type="dxa"/>
            <w:vAlign w:val="center"/>
          </w:tcPr>
          <w:p w14:paraId="35C69208">
            <w:pPr>
              <w:adjustRightInd w:val="0"/>
              <w:snapToGrid w:val="0"/>
              <w:jc w:val="center"/>
              <w:rPr>
                <w:color w:val="auto"/>
                <w:szCs w:val="21"/>
                <w:highlight w:val="none"/>
              </w:rPr>
            </w:pPr>
            <w:r>
              <w:rPr>
                <w:color w:val="auto"/>
                <w:szCs w:val="21"/>
                <w:highlight w:val="none"/>
              </w:rPr>
              <w:t>环境保护措施</w:t>
            </w:r>
          </w:p>
        </w:tc>
        <w:tc>
          <w:tcPr>
            <w:tcW w:w="2283" w:type="dxa"/>
            <w:vAlign w:val="center"/>
          </w:tcPr>
          <w:p w14:paraId="1DDD0F54">
            <w:pPr>
              <w:adjustRightInd w:val="0"/>
              <w:snapToGrid w:val="0"/>
              <w:jc w:val="center"/>
              <w:rPr>
                <w:color w:val="auto"/>
                <w:szCs w:val="21"/>
                <w:highlight w:val="none"/>
              </w:rPr>
            </w:pPr>
            <w:r>
              <w:rPr>
                <w:rFonts w:hint="eastAsia"/>
                <w:color w:val="auto"/>
                <w:szCs w:val="21"/>
                <w:highlight w:val="none"/>
              </w:rPr>
              <w:t>执行标准</w:t>
            </w:r>
          </w:p>
        </w:tc>
      </w:tr>
      <w:tr w14:paraId="5EC15C8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504" w:type="dxa"/>
            <w:vMerge w:val="restart"/>
            <w:vAlign w:val="center"/>
          </w:tcPr>
          <w:p w14:paraId="107C78AB">
            <w:pPr>
              <w:adjustRightInd w:val="0"/>
              <w:snapToGrid w:val="0"/>
              <w:jc w:val="center"/>
              <w:rPr>
                <w:color w:val="auto"/>
                <w:szCs w:val="21"/>
                <w:highlight w:val="none"/>
              </w:rPr>
            </w:pPr>
            <w:r>
              <w:rPr>
                <w:rFonts w:hint="eastAsia"/>
                <w:color w:val="auto"/>
                <w:szCs w:val="21"/>
                <w:highlight w:val="none"/>
              </w:rPr>
              <w:t>大气环境</w:t>
            </w:r>
          </w:p>
        </w:tc>
        <w:tc>
          <w:tcPr>
            <w:tcW w:w="1575" w:type="dxa"/>
            <w:vAlign w:val="center"/>
          </w:tcPr>
          <w:p w14:paraId="0527701B">
            <w:pPr>
              <w:adjustRightInd w:val="0"/>
              <w:snapToGrid w:val="0"/>
              <w:jc w:val="center"/>
              <w:rPr>
                <w:color w:val="auto"/>
                <w:szCs w:val="21"/>
                <w:highlight w:val="none"/>
              </w:rPr>
            </w:pPr>
            <w:r>
              <w:rPr>
                <w:rFonts w:hint="eastAsia"/>
                <w:color w:val="auto"/>
                <w:szCs w:val="21"/>
                <w:highlight w:val="none"/>
                <w:lang w:val="en-US" w:eastAsia="zh-CN"/>
              </w:rPr>
              <w:t>DA001（</w:t>
            </w:r>
            <w:r>
              <w:rPr>
                <w:rFonts w:hint="eastAsia"/>
                <w:color w:val="auto"/>
                <w:szCs w:val="21"/>
                <w:highlight w:val="none"/>
              </w:rPr>
              <w:t>生物质锅炉</w:t>
            </w:r>
            <w:r>
              <w:rPr>
                <w:rFonts w:hint="eastAsia"/>
                <w:color w:val="auto"/>
                <w:szCs w:val="21"/>
                <w:highlight w:val="none"/>
                <w:lang w:eastAsia="zh-CN"/>
              </w:rPr>
              <w:t>废气排放口</w:t>
            </w:r>
            <w:r>
              <w:rPr>
                <w:rFonts w:hint="eastAsia"/>
                <w:color w:val="auto"/>
                <w:szCs w:val="21"/>
                <w:highlight w:val="none"/>
                <w:lang w:val="en-US" w:eastAsia="zh-CN"/>
              </w:rPr>
              <w:t>）</w:t>
            </w:r>
          </w:p>
        </w:tc>
        <w:tc>
          <w:tcPr>
            <w:tcW w:w="1088" w:type="dxa"/>
            <w:vAlign w:val="center"/>
          </w:tcPr>
          <w:p w14:paraId="55046817">
            <w:pPr>
              <w:adjustRightInd w:val="0"/>
              <w:snapToGrid w:val="0"/>
              <w:jc w:val="center"/>
              <w:rPr>
                <w:color w:val="auto"/>
                <w:szCs w:val="21"/>
                <w:highlight w:val="none"/>
              </w:rPr>
            </w:pPr>
            <w:r>
              <w:rPr>
                <w:rFonts w:hint="eastAsia"/>
                <w:color w:val="auto"/>
                <w:szCs w:val="21"/>
                <w:highlight w:val="none"/>
              </w:rPr>
              <w:t>颗粒物、SO</w:t>
            </w:r>
            <w:r>
              <w:rPr>
                <w:rFonts w:hint="eastAsia"/>
                <w:color w:val="auto"/>
                <w:szCs w:val="21"/>
                <w:highlight w:val="none"/>
                <w:vertAlign w:val="subscript"/>
              </w:rPr>
              <w:t>2</w:t>
            </w:r>
            <w:r>
              <w:rPr>
                <w:rFonts w:hint="eastAsia"/>
                <w:color w:val="auto"/>
                <w:szCs w:val="21"/>
                <w:highlight w:val="none"/>
              </w:rPr>
              <w:t>、NO</w:t>
            </w:r>
            <w:r>
              <w:rPr>
                <w:rFonts w:hint="eastAsia"/>
                <w:color w:val="auto"/>
                <w:szCs w:val="21"/>
                <w:highlight w:val="none"/>
                <w:vertAlign w:val="subscript"/>
              </w:rPr>
              <w:t>X</w:t>
            </w:r>
          </w:p>
        </w:tc>
        <w:tc>
          <w:tcPr>
            <w:tcW w:w="2740" w:type="dxa"/>
            <w:vAlign w:val="center"/>
          </w:tcPr>
          <w:p w14:paraId="251A219C">
            <w:pPr>
              <w:adjustRightInd w:val="0"/>
              <w:snapToGrid w:val="0"/>
              <w:jc w:val="center"/>
              <w:rPr>
                <w:color w:val="auto"/>
                <w:szCs w:val="21"/>
                <w:highlight w:val="none"/>
              </w:rPr>
            </w:pPr>
            <w:r>
              <w:rPr>
                <w:rFonts w:hint="eastAsia"/>
                <w:color w:val="auto"/>
                <w:szCs w:val="21"/>
                <w:highlight w:val="none"/>
              </w:rPr>
              <w:t>低氮燃烧+</w:t>
            </w:r>
            <w:r>
              <w:rPr>
                <w:rFonts w:hint="eastAsia"/>
                <w:color w:val="auto"/>
                <w:szCs w:val="21"/>
                <w:highlight w:val="none"/>
                <w:lang w:eastAsia="zh-CN"/>
              </w:rPr>
              <w:t>袋式</w:t>
            </w:r>
            <w:r>
              <w:rPr>
                <w:rFonts w:hint="eastAsia"/>
                <w:color w:val="auto"/>
                <w:szCs w:val="21"/>
                <w:highlight w:val="none"/>
              </w:rPr>
              <w:t>除尘+</w:t>
            </w:r>
            <w:r>
              <w:rPr>
                <w:rFonts w:hint="eastAsia"/>
                <w:color w:val="auto"/>
                <w:szCs w:val="21"/>
                <w:highlight w:val="none"/>
                <w:lang w:val="en-US" w:eastAsia="zh-CN"/>
              </w:rPr>
              <w:t>40</w:t>
            </w:r>
            <w:r>
              <w:rPr>
                <w:rFonts w:hint="eastAsia"/>
                <w:color w:val="auto"/>
                <w:szCs w:val="21"/>
                <w:highlight w:val="none"/>
              </w:rPr>
              <w:t>m高排气筒排放</w:t>
            </w:r>
          </w:p>
        </w:tc>
        <w:tc>
          <w:tcPr>
            <w:tcW w:w="2283" w:type="dxa"/>
            <w:vAlign w:val="center"/>
          </w:tcPr>
          <w:p w14:paraId="76881CAF">
            <w:pPr>
              <w:adjustRightInd w:val="0"/>
              <w:snapToGrid w:val="0"/>
              <w:jc w:val="center"/>
              <w:rPr>
                <w:color w:val="auto"/>
                <w:highlight w:val="none"/>
              </w:rPr>
            </w:pPr>
            <w:r>
              <w:rPr>
                <w:color w:val="auto"/>
                <w:spacing w:val="11"/>
                <w:szCs w:val="21"/>
                <w:highlight w:val="none"/>
              </w:rPr>
              <w:t>《锅炉大气污染物排放标准》</w:t>
            </w:r>
            <w:r>
              <w:rPr>
                <w:rFonts w:hint="eastAsia"/>
                <w:color w:val="auto"/>
                <w:spacing w:val="11"/>
                <w:szCs w:val="21"/>
                <w:highlight w:val="none"/>
              </w:rPr>
              <w:t>（</w:t>
            </w:r>
            <w:r>
              <w:rPr>
                <w:color w:val="auto"/>
                <w:spacing w:val="11"/>
                <w:szCs w:val="21"/>
                <w:highlight w:val="none"/>
              </w:rPr>
              <w:t>DB/611226-2018</w:t>
            </w:r>
            <w:r>
              <w:rPr>
                <w:rFonts w:hint="eastAsia"/>
                <w:color w:val="auto"/>
                <w:spacing w:val="11"/>
                <w:szCs w:val="21"/>
                <w:highlight w:val="none"/>
              </w:rPr>
              <w:t>）</w:t>
            </w:r>
            <w:r>
              <w:rPr>
                <w:color w:val="auto"/>
                <w:spacing w:val="11"/>
                <w:szCs w:val="21"/>
                <w:highlight w:val="none"/>
              </w:rPr>
              <w:t>表5中排放限值</w:t>
            </w:r>
          </w:p>
        </w:tc>
      </w:tr>
      <w:tr w14:paraId="60D255A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504" w:type="dxa"/>
            <w:vMerge w:val="continue"/>
            <w:vAlign w:val="center"/>
          </w:tcPr>
          <w:p w14:paraId="3B08C4DF">
            <w:pPr>
              <w:adjustRightInd w:val="0"/>
              <w:snapToGrid w:val="0"/>
              <w:jc w:val="center"/>
              <w:rPr>
                <w:color w:val="auto"/>
                <w:szCs w:val="21"/>
                <w:highlight w:val="none"/>
              </w:rPr>
            </w:pPr>
          </w:p>
        </w:tc>
        <w:tc>
          <w:tcPr>
            <w:tcW w:w="1575" w:type="dxa"/>
            <w:vAlign w:val="center"/>
          </w:tcPr>
          <w:p w14:paraId="5A758091">
            <w:pPr>
              <w:adjustRightInd w:val="0"/>
              <w:snapToGrid w:val="0"/>
              <w:jc w:val="center"/>
              <w:rPr>
                <w:color w:val="auto"/>
                <w:szCs w:val="21"/>
                <w:highlight w:val="none"/>
              </w:rPr>
            </w:pPr>
            <w:r>
              <w:rPr>
                <w:rFonts w:hint="eastAsia"/>
                <w:color w:val="auto"/>
                <w:szCs w:val="21"/>
                <w:highlight w:val="none"/>
                <w:lang w:val="en-US" w:eastAsia="zh-CN"/>
              </w:rPr>
              <w:t>DA002（油炸脱水油烟排口）</w:t>
            </w:r>
          </w:p>
        </w:tc>
        <w:tc>
          <w:tcPr>
            <w:tcW w:w="1088" w:type="dxa"/>
            <w:vAlign w:val="center"/>
          </w:tcPr>
          <w:p w14:paraId="68D2278B">
            <w:pPr>
              <w:adjustRightInd w:val="0"/>
              <w:snapToGrid w:val="0"/>
              <w:jc w:val="center"/>
              <w:rPr>
                <w:color w:val="auto"/>
                <w:szCs w:val="21"/>
                <w:highlight w:val="none"/>
              </w:rPr>
            </w:pPr>
            <w:r>
              <w:rPr>
                <w:rFonts w:hint="eastAsia"/>
                <w:color w:val="auto"/>
                <w:szCs w:val="21"/>
                <w:highlight w:val="none"/>
              </w:rPr>
              <w:t>油烟</w:t>
            </w:r>
          </w:p>
        </w:tc>
        <w:tc>
          <w:tcPr>
            <w:tcW w:w="2740" w:type="dxa"/>
            <w:vAlign w:val="center"/>
          </w:tcPr>
          <w:p w14:paraId="6143FCC6">
            <w:pPr>
              <w:adjustRightInd w:val="0"/>
              <w:snapToGrid w:val="0"/>
              <w:jc w:val="center"/>
              <w:rPr>
                <w:rFonts w:hint="eastAsia" w:eastAsia="宋体"/>
                <w:color w:val="auto"/>
                <w:szCs w:val="21"/>
                <w:highlight w:val="none"/>
                <w:lang w:eastAsia="zh-CN"/>
              </w:rPr>
            </w:pPr>
            <w:r>
              <w:rPr>
                <w:rFonts w:hint="eastAsia"/>
                <w:color w:val="auto"/>
                <w:szCs w:val="21"/>
                <w:highlight w:val="none"/>
              </w:rPr>
              <w:t>油烟净化器处理</w:t>
            </w:r>
            <w:r>
              <w:rPr>
                <w:rFonts w:hint="eastAsia"/>
                <w:color w:val="auto"/>
                <w:szCs w:val="21"/>
                <w:highlight w:val="none"/>
                <w:lang w:eastAsia="zh-CN"/>
              </w:rPr>
              <w:t>达标后</w:t>
            </w:r>
            <w:r>
              <w:rPr>
                <w:rFonts w:hint="eastAsia"/>
                <w:bCs/>
                <w:color w:val="auto"/>
                <w:szCs w:val="21"/>
                <w:highlight w:val="none"/>
                <w:lang w:bidi="ar"/>
              </w:rPr>
              <w:t>引至</w:t>
            </w:r>
            <w:r>
              <w:rPr>
                <w:rFonts w:hint="eastAsia"/>
                <w:bCs/>
                <w:color w:val="auto"/>
                <w:szCs w:val="21"/>
                <w:highlight w:val="none"/>
                <w:lang w:eastAsia="zh-CN" w:bidi="ar"/>
              </w:rPr>
              <w:t>厂房顶部</w:t>
            </w:r>
            <w:r>
              <w:rPr>
                <w:rFonts w:hint="eastAsia"/>
                <w:bCs/>
                <w:color w:val="auto"/>
                <w:szCs w:val="21"/>
                <w:highlight w:val="none"/>
                <w:lang w:bidi="ar"/>
              </w:rPr>
              <w:t>排放</w:t>
            </w:r>
          </w:p>
        </w:tc>
        <w:tc>
          <w:tcPr>
            <w:tcW w:w="2283" w:type="dxa"/>
            <w:vAlign w:val="center"/>
          </w:tcPr>
          <w:p w14:paraId="08452CBF">
            <w:pPr>
              <w:adjustRightInd w:val="0"/>
              <w:snapToGrid w:val="0"/>
              <w:jc w:val="center"/>
              <w:rPr>
                <w:color w:val="auto"/>
                <w:kern w:val="0"/>
                <w:szCs w:val="21"/>
                <w:highlight w:val="none"/>
              </w:rPr>
            </w:pPr>
            <w:r>
              <w:rPr>
                <w:color w:val="auto"/>
                <w:szCs w:val="21"/>
                <w:highlight w:val="none"/>
              </w:rPr>
              <w:t>《饮</w:t>
            </w:r>
            <w:r>
              <w:rPr>
                <w:color w:val="auto"/>
                <w:spacing w:val="-4"/>
                <w:szCs w:val="21"/>
                <w:highlight w:val="none"/>
              </w:rPr>
              <w:t>食业油烟排放标准》（GB18483-2001）</w:t>
            </w:r>
            <w:r>
              <w:rPr>
                <w:rFonts w:hint="eastAsia"/>
                <w:color w:val="auto"/>
                <w:spacing w:val="-4"/>
                <w:szCs w:val="21"/>
                <w:highlight w:val="none"/>
              </w:rPr>
              <w:t>表2中的标准限值</w:t>
            </w:r>
          </w:p>
        </w:tc>
      </w:tr>
      <w:tr w14:paraId="78B76EC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504" w:type="dxa"/>
            <w:vMerge w:val="continue"/>
            <w:vAlign w:val="center"/>
          </w:tcPr>
          <w:p w14:paraId="002DDA31">
            <w:pPr>
              <w:adjustRightInd w:val="0"/>
              <w:snapToGrid w:val="0"/>
              <w:jc w:val="center"/>
              <w:rPr>
                <w:color w:val="auto"/>
                <w:szCs w:val="21"/>
                <w:highlight w:val="none"/>
              </w:rPr>
            </w:pPr>
          </w:p>
        </w:tc>
        <w:tc>
          <w:tcPr>
            <w:tcW w:w="1575" w:type="dxa"/>
            <w:vAlign w:val="center"/>
          </w:tcPr>
          <w:p w14:paraId="7A184571">
            <w:pPr>
              <w:adjustRightInd w:val="0"/>
              <w:snapToGrid w:val="0"/>
              <w:jc w:val="center"/>
              <w:rPr>
                <w:color w:val="auto"/>
                <w:szCs w:val="21"/>
                <w:highlight w:val="none"/>
              </w:rPr>
            </w:pPr>
            <w:r>
              <w:rPr>
                <w:rFonts w:hint="eastAsia"/>
                <w:color w:val="auto"/>
                <w:szCs w:val="21"/>
                <w:highlight w:val="none"/>
                <w:lang w:val="en-US" w:eastAsia="zh-CN"/>
              </w:rPr>
              <w:t>DA003（食堂油烟排口）</w:t>
            </w:r>
          </w:p>
        </w:tc>
        <w:tc>
          <w:tcPr>
            <w:tcW w:w="1088" w:type="dxa"/>
            <w:vAlign w:val="center"/>
          </w:tcPr>
          <w:p w14:paraId="102CF05F">
            <w:pPr>
              <w:adjustRightInd w:val="0"/>
              <w:snapToGrid w:val="0"/>
              <w:jc w:val="center"/>
              <w:rPr>
                <w:color w:val="auto"/>
                <w:szCs w:val="21"/>
                <w:highlight w:val="none"/>
              </w:rPr>
            </w:pPr>
            <w:r>
              <w:rPr>
                <w:rFonts w:hint="eastAsia"/>
                <w:color w:val="auto"/>
                <w:szCs w:val="21"/>
                <w:highlight w:val="none"/>
              </w:rPr>
              <w:t>油烟</w:t>
            </w:r>
          </w:p>
        </w:tc>
        <w:tc>
          <w:tcPr>
            <w:tcW w:w="2740" w:type="dxa"/>
            <w:vAlign w:val="center"/>
          </w:tcPr>
          <w:p w14:paraId="099A25AE">
            <w:pPr>
              <w:adjustRightInd w:val="0"/>
              <w:snapToGrid w:val="0"/>
              <w:jc w:val="center"/>
              <w:rPr>
                <w:rFonts w:hint="eastAsia"/>
                <w:color w:val="auto"/>
                <w:szCs w:val="21"/>
                <w:highlight w:val="none"/>
                <w:lang w:eastAsia="zh-CN"/>
              </w:rPr>
            </w:pPr>
            <w:r>
              <w:rPr>
                <w:rFonts w:hint="eastAsia"/>
                <w:color w:val="auto"/>
                <w:szCs w:val="21"/>
                <w:highlight w:val="none"/>
              </w:rPr>
              <w:t>抽油烟机</w:t>
            </w:r>
            <w:r>
              <w:rPr>
                <w:rFonts w:hint="eastAsia"/>
                <w:color w:val="auto"/>
                <w:szCs w:val="21"/>
                <w:highlight w:val="none"/>
                <w:lang w:eastAsia="zh-CN"/>
              </w:rPr>
              <w:t>处理后引至</w:t>
            </w:r>
          </w:p>
          <w:p w14:paraId="270E392A">
            <w:pPr>
              <w:adjustRightInd w:val="0"/>
              <w:snapToGrid w:val="0"/>
              <w:jc w:val="center"/>
              <w:rPr>
                <w:rFonts w:hint="eastAsia" w:ascii="宋体" w:hAnsi="宋体" w:eastAsia="宋体" w:cs="宋体"/>
                <w:color w:val="auto"/>
                <w:szCs w:val="21"/>
                <w:highlight w:val="none"/>
                <w:lang w:eastAsia="zh-CN"/>
              </w:rPr>
            </w:pPr>
            <w:r>
              <w:rPr>
                <w:rFonts w:hint="eastAsia"/>
                <w:color w:val="auto"/>
                <w:szCs w:val="21"/>
                <w:highlight w:val="none"/>
                <w:lang w:eastAsia="zh-CN"/>
              </w:rPr>
              <w:t>楼顶排放</w:t>
            </w:r>
          </w:p>
        </w:tc>
        <w:tc>
          <w:tcPr>
            <w:tcW w:w="2283" w:type="dxa"/>
            <w:vAlign w:val="center"/>
          </w:tcPr>
          <w:p w14:paraId="67B3D320">
            <w:pPr>
              <w:adjustRightInd w:val="0"/>
              <w:snapToGrid w:val="0"/>
              <w:jc w:val="center"/>
              <w:rPr>
                <w:color w:val="auto"/>
                <w:kern w:val="0"/>
                <w:szCs w:val="21"/>
                <w:highlight w:val="none"/>
              </w:rPr>
            </w:pPr>
            <w:r>
              <w:rPr>
                <w:color w:val="auto"/>
                <w:szCs w:val="21"/>
                <w:highlight w:val="none"/>
              </w:rPr>
              <w:t>《饮</w:t>
            </w:r>
            <w:r>
              <w:rPr>
                <w:color w:val="auto"/>
                <w:spacing w:val="-4"/>
                <w:szCs w:val="21"/>
                <w:highlight w:val="none"/>
              </w:rPr>
              <w:t>食业油烟排放标准》（GB18483-2001）</w:t>
            </w:r>
            <w:r>
              <w:rPr>
                <w:rFonts w:hint="eastAsia"/>
                <w:color w:val="auto"/>
                <w:spacing w:val="-4"/>
                <w:szCs w:val="21"/>
                <w:highlight w:val="none"/>
              </w:rPr>
              <w:t>表2中的标准限值</w:t>
            </w:r>
          </w:p>
        </w:tc>
      </w:tr>
      <w:tr w14:paraId="24CCF69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504" w:type="dxa"/>
            <w:vMerge w:val="continue"/>
            <w:vAlign w:val="center"/>
          </w:tcPr>
          <w:p w14:paraId="3021C7AC">
            <w:pPr>
              <w:adjustRightInd w:val="0"/>
              <w:snapToGrid w:val="0"/>
              <w:jc w:val="center"/>
              <w:rPr>
                <w:color w:val="auto"/>
                <w:szCs w:val="21"/>
                <w:highlight w:val="none"/>
              </w:rPr>
            </w:pPr>
          </w:p>
        </w:tc>
        <w:tc>
          <w:tcPr>
            <w:tcW w:w="1575" w:type="dxa"/>
            <w:vAlign w:val="center"/>
          </w:tcPr>
          <w:p w14:paraId="1AF5E33C">
            <w:pPr>
              <w:adjustRightInd w:val="0"/>
              <w:snapToGrid w:val="0"/>
              <w:jc w:val="center"/>
              <w:rPr>
                <w:color w:val="auto"/>
                <w:szCs w:val="21"/>
                <w:highlight w:val="none"/>
              </w:rPr>
            </w:pPr>
            <w:r>
              <w:rPr>
                <w:rFonts w:hint="eastAsia"/>
                <w:color w:val="auto"/>
                <w:szCs w:val="21"/>
                <w:highlight w:val="none"/>
              </w:rPr>
              <w:t>污水处理站</w:t>
            </w:r>
          </w:p>
        </w:tc>
        <w:tc>
          <w:tcPr>
            <w:tcW w:w="1088" w:type="dxa"/>
            <w:vAlign w:val="center"/>
          </w:tcPr>
          <w:p w14:paraId="661B2ECA">
            <w:pPr>
              <w:adjustRightInd w:val="0"/>
              <w:snapToGrid w:val="0"/>
              <w:jc w:val="center"/>
              <w:rPr>
                <w:rFonts w:hint="eastAsia" w:eastAsia="宋体"/>
                <w:color w:val="auto"/>
                <w:szCs w:val="21"/>
                <w:highlight w:val="none"/>
                <w:lang w:val="en-US" w:eastAsia="zh-CN"/>
              </w:rPr>
            </w:pPr>
            <w:r>
              <w:rPr>
                <w:rFonts w:hint="eastAsia"/>
                <w:color w:val="auto"/>
                <w:szCs w:val="21"/>
                <w:highlight w:val="none"/>
              </w:rPr>
              <w:t>NH</w:t>
            </w:r>
            <w:r>
              <w:rPr>
                <w:rFonts w:hint="eastAsia"/>
                <w:color w:val="auto"/>
                <w:szCs w:val="21"/>
                <w:highlight w:val="none"/>
                <w:vertAlign w:val="subscript"/>
              </w:rPr>
              <w:t>3</w:t>
            </w:r>
            <w:r>
              <w:rPr>
                <w:rFonts w:hint="eastAsia"/>
                <w:color w:val="auto"/>
                <w:szCs w:val="21"/>
                <w:highlight w:val="none"/>
              </w:rPr>
              <w:t>、H</w:t>
            </w:r>
            <w:r>
              <w:rPr>
                <w:rFonts w:hint="eastAsia"/>
                <w:color w:val="auto"/>
                <w:szCs w:val="21"/>
                <w:highlight w:val="none"/>
                <w:vertAlign w:val="subscript"/>
              </w:rPr>
              <w:t>2</w:t>
            </w:r>
            <w:r>
              <w:rPr>
                <w:rFonts w:hint="eastAsia"/>
                <w:color w:val="auto"/>
                <w:szCs w:val="21"/>
                <w:highlight w:val="none"/>
              </w:rPr>
              <w:t>S</w:t>
            </w:r>
            <w:r>
              <w:rPr>
                <w:rFonts w:hint="eastAsia"/>
                <w:color w:val="auto"/>
                <w:szCs w:val="21"/>
                <w:highlight w:val="none"/>
                <w:lang w:eastAsia="zh-CN"/>
              </w:rPr>
              <w:t>、臭气浓度</w:t>
            </w:r>
          </w:p>
        </w:tc>
        <w:tc>
          <w:tcPr>
            <w:tcW w:w="2740" w:type="dxa"/>
            <w:vAlign w:val="center"/>
          </w:tcPr>
          <w:p w14:paraId="3BDEEBDA">
            <w:pPr>
              <w:adjustRightInd w:val="0"/>
              <w:snapToGrid w:val="0"/>
              <w:jc w:val="center"/>
              <w:rPr>
                <w:color w:val="auto"/>
                <w:szCs w:val="21"/>
                <w:highlight w:val="none"/>
              </w:rPr>
            </w:pPr>
            <w:r>
              <w:rPr>
                <w:rFonts w:hint="eastAsia"/>
                <w:color w:val="auto"/>
                <w:szCs w:val="21"/>
                <w:highlight w:val="none"/>
              </w:rPr>
              <w:t>自然通风</w:t>
            </w:r>
          </w:p>
        </w:tc>
        <w:tc>
          <w:tcPr>
            <w:tcW w:w="2283" w:type="dxa"/>
            <w:vAlign w:val="center"/>
          </w:tcPr>
          <w:p w14:paraId="720AD652">
            <w:pPr>
              <w:adjustRightInd w:val="0"/>
              <w:snapToGrid w:val="0"/>
              <w:jc w:val="center"/>
              <w:rPr>
                <w:color w:val="auto"/>
                <w:szCs w:val="21"/>
                <w:highlight w:val="none"/>
              </w:rPr>
            </w:pPr>
            <w:r>
              <w:rPr>
                <w:color w:val="auto"/>
                <w:szCs w:val="21"/>
                <w:highlight w:val="none"/>
              </w:rPr>
              <w:t>《恶臭污染物排放标准》</w:t>
            </w:r>
            <w:r>
              <w:rPr>
                <w:rFonts w:hint="eastAsia"/>
                <w:color w:val="auto"/>
                <w:szCs w:val="21"/>
                <w:highlight w:val="none"/>
              </w:rPr>
              <w:t>表1中的厂界标准</w:t>
            </w:r>
          </w:p>
        </w:tc>
      </w:tr>
      <w:tr w14:paraId="26E54F3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504" w:type="dxa"/>
            <w:vMerge w:val="restart"/>
            <w:vAlign w:val="center"/>
          </w:tcPr>
          <w:p w14:paraId="661D8B06">
            <w:pPr>
              <w:adjustRightInd w:val="0"/>
              <w:snapToGrid w:val="0"/>
              <w:jc w:val="center"/>
              <w:rPr>
                <w:color w:val="auto"/>
                <w:szCs w:val="21"/>
                <w:highlight w:val="none"/>
              </w:rPr>
            </w:pPr>
            <w:r>
              <w:rPr>
                <w:rFonts w:hint="eastAsia"/>
                <w:color w:val="auto"/>
                <w:szCs w:val="21"/>
                <w:highlight w:val="none"/>
              </w:rPr>
              <w:t>地表水环境</w:t>
            </w:r>
          </w:p>
        </w:tc>
        <w:tc>
          <w:tcPr>
            <w:tcW w:w="1575" w:type="dxa"/>
            <w:vAlign w:val="center"/>
          </w:tcPr>
          <w:p w14:paraId="166B428B">
            <w:pPr>
              <w:adjustRightInd w:val="0"/>
              <w:snapToGrid w:val="0"/>
              <w:jc w:val="center"/>
              <w:rPr>
                <w:color w:val="auto"/>
                <w:szCs w:val="21"/>
                <w:highlight w:val="none"/>
              </w:rPr>
            </w:pPr>
            <w:r>
              <w:rPr>
                <w:rFonts w:hint="eastAsia"/>
                <w:color w:val="auto"/>
                <w:szCs w:val="21"/>
                <w:highlight w:val="none"/>
              </w:rPr>
              <w:t>生产区</w:t>
            </w:r>
          </w:p>
        </w:tc>
        <w:tc>
          <w:tcPr>
            <w:tcW w:w="1088" w:type="dxa"/>
            <w:vAlign w:val="center"/>
          </w:tcPr>
          <w:p w14:paraId="2BE48E69">
            <w:pPr>
              <w:adjustRightInd w:val="0"/>
              <w:snapToGrid w:val="0"/>
              <w:jc w:val="center"/>
              <w:rPr>
                <w:color w:val="auto"/>
                <w:szCs w:val="21"/>
                <w:highlight w:val="none"/>
              </w:rPr>
            </w:pPr>
            <w:r>
              <w:rPr>
                <w:rFonts w:hint="eastAsia"/>
                <w:color w:val="auto"/>
                <w:szCs w:val="21"/>
                <w:highlight w:val="none"/>
              </w:rPr>
              <w:t>生产废水</w:t>
            </w:r>
          </w:p>
        </w:tc>
        <w:tc>
          <w:tcPr>
            <w:tcW w:w="2740" w:type="dxa"/>
            <w:vAlign w:val="center"/>
          </w:tcPr>
          <w:p w14:paraId="7A3829A8">
            <w:pPr>
              <w:adjustRightInd w:val="0"/>
              <w:snapToGrid w:val="0"/>
              <w:jc w:val="center"/>
              <w:rPr>
                <w:color w:val="auto"/>
                <w:szCs w:val="21"/>
                <w:highlight w:val="none"/>
              </w:rPr>
            </w:pPr>
            <w:r>
              <w:rPr>
                <w:rFonts w:hint="eastAsia"/>
                <w:color w:val="auto"/>
                <w:szCs w:val="21"/>
                <w:highlight w:val="none"/>
              </w:rPr>
              <w:t>厂区污水处理站处理达标</w:t>
            </w:r>
            <w:r>
              <w:rPr>
                <w:rFonts w:hint="eastAsia" w:ascii="Times New Roman" w:cs="Times New Roman"/>
                <w:color w:val="auto"/>
                <w:sz w:val="21"/>
                <w:szCs w:val="21"/>
                <w:highlight w:val="none"/>
              </w:rPr>
              <w:t>后</w:t>
            </w:r>
            <w:r>
              <w:rPr>
                <w:rFonts w:hint="eastAsia" w:ascii="Times New Roman" w:cs="Times New Roman"/>
                <w:color w:val="auto"/>
                <w:sz w:val="21"/>
                <w:szCs w:val="21"/>
                <w:highlight w:val="none"/>
                <w:lang w:eastAsia="zh-CN"/>
              </w:rPr>
              <w:t>作为</w:t>
            </w:r>
            <w:r>
              <w:rPr>
                <w:rFonts w:hint="eastAsia" w:ascii="Times New Roman" w:cs="Times New Roman"/>
                <w:color w:val="auto"/>
                <w:sz w:val="21"/>
                <w:szCs w:val="21"/>
                <w:highlight w:val="none"/>
              </w:rPr>
              <w:t>周边果园</w:t>
            </w:r>
            <w:r>
              <w:rPr>
                <w:rFonts w:hint="eastAsia" w:ascii="Times New Roman" w:cs="Times New Roman"/>
                <w:color w:val="auto"/>
                <w:sz w:val="21"/>
                <w:szCs w:val="21"/>
                <w:highlight w:val="none"/>
                <w:lang w:eastAsia="zh-CN"/>
              </w:rPr>
              <w:t>灌溉用水</w:t>
            </w:r>
          </w:p>
        </w:tc>
        <w:tc>
          <w:tcPr>
            <w:tcW w:w="2283" w:type="dxa"/>
            <w:vAlign w:val="center"/>
          </w:tcPr>
          <w:p w14:paraId="57A3183A">
            <w:pPr>
              <w:adjustRightInd w:val="0"/>
              <w:snapToGrid w:val="0"/>
              <w:jc w:val="center"/>
              <w:rPr>
                <w:color w:val="auto"/>
                <w:szCs w:val="21"/>
                <w:highlight w:val="none"/>
              </w:rPr>
            </w:pPr>
            <w:r>
              <w:rPr>
                <w:rFonts w:hint="eastAsia"/>
                <w:color w:val="auto"/>
                <w:szCs w:val="21"/>
                <w:highlight w:val="none"/>
              </w:rPr>
              <w:t>《农田灌溉水质标准》（GB5084-2021）表1中的标准限值</w:t>
            </w:r>
          </w:p>
        </w:tc>
      </w:tr>
      <w:tr w14:paraId="25EF58E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504" w:type="dxa"/>
            <w:vMerge w:val="continue"/>
            <w:vAlign w:val="center"/>
          </w:tcPr>
          <w:p w14:paraId="461C211B">
            <w:pPr>
              <w:adjustRightInd w:val="0"/>
              <w:snapToGrid w:val="0"/>
              <w:jc w:val="center"/>
              <w:rPr>
                <w:color w:val="auto"/>
                <w:szCs w:val="21"/>
                <w:highlight w:val="none"/>
              </w:rPr>
            </w:pPr>
          </w:p>
        </w:tc>
        <w:tc>
          <w:tcPr>
            <w:tcW w:w="1575" w:type="dxa"/>
            <w:vAlign w:val="center"/>
          </w:tcPr>
          <w:p w14:paraId="402EF0E2">
            <w:pPr>
              <w:adjustRightInd w:val="0"/>
              <w:snapToGrid w:val="0"/>
              <w:jc w:val="center"/>
              <w:rPr>
                <w:color w:val="auto"/>
                <w:szCs w:val="21"/>
                <w:highlight w:val="none"/>
              </w:rPr>
            </w:pPr>
            <w:r>
              <w:rPr>
                <w:rFonts w:hint="eastAsia"/>
                <w:color w:val="auto"/>
                <w:szCs w:val="21"/>
                <w:highlight w:val="none"/>
              </w:rPr>
              <w:t>办公区</w:t>
            </w:r>
          </w:p>
        </w:tc>
        <w:tc>
          <w:tcPr>
            <w:tcW w:w="1088" w:type="dxa"/>
            <w:vAlign w:val="center"/>
          </w:tcPr>
          <w:p w14:paraId="63DBF367">
            <w:pPr>
              <w:adjustRightInd w:val="0"/>
              <w:snapToGrid w:val="0"/>
              <w:jc w:val="center"/>
              <w:rPr>
                <w:color w:val="auto"/>
                <w:szCs w:val="21"/>
                <w:highlight w:val="none"/>
              </w:rPr>
            </w:pPr>
            <w:r>
              <w:rPr>
                <w:rFonts w:hint="eastAsia"/>
                <w:color w:val="auto"/>
                <w:szCs w:val="21"/>
                <w:highlight w:val="none"/>
              </w:rPr>
              <w:t>生活污水</w:t>
            </w:r>
          </w:p>
        </w:tc>
        <w:tc>
          <w:tcPr>
            <w:tcW w:w="2740" w:type="dxa"/>
            <w:vAlign w:val="center"/>
          </w:tcPr>
          <w:p w14:paraId="0815A671">
            <w:pPr>
              <w:pStyle w:val="12"/>
              <w:ind w:firstLine="0"/>
              <w:jc w:val="center"/>
              <w:rPr>
                <w:color w:val="auto"/>
                <w:szCs w:val="21"/>
                <w:highlight w:val="none"/>
              </w:rPr>
            </w:pPr>
            <w:r>
              <w:rPr>
                <w:color w:val="auto"/>
                <w:sz w:val="21"/>
                <w:szCs w:val="21"/>
                <w:highlight w:val="none"/>
              </w:rPr>
              <w:t>餐饮废水经油水分离器处理后，同生活污水一起排入厂区化粪池</w:t>
            </w:r>
            <w:r>
              <w:rPr>
                <w:rFonts w:hint="eastAsia"/>
                <w:color w:val="auto"/>
                <w:sz w:val="21"/>
                <w:szCs w:val="21"/>
                <w:highlight w:val="none"/>
              </w:rPr>
              <w:t>（3.0</w:t>
            </w:r>
            <w:r>
              <w:rPr>
                <w:color w:val="auto"/>
                <w:szCs w:val="21"/>
                <w:highlight w:val="none"/>
              </w:rPr>
              <w:t>m</w:t>
            </w:r>
            <w:r>
              <w:rPr>
                <w:color w:val="auto"/>
                <w:szCs w:val="21"/>
                <w:highlight w:val="none"/>
                <w:vertAlign w:val="superscript"/>
              </w:rPr>
              <w:t>3</w:t>
            </w:r>
            <w:r>
              <w:rPr>
                <w:rFonts w:hint="eastAsia"/>
                <w:color w:val="auto"/>
                <w:sz w:val="21"/>
                <w:szCs w:val="21"/>
                <w:highlight w:val="none"/>
              </w:rPr>
              <w:t>）</w:t>
            </w:r>
            <w:r>
              <w:rPr>
                <w:color w:val="auto"/>
                <w:sz w:val="21"/>
                <w:szCs w:val="21"/>
                <w:highlight w:val="none"/>
              </w:rPr>
              <w:t>，处理后用于周边</w:t>
            </w:r>
            <w:r>
              <w:rPr>
                <w:rFonts w:hint="eastAsia"/>
                <w:color w:val="auto"/>
                <w:sz w:val="21"/>
                <w:szCs w:val="21"/>
                <w:highlight w:val="none"/>
              </w:rPr>
              <w:t>农田施肥</w:t>
            </w:r>
          </w:p>
        </w:tc>
        <w:tc>
          <w:tcPr>
            <w:tcW w:w="2283" w:type="dxa"/>
            <w:vAlign w:val="center"/>
          </w:tcPr>
          <w:p w14:paraId="419EDF5E">
            <w:pPr>
              <w:adjustRightInd w:val="0"/>
              <w:snapToGrid w:val="0"/>
              <w:jc w:val="center"/>
              <w:rPr>
                <w:color w:val="auto"/>
                <w:szCs w:val="21"/>
                <w:highlight w:val="none"/>
              </w:rPr>
            </w:pPr>
            <w:r>
              <w:rPr>
                <w:rFonts w:hint="eastAsia"/>
                <w:color w:val="auto"/>
                <w:szCs w:val="21"/>
                <w:highlight w:val="none"/>
              </w:rPr>
              <w:t>综合利用</w:t>
            </w:r>
          </w:p>
          <w:p w14:paraId="06EBFA56">
            <w:pPr>
              <w:adjustRightInd w:val="0"/>
              <w:snapToGrid w:val="0"/>
              <w:jc w:val="center"/>
              <w:rPr>
                <w:color w:val="auto"/>
                <w:szCs w:val="21"/>
                <w:highlight w:val="none"/>
              </w:rPr>
            </w:pPr>
            <w:r>
              <w:rPr>
                <w:rFonts w:hint="eastAsia"/>
                <w:color w:val="auto"/>
                <w:szCs w:val="21"/>
                <w:highlight w:val="none"/>
              </w:rPr>
              <w:t>不外排</w:t>
            </w:r>
          </w:p>
        </w:tc>
      </w:tr>
      <w:tr w14:paraId="7AC7619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504" w:type="dxa"/>
            <w:vAlign w:val="center"/>
          </w:tcPr>
          <w:p w14:paraId="6A32A7CD">
            <w:pPr>
              <w:adjustRightInd w:val="0"/>
              <w:snapToGrid w:val="0"/>
              <w:jc w:val="center"/>
              <w:rPr>
                <w:color w:val="auto"/>
                <w:szCs w:val="21"/>
                <w:highlight w:val="none"/>
              </w:rPr>
            </w:pPr>
            <w:r>
              <w:rPr>
                <w:rFonts w:hint="eastAsia"/>
                <w:color w:val="auto"/>
                <w:szCs w:val="21"/>
                <w:highlight w:val="none"/>
              </w:rPr>
              <w:t>声环境</w:t>
            </w:r>
          </w:p>
        </w:tc>
        <w:tc>
          <w:tcPr>
            <w:tcW w:w="1575" w:type="dxa"/>
            <w:vAlign w:val="center"/>
          </w:tcPr>
          <w:p w14:paraId="345C566A">
            <w:pPr>
              <w:adjustRightInd w:val="0"/>
              <w:snapToGrid w:val="0"/>
              <w:jc w:val="center"/>
              <w:rPr>
                <w:color w:val="auto"/>
                <w:szCs w:val="21"/>
                <w:highlight w:val="none"/>
              </w:rPr>
            </w:pPr>
            <w:r>
              <w:rPr>
                <w:rFonts w:hint="eastAsia"/>
                <w:color w:val="auto"/>
                <w:szCs w:val="21"/>
                <w:highlight w:val="none"/>
              </w:rPr>
              <w:t>生产过程</w:t>
            </w:r>
          </w:p>
        </w:tc>
        <w:tc>
          <w:tcPr>
            <w:tcW w:w="1088" w:type="dxa"/>
            <w:vAlign w:val="center"/>
          </w:tcPr>
          <w:p w14:paraId="556BEC69">
            <w:pPr>
              <w:adjustRightInd w:val="0"/>
              <w:snapToGrid w:val="0"/>
              <w:jc w:val="center"/>
              <w:rPr>
                <w:color w:val="auto"/>
                <w:szCs w:val="21"/>
                <w:highlight w:val="none"/>
              </w:rPr>
            </w:pPr>
            <w:r>
              <w:rPr>
                <w:rFonts w:hint="eastAsia"/>
                <w:color w:val="auto"/>
                <w:szCs w:val="21"/>
                <w:highlight w:val="none"/>
              </w:rPr>
              <w:t>生产噪声</w:t>
            </w:r>
          </w:p>
        </w:tc>
        <w:tc>
          <w:tcPr>
            <w:tcW w:w="2740" w:type="dxa"/>
            <w:vAlign w:val="center"/>
          </w:tcPr>
          <w:p w14:paraId="2859520F">
            <w:pPr>
              <w:adjustRightInd w:val="0"/>
              <w:snapToGrid w:val="0"/>
              <w:jc w:val="center"/>
              <w:rPr>
                <w:color w:val="auto"/>
                <w:szCs w:val="21"/>
                <w:highlight w:val="none"/>
              </w:rPr>
            </w:pPr>
            <w:r>
              <w:rPr>
                <w:bCs/>
                <w:color w:val="auto"/>
                <w:szCs w:val="21"/>
                <w:highlight w:val="none"/>
                <w:lang w:bidi="ar"/>
              </w:rPr>
              <w:t>采用低噪声设备；</w:t>
            </w:r>
            <w:r>
              <w:rPr>
                <w:rFonts w:hint="eastAsia"/>
                <w:bCs/>
                <w:color w:val="auto"/>
                <w:szCs w:val="21"/>
                <w:highlight w:val="none"/>
                <w:lang w:bidi="ar"/>
              </w:rPr>
              <w:t>生产</w:t>
            </w:r>
            <w:r>
              <w:rPr>
                <w:color w:val="auto"/>
                <w:szCs w:val="21"/>
                <w:highlight w:val="none"/>
                <w:lang w:bidi="ar"/>
              </w:rPr>
              <w:t>设备</w:t>
            </w:r>
            <w:r>
              <w:rPr>
                <w:rFonts w:hint="eastAsia"/>
                <w:color w:val="auto"/>
                <w:szCs w:val="21"/>
                <w:highlight w:val="none"/>
                <w:lang w:bidi="ar"/>
              </w:rPr>
              <w:t>均</w:t>
            </w:r>
            <w:r>
              <w:rPr>
                <w:color w:val="auto"/>
                <w:szCs w:val="21"/>
                <w:highlight w:val="none"/>
                <w:lang w:bidi="ar"/>
              </w:rPr>
              <w:t>置于封闭</w:t>
            </w:r>
            <w:r>
              <w:rPr>
                <w:rFonts w:hint="eastAsia"/>
                <w:color w:val="auto"/>
                <w:szCs w:val="21"/>
                <w:highlight w:val="none"/>
                <w:lang w:bidi="ar"/>
              </w:rPr>
              <w:t>厂房</w:t>
            </w:r>
            <w:r>
              <w:rPr>
                <w:color w:val="auto"/>
                <w:szCs w:val="21"/>
                <w:highlight w:val="none"/>
                <w:lang w:bidi="ar"/>
              </w:rPr>
              <w:t>内</w:t>
            </w:r>
            <w:r>
              <w:rPr>
                <w:rFonts w:hint="eastAsia"/>
                <w:color w:val="auto"/>
                <w:szCs w:val="21"/>
                <w:highlight w:val="none"/>
                <w:lang w:bidi="ar"/>
              </w:rPr>
              <w:t>、</w:t>
            </w:r>
            <w:r>
              <w:rPr>
                <w:bCs/>
                <w:color w:val="auto"/>
                <w:szCs w:val="21"/>
                <w:highlight w:val="none"/>
                <w:lang w:bidi="ar"/>
              </w:rPr>
              <w:t>合理安排运行时间</w:t>
            </w:r>
            <w:r>
              <w:rPr>
                <w:rFonts w:hint="eastAsia"/>
                <w:bCs/>
                <w:color w:val="auto"/>
                <w:szCs w:val="21"/>
                <w:highlight w:val="none"/>
                <w:lang w:bidi="ar"/>
              </w:rPr>
              <w:t>、</w:t>
            </w:r>
            <w:r>
              <w:rPr>
                <w:bCs/>
                <w:color w:val="auto"/>
                <w:szCs w:val="21"/>
                <w:highlight w:val="none"/>
                <w:lang w:bidi="ar"/>
              </w:rPr>
              <w:t>采取隔声减</w:t>
            </w:r>
            <w:r>
              <w:rPr>
                <w:rFonts w:hint="eastAsia"/>
                <w:bCs/>
                <w:color w:val="auto"/>
                <w:szCs w:val="21"/>
                <w:highlight w:val="none"/>
                <w:lang w:bidi="ar"/>
              </w:rPr>
              <w:t>振</w:t>
            </w:r>
            <w:r>
              <w:rPr>
                <w:bCs/>
                <w:color w:val="auto"/>
                <w:szCs w:val="21"/>
                <w:highlight w:val="none"/>
                <w:lang w:bidi="ar"/>
              </w:rPr>
              <w:t>措施</w:t>
            </w:r>
            <w:r>
              <w:rPr>
                <w:rFonts w:hint="eastAsia"/>
                <w:bCs/>
                <w:color w:val="auto"/>
                <w:szCs w:val="21"/>
                <w:highlight w:val="none"/>
                <w:lang w:bidi="ar"/>
              </w:rPr>
              <w:t>、</w:t>
            </w:r>
            <w:r>
              <w:rPr>
                <w:bCs/>
                <w:color w:val="auto"/>
                <w:szCs w:val="21"/>
                <w:highlight w:val="none"/>
                <w:lang w:bidi="ar"/>
              </w:rPr>
              <w:t>加强机械维护工作</w:t>
            </w:r>
          </w:p>
        </w:tc>
        <w:tc>
          <w:tcPr>
            <w:tcW w:w="2283" w:type="dxa"/>
            <w:vAlign w:val="center"/>
          </w:tcPr>
          <w:p w14:paraId="05ADE218">
            <w:pPr>
              <w:adjustRightInd w:val="0"/>
              <w:snapToGrid w:val="0"/>
              <w:jc w:val="center"/>
              <w:rPr>
                <w:color w:val="auto"/>
                <w:szCs w:val="21"/>
                <w:highlight w:val="none"/>
              </w:rPr>
            </w:pPr>
            <w:r>
              <w:rPr>
                <w:color w:val="auto"/>
                <w:szCs w:val="21"/>
                <w:highlight w:val="none"/>
              </w:rPr>
              <w:t>《工业企业厂界环境噪声排放标准》</w:t>
            </w:r>
            <w:r>
              <w:rPr>
                <w:rFonts w:hint="eastAsia"/>
                <w:color w:val="auto"/>
                <w:szCs w:val="21"/>
                <w:highlight w:val="none"/>
              </w:rPr>
              <w:t>（</w:t>
            </w:r>
            <w:r>
              <w:rPr>
                <w:color w:val="auto"/>
                <w:szCs w:val="21"/>
                <w:highlight w:val="none"/>
              </w:rPr>
              <w:t>GB12348-2008</w:t>
            </w:r>
            <w:r>
              <w:rPr>
                <w:rFonts w:hint="eastAsia"/>
                <w:color w:val="auto"/>
                <w:szCs w:val="21"/>
                <w:highlight w:val="none"/>
              </w:rPr>
              <w:t>）</w:t>
            </w:r>
            <w:r>
              <w:rPr>
                <w:color w:val="auto"/>
                <w:szCs w:val="21"/>
                <w:highlight w:val="none"/>
              </w:rPr>
              <w:t>中</w:t>
            </w:r>
            <w:r>
              <w:rPr>
                <w:rFonts w:hint="eastAsia"/>
                <w:color w:val="auto"/>
                <w:szCs w:val="21"/>
                <w:highlight w:val="none"/>
              </w:rPr>
              <w:t>2</w:t>
            </w:r>
            <w:r>
              <w:rPr>
                <w:color w:val="auto"/>
                <w:szCs w:val="21"/>
                <w:highlight w:val="none"/>
              </w:rPr>
              <w:t>类标准</w:t>
            </w:r>
          </w:p>
        </w:tc>
      </w:tr>
      <w:tr w14:paraId="27B8049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74" w:hRule="atLeast"/>
          <w:jc w:val="center"/>
        </w:trPr>
        <w:tc>
          <w:tcPr>
            <w:tcW w:w="1504" w:type="dxa"/>
            <w:vAlign w:val="center"/>
          </w:tcPr>
          <w:p w14:paraId="4DF905B9">
            <w:pPr>
              <w:adjustRightInd w:val="0"/>
              <w:snapToGrid w:val="0"/>
              <w:jc w:val="center"/>
              <w:rPr>
                <w:color w:val="auto"/>
                <w:szCs w:val="21"/>
                <w:highlight w:val="none"/>
              </w:rPr>
            </w:pPr>
            <w:r>
              <w:rPr>
                <w:rFonts w:hint="eastAsia"/>
                <w:color w:val="auto"/>
                <w:szCs w:val="21"/>
                <w:highlight w:val="none"/>
              </w:rPr>
              <w:t>固体废物</w:t>
            </w:r>
          </w:p>
        </w:tc>
        <w:tc>
          <w:tcPr>
            <w:tcW w:w="7686" w:type="dxa"/>
            <w:gridSpan w:val="4"/>
            <w:vAlign w:val="center"/>
          </w:tcPr>
          <w:p w14:paraId="655D78E0">
            <w:pPr>
              <w:rPr>
                <w:color w:val="auto"/>
                <w:szCs w:val="21"/>
                <w:highlight w:val="none"/>
              </w:rPr>
            </w:pPr>
            <w:r>
              <w:rPr>
                <w:rFonts w:hint="eastAsia" w:ascii="宋体" w:hAnsi="宋体" w:cs="宋体"/>
                <w:color w:val="auto"/>
                <w:szCs w:val="21"/>
                <w:highlight w:val="none"/>
              </w:rPr>
              <w:t>①</w:t>
            </w:r>
            <w:r>
              <w:rPr>
                <w:rFonts w:hint="eastAsia" w:ascii="宋体" w:hAnsi="宋体"/>
                <w:bCs/>
                <w:color w:val="auto"/>
                <w:kern w:val="0"/>
                <w:szCs w:val="21"/>
                <w:highlight w:val="none"/>
              </w:rPr>
              <w:t>生活垃圾经垃圾桶收集后交由环卫部门处置</w:t>
            </w:r>
            <w:r>
              <w:rPr>
                <w:color w:val="auto"/>
                <w:szCs w:val="21"/>
                <w:highlight w:val="none"/>
              </w:rPr>
              <w:t>；</w:t>
            </w:r>
          </w:p>
          <w:p w14:paraId="01ED8CCA">
            <w:pPr>
              <w:pStyle w:val="11"/>
              <w:ind w:left="0" w:leftChars="0"/>
              <w:rPr>
                <w:color w:val="auto"/>
                <w:highlight w:val="none"/>
              </w:rPr>
            </w:pPr>
            <w:r>
              <w:rPr>
                <w:rFonts w:hint="eastAsia" w:ascii="宋体" w:hAnsi="宋体" w:cs="宋体"/>
                <w:color w:val="auto"/>
                <w:highlight w:val="none"/>
              </w:rPr>
              <w:t>②</w:t>
            </w:r>
            <w:r>
              <w:rPr>
                <w:rFonts w:hint="eastAsia" w:ascii="宋体" w:hAnsi="宋体" w:cs="宋体"/>
                <w:color w:val="auto"/>
                <w:highlight w:val="none"/>
                <w:lang w:eastAsia="zh-CN"/>
              </w:rPr>
              <w:t>果蔬皮与不合格品</w:t>
            </w:r>
            <w:r>
              <w:rPr>
                <w:rFonts w:hint="eastAsia" w:ascii="宋体" w:hAnsi="宋体" w:cs="宋体"/>
                <w:color w:val="auto"/>
                <w:highlight w:val="none"/>
              </w:rPr>
              <w:t>桶装收集后暂存于厂房闲置区，</w:t>
            </w:r>
            <w:r>
              <w:rPr>
                <w:rFonts w:hint="eastAsia" w:ascii="宋体" w:hAnsi="宋体" w:cs="宋体"/>
                <w:color w:val="auto"/>
                <w:highlight w:val="none"/>
                <w:lang w:eastAsia="zh-CN"/>
              </w:rPr>
              <w:t>后期用于果园堆肥处理</w:t>
            </w:r>
            <w:r>
              <w:rPr>
                <w:rFonts w:hint="eastAsia"/>
                <w:color w:val="auto"/>
                <w:highlight w:val="none"/>
              </w:rPr>
              <w:t>；</w:t>
            </w:r>
          </w:p>
          <w:p w14:paraId="006FF3E7">
            <w:pPr>
              <w:rPr>
                <w:rFonts w:hAnsi="宋体"/>
                <w:snapToGrid w:val="0"/>
                <w:color w:val="auto"/>
                <w:spacing w:val="-6"/>
                <w:kern w:val="21"/>
                <w:szCs w:val="21"/>
                <w:highlight w:val="none"/>
              </w:rPr>
            </w:pPr>
            <w:r>
              <w:rPr>
                <w:rFonts w:hint="eastAsia" w:ascii="宋体" w:hAnsi="宋体" w:cs="宋体"/>
                <w:color w:val="auto"/>
                <w:szCs w:val="21"/>
                <w:highlight w:val="none"/>
              </w:rPr>
              <w:t>③废油脂采用带盖容器收集后暂存于厂房闲置区，定期交由废油脂回收公司进行回收处理</w:t>
            </w:r>
            <w:r>
              <w:rPr>
                <w:rFonts w:hint="eastAsia" w:hAnsi="宋体"/>
                <w:snapToGrid w:val="0"/>
                <w:color w:val="auto"/>
                <w:spacing w:val="-6"/>
                <w:kern w:val="21"/>
                <w:szCs w:val="21"/>
                <w:highlight w:val="none"/>
              </w:rPr>
              <w:t>；</w:t>
            </w:r>
          </w:p>
          <w:p w14:paraId="61ECA834">
            <w:pPr>
              <w:rPr>
                <w:color w:val="auto"/>
                <w:szCs w:val="21"/>
                <w:highlight w:val="none"/>
              </w:rPr>
            </w:pPr>
            <w:r>
              <w:rPr>
                <w:rFonts w:hint="eastAsia" w:ascii="宋体" w:hAnsi="宋体" w:cs="宋体"/>
                <w:color w:val="auto"/>
                <w:szCs w:val="21"/>
                <w:highlight w:val="none"/>
              </w:rPr>
              <w:t>④废弃包装袋统一收集后暂存于材料区，外售至废品回收站处置</w:t>
            </w:r>
            <w:r>
              <w:rPr>
                <w:color w:val="auto"/>
                <w:szCs w:val="21"/>
                <w:highlight w:val="none"/>
              </w:rPr>
              <w:t>；</w:t>
            </w:r>
          </w:p>
          <w:p w14:paraId="4EFDB113">
            <w:pPr>
              <w:rPr>
                <w:color w:val="auto"/>
                <w:szCs w:val="21"/>
                <w:highlight w:val="none"/>
              </w:rPr>
            </w:pPr>
            <w:r>
              <w:rPr>
                <w:rFonts w:hint="eastAsia" w:ascii="宋体" w:hAnsi="宋体" w:cs="宋体"/>
                <w:color w:val="auto"/>
                <w:szCs w:val="21"/>
                <w:highlight w:val="none"/>
              </w:rPr>
              <w:t>⑤</w:t>
            </w:r>
            <w:r>
              <w:rPr>
                <w:rFonts w:hint="eastAsia"/>
                <w:color w:val="auto"/>
                <w:szCs w:val="21"/>
                <w:highlight w:val="none"/>
              </w:rPr>
              <w:t>灰渣</w:t>
            </w:r>
            <w:r>
              <w:rPr>
                <w:rFonts w:hint="eastAsia" w:ascii="宋体" w:hAnsi="宋体" w:cs="宋体"/>
                <w:color w:val="auto"/>
                <w:szCs w:val="21"/>
                <w:highlight w:val="none"/>
                <w:lang w:bidi="ar"/>
              </w:rPr>
              <w:t>装袋保存后暂存于厂区闲置区域，定期交由周边农户，用作自家农田肥料</w:t>
            </w:r>
            <w:r>
              <w:rPr>
                <w:rFonts w:hint="eastAsia"/>
                <w:color w:val="auto"/>
                <w:szCs w:val="21"/>
                <w:highlight w:val="none"/>
              </w:rPr>
              <w:t>；</w:t>
            </w:r>
          </w:p>
          <w:p w14:paraId="757F1791">
            <w:pPr>
              <w:rPr>
                <w:color w:val="auto"/>
                <w:szCs w:val="21"/>
                <w:highlight w:val="none"/>
              </w:rPr>
            </w:pPr>
            <w:r>
              <w:rPr>
                <w:rFonts w:hint="eastAsia" w:ascii="宋体" w:hAnsi="宋体" w:cs="宋体"/>
                <w:color w:val="auto"/>
                <w:szCs w:val="21"/>
                <w:highlight w:val="none"/>
              </w:rPr>
              <w:t>⑥污泥</w:t>
            </w:r>
            <w:r>
              <w:rPr>
                <w:rFonts w:hint="eastAsia"/>
                <w:bCs/>
                <w:color w:val="auto"/>
                <w:szCs w:val="21"/>
                <w:highlight w:val="none"/>
                <w:lang w:bidi="ar"/>
              </w:rPr>
              <w:t>浓缩压滤后暂存于污泥池，定期外运至洋县生活垃圾焚烧发电</w:t>
            </w:r>
            <w:r>
              <w:rPr>
                <w:rFonts w:hint="eastAsia"/>
                <w:bCs/>
                <w:color w:val="auto"/>
                <w:szCs w:val="21"/>
                <w:highlight w:val="none"/>
                <w:lang w:eastAsia="zh-CN" w:bidi="ar"/>
              </w:rPr>
              <w:t>厂</w:t>
            </w:r>
            <w:r>
              <w:rPr>
                <w:rFonts w:hint="eastAsia"/>
                <w:bCs/>
                <w:color w:val="auto"/>
                <w:szCs w:val="21"/>
                <w:highlight w:val="none"/>
                <w:lang w:bidi="ar"/>
              </w:rPr>
              <w:t>处置。</w:t>
            </w:r>
          </w:p>
        </w:tc>
      </w:tr>
      <w:tr w14:paraId="67E95C2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504" w:type="dxa"/>
            <w:vAlign w:val="center"/>
          </w:tcPr>
          <w:p w14:paraId="59942848">
            <w:pPr>
              <w:adjustRightInd w:val="0"/>
              <w:snapToGrid w:val="0"/>
              <w:jc w:val="center"/>
              <w:rPr>
                <w:color w:val="auto"/>
                <w:szCs w:val="21"/>
                <w:highlight w:val="none"/>
              </w:rPr>
            </w:pPr>
            <w:r>
              <w:rPr>
                <w:rFonts w:hint="eastAsia"/>
                <w:color w:val="auto"/>
                <w:szCs w:val="21"/>
                <w:highlight w:val="none"/>
              </w:rPr>
              <w:t>土壤及地下水</w:t>
            </w:r>
          </w:p>
          <w:p w14:paraId="23DA4ACB">
            <w:pPr>
              <w:adjustRightInd w:val="0"/>
              <w:snapToGrid w:val="0"/>
              <w:jc w:val="center"/>
              <w:rPr>
                <w:color w:val="auto"/>
                <w:szCs w:val="21"/>
                <w:highlight w:val="none"/>
              </w:rPr>
            </w:pPr>
            <w:r>
              <w:rPr>
                <w:rFonts w:hint="eastAsia"/>
                <w:color w:val="auto"/>
                <w:szCs w:val="21"/>
                <w:highlight w:val="none"/>
              </w:rPr>
              <w:t>污染防治措施</w:t>
            </w:r>
          </w:p>
        </w:tc>
        <w:tc>
          <w:tcPr>
            <w:tcW w:w="7686" w:type="dxa"/>
            <w:gridSpan w:val="4"/>
            <w:vAlign w:val="center"/>
          </w:tcPr>
          <w:p w14:paraId="08741229">
            <w:pPr>
              <w:adjustRightInd w:val="0"/>
              <w:snapToGrid w:val="0"/>
              <w:rPr>
                <w:color w:val="auto"/>
                <w:szCs w:val="21"/>
                <w:highlight w:val="none"/>
              </w:rPr>
            </w:pPr>
            <w:r>
              <w:rPr>
                <w:rFonts w:hint="eastAsia"/>
                <w:color w:val="auto"/>
                <w:szCs w:val="21"/>
                <w:highlight w:val="none"/>
              </w:rPr>
              <w:t>生产车间、包装区、化粪池等均采取一般防渗措施，污水处理站区域采取重点防渗处理，并加强日常管理。</w:t>
            </w:r>
          </w:p>
        </w:tc>
      </w:tr>
      <w:tr w14:paraId="29255EC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504" w:type="dxa"/>
            <w:vAlign w:val="center"/>
          </w:tcPr>
          <w:p w14:paraId="7E8112EA">
            <w:pPr>
              <w:adjustRightInd w:val="0"/>
              <w:snapToGrid w:val="0"/>
              <w:jc w:val="center"/>
              <w:rPr>
                <w:color w:val="auto"/>
                <w:szCs w:val="21"/>
                <w:highlight w:val="none"/>
              </w:rPr>
            </w:pPr>
            <w:r>
              <w:rPr>
                <w:rFonts w:hint="eastAsia"/>
                <w:color w:val="auto"/>
                <w:szCs w:val="21"/>
                <w:highlight w:val="none"/>
              </w:rPr>
              <w:t>生态保护措施</w:t>
            </w:r>
          </w:p>
        </w:tc>
        <w:tc>
          <w:tcPr>
            <w:tcW w:w="7686" w:type="dxa"/>
            <w:gridSpan w:val="4"/>
            <w:vAlign w:val="center"/>
          </w:tcPr>
          <w:p w14:paraId="38BF978A">
            <w:pPr>
              <w:pStyle w:val="43"/>
              <w:jc w:val="center"/>
              <w:rPr>
                <w:color w:val="auto"/>
                <w:highlight w:val="none"/>
              </w:rPr>
            </w:pPr>
            <w:r>
              <w:rPr>
                <w:rFonts w:ascii="Times New Roman" w:hAnsi="Times New Roman" w:cs="Times New Roman"/>
                <w:color w:val="auto"/>
                <w:highlight w:val="none"/>
              </w:rPr>
              <w:t>/</w:t>
            </w:r>
          </w:p>
        </w:tc>
      </w:tr>
      <w:tr w14:paraId="031D2E5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504" w:type="dxa"/>
            <w:vAlign w:val="center"/>
          </w:tcPr>
          <w:p w14:paraId="19B1C360">
            <w:pPr>
              <w:adjustRightInd w:val="0"/>
              <w:snapToGrid w:val="0"/>
              <w:jc w:val="center"/>
              <w:rPr>
                <w:color w:val="auto"/>
                <w:szCs w:val="21"/>
                <w:highlight w:val="none"/>
              </w:rPr>
            </w:pPr>
            <w:r>
              <w:rPr>
                <w:rFonts w:hint="eastAsia"/>
                <w:color w:val="auto"/>
                <w:szCs w:val="21"/>
                <w:highlight w:val="none"/>
              </w:rPr>
              <w:t>环境风险</w:t>
            </w:r>
          </w:p>
          <w:p w14:paraId="53A0ED80">
            <w:pPr>
              <w:adjustRightInd w:val="0"/>
              <w:snapToGrid w:val="0"/>
              <w:jc w:val="center"/>
              <w:rPr>
                <w:color w:val="auto"/>
                <w:szCs w:val="21"/>
                <w:highlight w:val="none"/>
              </w:rPr>
            </w:pPr>
            <w:r>
              <w:rPr>
                <w:rFonts w:hint="eastAsia"/>
                <w:color w:val="auto"/>
                <w:szCs w:val="21"/>
                <w:highlight w:val="none"/>
              </w:rPr>
              <w:t>防范措施</w:t>
            </w:r>
          </w:p>
        </w:tc>
        <w:tc>
          <w:tcPr>
            <w:tcW w:w="7686" w:type="dxa"/>
            <w:gridSpan w:val="4"/>
            <w:vAlign w:val="center"/>
          </w:tcPr>
          <w:p w14:paraId="5FC4271B">
            <w:pPr>
              <w:adjustRightInd w:val="0"/>
              <w:snapToGrid w:val="0"/>
              <w:jc w:val="center"/>
              <w:rPr>
                <w:color w:val="auto"/>
                <w:szCs w:val="21"/>
                <w:highlight w:val="none"/>
              </w:rPr>
            </w:pPr>
            <w:r>
              <w:rPr>
                <w:color w:val="auto"/>
                <w:szCs w:val="21"/>
                <w:highlight w:val="none"/>
              </w:rPr>
              <w:t>加强风险物质</w:t>
            </w:r>
            <w:r>
              <w:rPr>
                <w:rFonts w:hint="eastAsia"/>
                <w:color w:val="auto"/>
                <w:szCs w:val="21"/>
                <w:highlight w:val="none"/>
              </w:rPr>
              <w:t>（食用油）</w:t>
            </w:r>
            <w:r>
              <w:rPr>
                <w:color w:val="auto"/>
                <w:szCs w:val="21"/>
                <w:highlight w:val="none"/>
              </w:rPr>
              <w:t>管理，安全操作</w:t>
            </w:r>
            <w:r>
              <w:rPr>
                <w:rFonts w:hint="eastAsia"/>
                <w:color w:val="auto"/>
                <w:szCs w:val="21"/>
                <w:highlight w:val="none"/>
              </w:rPr>
              <w:t>。</w:t>
            </w:r>
          </w:p>
        </w:tc>
      </w:tr>
      <w:tr w14:paraId="18C14EB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504" w:type="dxa"/>
            <w:vAlign w:val="center"/>
          </w:tcPr>
          <w:p w14:paraId="1186CEC4">
            <w:pPr>
              <w:adjustRightInd w:val="0"/>
              <w:snapToGrid w:val="0"/>
              <w:jc w:val="center"/>
              <w:rPr>
                <w:color w:val="auto"/>
                <w:szCs w:val="21"/>
                <w:highlight w:val="none"/>
              </w:rPr>
            </w:pPr>
            <w:r>
              <w:rPr>
                <w:rFonts w:hint="eastAsia"/>
                <w:color w:val="auto"/>
                <w:szCs w:val="21"/>
                <w:highlight w:val="none"/>
              </w:rPr>
              <w:t>其他环境</w:t>
            </w:r>
          </w:p>
          <w:p w14:paraId="7BB6F9E9">
            <w:pPr>
              <w:adjustRightInd w:val="0"/>
              <w:snapToGrid w:val="0"/>
              <w:jc w:val="center"/>
              <w:rPr>
                <w:color w:val="auto"/>
                <w:szCs w:val="21"/>
                <w:highlight w:val="none"/>
              </w:rPr>
            </w:pPr>
            <w:r>
              <w:rPr>
                <w:rFonts w:hint="eastAsia"/>
                <w:color w:val="auto"/>
                <w:szCs w:val="21"/>
                <w:highlight w:val="none"/>
              </w:rPr>
              <w:t>管理要求</w:t>
            </w:r>
          </w:p>
        </w:tc>
        <w:tc>
          <w:tcPr>
            <w:tcW w:w="7686" w:type="dxa"/>
            <w:gridSpan w:val="4"/>
            <w:vAlign w:val="center"/>
          </w:tcPr>
          <w:p w14:paraId="359E6624">
            <w:pPr>
              <w:adjustRightInd w:val="0"/>
              <w:snapToGrid w:val="0"/>
              <w:rPr>
                <w:color w:val="auto"/>
                <w:szCs w:val="21"/>
                <w:highlight w:val="none"/>
              </w:rPr>
            </w:pPr>
            <w:r>
              <w:rPr>
                <w:rFonts w:hint="eastAsia"/>
                <w:color w:val="auto"/>
                <w:highlight w:val="none"/>
              </w:rPr>
              <w:t>项目建成后</w:t>
            </w:r>
            <w:r>
              <w:rPr>
                <w:rFonts w:hint="eastAsia"/>
                <w:color w:val="auto"/>
                <w:szCs w:val="21"/>
                <w:highlight w:val="none"/>
              </w:rPr>
              <w:t>要求开展竣工环保验收并办理排污许可手续，按照废气污染源监测要求和噪声排放监测要求，组织开展自行监测工作，监测工作可委托第三方具有检测认证资质的专业机构。</w:t>
            </w:r>
          </w:p>
        </w:tc>
      </w:tr>
    </w:tbl>
    <w:p w14:paraId="4AF5A1F0">
      <w:pPr>
        <w:pStyle w:val="29"/>
        <w:jc w:val="center"/>
        <w:outlineLvl w:val="0"/>
        <w:rPr>
          <w:rFonts w:ascii="黑体" w:hAnsi="黑体" w:eastAsia="黑体"/>
          <w:snapToGrid w:val="0"/>
          <w:color w:val="auto"/>
          <w:sz w:val="30"/>
          <w:szCs w:val="30"/>
          <w:highlight w:val="none"/>
        </w:rPr>
      </w:pPr>
      <w:r>
        <w:rPr>
          <w:snapToGrid w:val="0"/>
          <w:color w:val="auto"/>
          <w:highlight w:val="none"/>
        </w:rPr>
        <w:br w:type="page"/>
      </w:r>
      <w:r>
        <w:rPr>
          <w:rFonts w:hint="eastAsia" w:ascii="黑体" w:hAnsi="黑体" w:eastAsia="黑体"/>
          <w:snapToGrid w:val="0"/>
          <w:color w:val="auto"/>
          <w:sz w:val="30"/>
          <w:szCs w:val="30"/>
          <w:highlight w:val="none"/>
        </w:rPr>
        <w:t>六、结论</w:t>
      </w:r>
    </w:p>
    <w:tbl>
      <w:tblPr>
        <w:tblStyle w:val="35"/>
        <w:tblW w:w="8865"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14:paraId="791D045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137" w:hRule="atLeast"/>
          <w:jc w:val="center"/>
        </w:trPr>
        <w:tc>
          <w:tcPr>
            <w:tcW w:w="8865" w:type="dxa"/>
          </w:tcPr>
          <w:p w14:paraId="4C525DC3">
            <w:pPr>
              <w:pStyle w:val="15"/>
              <w:spacing w:line="360" w:lineRule="auto"/>
              <w:ind w:firstLine="480" w:firstLineChars="200"/>
              <w:rPr>
                <w:rFonts w:ascii="宋体" w:hAnsi="宋体" w:cs="宋体"/>
                <w:color w:val="auto"/>
                <w:highlight w:val="none"/>
              </w:rPr>
            </w:pPr>
            <w:r>
              <w:rPr>
                <w:rFonts w:hint="eastAsia"/>
                <w:color w:val="auto"/>
                <w:highlight w:val="none"/>
              </w:rPr>
              <w:t>陕西大秦鹮农业科技有限公司开展的净菜、预制菜产业链项目</w:t>
            </w:r>
            <w:r>
              <w:rPr>
                <w:rFonts w:hint="eastAsia" w:ascii="宋体" w:hAnsi="宋体" w:cs="宋体"/>
                <w:color w:val="auto"/>
                <w:highlight w:val="none"/>
              </w:rPr>
              <w:t>符合相关的生态环境保护法律法规要求，各污染源采取的环保措施合理有效，技术可行。</w:t>
            </w:r>
            <w:r>
              <w:rPr>
                <w:rFonts w:hint="eastAsia"/>
                <w:color w:val="auto"/>
                <w:highlight w:val="none"/>
              </w:rPr>
              <w:t>建设方在落实本环评提出的各项污染防治措施后，</w:t>
            </w:r>
            <w:r>
              <w:rPr>
                <w:rFonts w:hint="eastAsia" w:ascii="宋体" w:hAnsi="宋体" w:cs="宋体"/>
                <w:color w:val="auto"/>
                <w:highlight w:val="none"/>
              </w:rPr>
              <w:t>废气能实现达标排放；餐饮废水经油水分离器处理后与生活污水一同进入化粪池处理后用于周边农田施肥，综合利用；生产废水经厂内污水处理站处理达到《农田灌溉水质标准》</w:t>
            </w:r>
            <w:r>
              <w:rPr>
                <w:color w:val="auto"/>
                <w:highlight w:val="none"/>
              </w:rPr>
              <w:t>（GB5084-2021）</w:t>
            </w:r>
            <w:r>
              <w:rPr>
                <w:rFonts w:hint="eastAsia"/>
                <w:color w:val="auto"/>
                <w:highlight w:val="none"/>
              </w:rPr>
              <w:t>后</w:t>
            </w:r>
            <w:r>
              <w:rPr>
                <w:rFonts w:hint="eastAsia"/>
                <w:color w:val="auto"/>
                <w:highlight w:val="none"/>
                <w:lang w:eastAsia="zh-CN"/>
              </w:rPr>
              <w:t>作为</w:t>
            </w:r>
            <w:r>
              <w:rPr>
                <w:rFonts w:hint="eastAsia"/>
                <w:color w:val="auto"/>
                <w:highlight w:val="none"/>
              </w:rPr>
              <w:t>周边果园</w:t>
            </w:r>
            <w:r>
              <w:rPr>
                <w:rFonts w:hint="eastAsia"/>
                <w:color w:val="auto"/>
                <w:highlight w:val="none"/>
                <w:lang w:eastAsia="zh-CN"/>
              </w:rPr>
              <w:t>灌溉用水</w:t>
            </w:r>
            <w:r>
              <w:rPr>
                <w:rFonts w:hint="eastAsia" w:ascii="宋体" w:hAnsi="宋体" w:cs="宋体"/>
                <w:color w:val="auto"/>
                <w:highlight w:val="none"/>
              </w:rPr>
              <w:t>；噪声可达标排放；固废均能实现资源化或无害化处置，对评价区域环境质量的影响较小。</w:t>
            </w:r>
          </w:p>
          <w:p w14:paraId="0EE3D90F">
            <w:pPr>
              <w:widowControl/>
              <w:spacing w:line="360" w:lineRule="auto"/>
              <w:ind w:firstLine="480" w:firstLineChars="200"/>
              <w:rPr>
                <w:color w:val="auto"/>
                <w:highlight w:val="none"/>
              </w:rPr>
            </w:pPr>
            <w:r>
              <w:rPr>
                <w:rFonts w:hint="eastAsia" w:ascii="宋体" w:hAnsi="宋体" w:cs="宋体"/>
                <w:color w:val="auto"/>
                <w:kern w:val="0"/>
                <w:sz w:val="24"/>
                <w:highlight w:val="none"/>
              </w:rPr>
              <w:t>综上，从环境保护角度分析，本项目建设可行。</w:t>
            </w:r>
          </w:p>
          <w:p w14:paraId="560AD868">
            <w:pPr>
              <w:pStyle w:val="46"/>
              <w:spacing w:line="360" w:lineRule="auto"/>
              <w:ind w:firstLine="480"/>
              <w:rPr>
                <w:color w:val="auto"/>
                <w:highlight w:val="none"/>
              </w:rPr>
            </w:pPr>
          </w:p>
        </w:tc>
      </w:tr>
    </w:tbl>
    <w:p w14:paraId="693B7EE6">
      <w:pPr>
        <w:rPr>
          <w:rFonts w:ascii="宋体"/>
          <w:color w:val="auto"/>
          <w:highlight w:val="none"/>
        </w:rPr>
        <w:sectPr>
          <w:pgSz w:w="11906" w:h="16838"/>
          <w:pgMar w:top="1701" w:right="1531" w:bottom="1701" w:left="1531" w:header="851" w:footer="851" w:gutter="0"/>
          <w:cols w:space="720" w:num="1"/>
          <w:docGrid w:linePitch="312" w:charSpace="0"/>
        </w:sectPr>
      </w:pPr>
    </w:p>
    <w:p w14:paraId="2A8037EA">
      <w:pPr>
        <w:pStyle w:val="29"/>
        <w:adjustRightInd w:val="0"/>
        <w:snapToGrid w:val="0"/>
        <w:spacing w:before="0" w:beforeAutospacing="0" w:after="0" w:afterAutospacing="0" w:line="480" w:lineRule="auto"/>
        <w:outlineLvl w:val="0"/>
        <w:rPr>
          <w:rFonts w:ascii="黑体" w:hAnsi="黑体" w:eastAsia="黑体"/>
          <w:snapToGrid w:val="0"/>
          <w:color w:val="auto"/>
          <w:sz w:val="32"/>
          <w:szCs w:val="32"/>
          <w:highlight w:val="none"/>
        </w:rPr>
      </w:pPr>
      <w:r>
        <w:rPr>
          <w:rFonts w:hint="eastAsia" w:ascii="黑体" w:hAnsi="黑体" w:eastAsia="黑体"/>
          <w:snapToGrid w:val="0"/>
          <w:color w:val="auto"/>
          <w:sz w:val="32"/>
          <w:szCs w:val="32"/>
          <w:highlight w:val="none"/>
        </w:rPr>
        <w:t>附表</w:t>
      </w:r>
    </w:p>
    <w:p w14:paraId="13EDD73D">
      <w:pPr>
        <w:pStyle w:val="29"/>
        <w:adjustRightInd w:val="0"/>
        <w:snapToGrid w:val="0"/>
        <w:spacing w:before="0" w:beforeAutospacing="0" w:after="0" w:afterAutospacing="0" w:line="276" w:lineRule="auto"/>
        <w:jc w:val="center"/>
        <w:rPr>
          <w:rFonts w:ascii="方正小标宋_GBK" w:hAnsi="黑体" w:eastAsia="方正小标宋_GBK"/>
          <w:snapToGrid w:val="0"/>
          <w:color w:val="auto"/>
          <w:sz w:val="38"/>
          <w:szCs w:val="38"/>
          <w:highlight w:val="none"/>
        </w:rPr>
      </w:pPr>
      <w:r>
        <w:rPr>
          <w:rFonts w:hint="eastAsia" w:ascii="方正小标宋_GBK" w:hAnsi="黑体" w:eastAsia="方正小标宋_GBK"/>
          <w:snapToGrid w:val="0"/>
          <w:color w:val="auto"/>
          <w:sz w:val="38"/>
          <w:szCs w:val="38"/>
          <w:highlight w:val="none"/>
        </w:rPr>
        <w:t>建设项目污染物排放量汇总表</w:t>
      </w:r>
    </w:p>
    <w:tbl>
      <w:tblPr>
        <w:tblStyle w:val="35"/>
        <w:tblW w:w="13788"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588"/>
        <w:gridCol w:w="1586"/>
        <w:gridCol w:w="1322"/>
        <w:gridCol w:w="1486"/>
        <w:gridCol w:w="1446"/>
        <w:gridCol w:w="1405"/>
        <w:gridCol w:w="1827"/>
        <w:gridCol w:w="1701"/>
        <w:gridCol w:w="1427"/>
      </w:tblGrid>
      <w:tr w14:paraId="458E8B8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1588" w:type="dxa"/>
            <w:tcBorders>
              <w:tl2br w:val="single" w:color="auto" w:sz="4" w:space="0"/>
            </w:tcBorders>
            <w:tcMar>
              <w:left w:w="28" w:type="dxa"/>
              <w:right w:w="28" w:type="dxa"/>
            </w:tcMar>
            <w:vAlign w:val="center"/>
          </w:tcPr>
          <w:p w14:paraId="266700B9">
            <w:pPr>
              <w:pStyle w:val="88"/>
              <w:spacing w:beforeLines="0" w:afterLines="0" w:line="240" w:lineRule="auto"/>
              <w:jc w:val="right"/>
              <w:rPr>
                <w:rFonts w:ascii="Times New Roman" w:eastAsia="黑体"/>
                <w:snapToGrid w:val="0"/>
                <w:color w:val="auto"/>
                <w:spacing w:val="-6"/>
                <w:kern w:val="21"/>
                <w:szCs w:val="21"/>
                <w:highlight w:val="none"/>
              </w:rPr>
            </w:pPr>
            <w:r>
              <w:rPr>
                <w:rFonts w:ascii="Times New Roman" w:eastAsia="黑体"/>
                <w:snapToGrid w:val="0"/>
                <w:color w:val="auto"/>
                <w:spacing w:val="-6"/>
                <w:kern w:val="21"/>
                <w:szCs w:val="21"/>
                <w:highlight w:val="none"/>
              </w:rPr>
              <w:t>项目</w:t>
            </w:r>
          </w:p>
          <w:p w14:paraId="58939092">
            <w:pPr>
              <w:pStyle w:val="88"/>
              <w:spacing w:beforeLines="0" w:afterLines="0" w:line="240" w:lineRule="auto"/>
              <w:jc w:val="left"/>
              <w:rPr>
                <w:rFonts w:ascii="Times New Roman" w:eastAsia="黑体"/>
                <w:snapToGrid w:val="0"/>
                <w:color w:val="auto"/>
                <w:spacing w:val="-6"/>
                <w:kern w:val="21"/>
                <w:szCs w:val="21"/>
                <w:highlight w:val="none"/>
              </w:rPr>
            </w:pPr>
            <w:r>
              <w:rPr>
                <w:rFonts w:ascii="Times New Roman" w:eastAsia="黑体"/>
                <w:snapToGrid w:val="0"/>
                <w:color w:val="auto"/>
                <w:spacing w:val="-6"/>
                <w:kern w:val="21"/>
                <w:szCs w:val="21"/>
                <w:highlight w:val="none"/>
              </w:rPr>
              <w:t>分类</w:t>
            </w:r>
          </w:p>
        </w:tc>
        <w:tc>
          <w:tcPr>
            <w:tcW w:w="1586" w:type="dxa"/>
            <w:tcMar>
              <w:left w:w="28" w:type="dxa"/>
              <w:right w:w="28" w:type="dxa"/>
            </w:tcMar>
            <w:vAlign w:val="center"/>
          </w:tcPr>
          <w:p w14:paraId="301E294D">
            <w:pPr>
              <w:pStyle w:val="88"/>
              <w:spacing w:beforeLines="0" w:afterLines="0" w:line="240" w:lineRule="auto"/>
              <w:rPr>
                <w:rFonts w:ascii="Times New Roman" w:eastAsia="黑体"/>
                <w:snapToGrid w:val="0"/>
                <w:color w:val="auto"/>
                <w:spacing w:val="-6"/>
                <w:kern w:val="21"/>
                <w:szCs w:val="21"/>
                <w:highlight w:val="none"/>
              </w:rPr>
            </w:pPr>
            <w:r>
              <w:rPr>
                <w:rFonts w:ascii="Times New Roman" w:eastAsia="黑体"/>
                <w:snapToGrid w:val="0"/>
                <w:color w:val="auto"/>
                <w:spacing w:val="-6"/>
                <w:kern w:val="21"/>
                <w:szCs w:val="21"/>
                <w:highlight w:val="none"/>
              </w:rPr>
              <w:t>污染物名称</w:t>
            </w:r>
          </w:p>
        </w:tc>
        <w:tc>
          <w:tcPr>
            <w:tcW w:w="1322" w:type="dxa"/>
            <w:tcMar>
              <w:left w:w="28" w:type="dxa"/>
              <w:right w:w="28" w:type="dxa"/>
            </w:tcMar>
            <w:vAlign w:val="center"/>
          </w:tcPr>
          <w:p w14:paraId="102336E8">
            <w:pPr>
              <w:pStyle w:val="88"/>
              <w:spacing w:beforeLines="0" w:afterLines="0" w:line="240" w:lineRule="auto"/>
              <w:rPr>
                <w:rFonts w:ascii="Times New Roman" w:eastAsia="黑体"/>
                <w:snapToGrid w:val="0"/>
                <w:color w:val="auto"/>
                <w:spacing w:val="-6"/>
                <w:kern w:val="21"/>
                <w:szCs w:val="21"/>
                <w:highlight w:val="none"/>
              </w:rPr>
            </w:pPr>
            <w:r>
              <w:rPr>
                <w:rFonts w:ascii="Times New Roman" w:eastAsia="黑体"/>
                <w:snapToGrid w:val="0"/>
                <w:color w:val="auto"/>
                <w:spacing w:val="-6"/>
                <w:kern w:val="21"/>
                <w:szCs w:val="21"/>
                <w:highlight w:val="none"/>
              </w:rPr>
              <w:t>现有工程</w:t>
            </w:r>
          </w:p>
          <w:p w14:paraId="31FE2425">
            <w:pPr>
              <w:pStyle w:val="88"/>
              <w:spacing w:beforeLines="0" w:afterLines="0" w:line="240" w:lineRule="auto"/>
              <w:rPr>
                <w:rFonts w:ascii="Times New Roman" w:eastAsia="黑体"/>
                <w:snapToGrid w:val="0"/>
                <w:color w:val="auto"/>
                <w:spacing w:val="-6"/>
                <w:kern w:val="21"/>
                <w:szCs w:val="21"/>
                <w:highlight w:val="none"/>
              </w:rPr>
            </w:pPr>
            <w:r>
              <w:rPr>
                <w:rFonts w:ascii="Times New Roman" w:eastAsia="黑体"/>
                <w:snapToGrid w:val="0"/>
                <w:color w:val="auto"/>
                <w:spacing w:val="-6"/>
                <w:kern w:val="21"/>
                <w:szCs w:val="21"/>
                <w:highlight w:val="none"/>
              </w:rPr>
              <w:t>排放量</w:t>
            </w:r>
            <w:r>
              <w:rPr>
                <w:rFonts w:ascii="Times New Roman" w:eastAsia="黑体"/>
                <w:snapToGrid w:val="0"/>
                <w:color w:val="auto"/>
                <w:spacing w:val="-6"/>
                <w:kern w:val="21"/>
                <w:szCs w:val="21"/>
                <w:highlight w:val="none"/>
              </w:rPr>
              <w:fldChar w:fldCharType="begin"/>
            </w:r>
            <w:r>
              <w:rPr>
                <w:rFonts w:ascii="Times New Roman" w:eastAsia="黑体"/>
                <w:snapToGrid w:val="0"/>
                <w:color w:val="auto"/>
                <w:spacing w:val="-6"/>
                <w:kern w:val="21"/>
                <w:szCs w:val="21"/>
                <w:highlight w:val="none"/>
              </w:rPr>
              <w:instrText xml:space="preserve"> = 1 \* GB3 \* MERGEFORMAT </w:instrText>
            </w:r>
            <w:r>
              <w:rPr>
                <w:rFonts w:ascii="Times New Roman" w:eastAsia="黑体"/>
                <w:snapToGrid w:val="0"/>
                <w:color w:val="auto"/>
                <w:spacing w:val="-6"/>
                <w:kern w:val="21"/>
                <w:szCs w:val="21"/>
                <w:highlight w:val="none"/>
              </w:rPr>
              <w:fldChar w:fldCharType="separate"/>
            </w:r>
            <w:r>
              <w:rPr>
                <w:rFonts w:hint="eastAsia" w:hAnsi="宋体" w:cs="宋体"/>
                <w:color w:val="auto"/>
                <w:kern w:val="2"/>
                <w:szCs w:val="21"/>
                <w:highlight w:val="none"/>
              </w:rPr>
              <w:t>①</w:t>
            </w:r>
            <w:r>
              <w:rPr>
                <w:rFonts w:ascii="Times New Roman" w:eastAsia="黑体"/>
                <w:snapToGrid w:val="0"/>
                <w:color w:val="auto"/>
                <w:spacing w:val="-6"/>
                <w:kern w:val="21"/>
                <w:szCs w:val="21"/>
                <w:highlight w:val="none"/>
              </w:rPr>
              <w:fldChar w:fldCharType="end"/>
            </w:r>
          </w:p>
        </w:tc>
        <w:tc>
          <w:tcPr>
            <w:tcW w:w="1486" w:type="dxa"/>
            <w:tcMar>
              <w:left w:w="28" w:type="dxa"/>
              <w:right w:w="28" w:type="dxa"/>
            </w:tcMar>
            <w:vAlign w:val="center"/>
          </w:tcPr>
          <w:p w14:paraId="7DBD6C50">
            <w:pPr>
              <w:pStyle w:val="88"/>
              <w:spacing w:beforeLines="0" w:afterLines="0" w:line="240" w:lineRule="auto"/>
              <w:rPr>
                <w:rFonts w:ascii="Times New Roman" w:eastAsia="黑体"/>
                <w:snapToGrid w:val="0"/>
                <w:color w:val="auto"/>
                <w:spacing w:val="-6"/>
                <w:kern w:val="21"/>
                <w:szCs w:val="21"/>
                <w:highlight w:val="none"/>
              </w:rPr>
            </w:pPr>
            <w:r>
              <w:rPr>
                <w:rFonts w:ascii="Times New Roman" w:eastAsia="黑体"/>
                <w:snapToGrid w:val="0"/>
                <w:color w:val="auto"/>
                <w:spacing w:val="-6"/>
                <w:kern w:val="21"/>
                <w:szCs w:val="21"/>
                <w:highlight w:val="none"/>
              </w:rPr>
              <w:t>现有工程</w:t>
            </w:r>
          </w:p>
          <w:p w14:paraId="66F14733">
            <w:pPr>
              <w:pStyle w:val="88"/>
              <w:spacing w:beforeLines="0" w:afterLines="0" w:line="240" w:lineRule="auto"/>
              <w:rPr>
                <w:rFonts w:ascii="Times New Roman" w:eastAsia="黑体"/>
                <w:snapToGrid w:val="0"/>
                <w:color w:val="auto"/>
                <w:spacing w:val="-6"/>
                <w:kern w:val="21"/>
                <w:szCs w:val="21"/>
                <w:highlight w:val="none"/>
              </w:rPr>
            </w:pPr>
            <w:r>
              <w:rPr>
                <w:rFonts w:ascii="Times New Roman" w:eastAsia="黑体"/>
                <w:snapToGrid w:val="0"/>
                <w:color w:val="auto"/>
                <w:spacing w:val="-6"/>
                <w:kern w:val="21"/>
                <w:szCs w:val="21"/>
                <w:highlight w:val="none"/>
              </w:rPr>
              <w:t>许可排放量</w:t>
            </w:r>
            <w:r>
              <w:rPr>
                <w:rFonts w:ascii="Times New Roman" w:eastAsia="黑体"/>
                <w:snapToGrid w:val="0"/>
                <w:color w:val="auto"/>
                <w:spacing w:val="-6"/>
                <w:kern w:val="21"/>
                <w:szCs w:val="21"/>
                <w:highlight w:val="none"/>
              </w:rPr>
              <w:fldChar w:fldCharType="begin"/>
            </w:r>
            <w:r>
              <w:rPr>
                <w:rFonts w:ascii="Times New Roman" w:eastAsia="黑体"/>
                <w:snapToGrid w:val="0"/>
                <w:color w:val="auto"/>
                <w:spacing w:val="-6"/>
                <w:kern w:val="21"/>
                <w:szCs w:val="21"/>
                <w:highlight w:val="none"/>
              </w:rPr>
              <w:instrText xml:space="preserve"> = 2 \* GB3 \* MERGEFORMAT </w:instrText>
            </w:r>
            <w:r>
              <w:rPr>
                <w:rFonts w:ascii="Times New Roman" w:eastAsia="黑体"/>
                <w:snapToGrid w:val="0"/>
                <w:color w:val="auto"/>
                <w:spacing w:val="-6"/>
                <w:kern w:val="21"/>
                <w:szCs w:val="21"/>
                <w:highlight w:val="none"/>
              </w:rPr>
              <w:fldChar w:fldCharType="separate"/>
            </w:r>
            <w:r>
              <w:rPr>
                <w:rFonts w:hint="eastAsia" w:hAnsi="宋体" w:cs="宋体"/>
                <w:snapToGrid w:val="0"/>
                <w:color w:val="auto"/>
                <w:spacing w:val="-6"/>
                <w:kern w:val="21"/>
                <w:szCs w:val="21"/>
                <w:highlight w:val="none"/>
              </w:rPr>
              <w:t>②</w:t>
            </w:r>
            <w:r>
              <w:rPr>
                <w:rFonts w:ascii="Times New Roman" w:eastAsia="黑体"/>
                <w:snapToGrid w:val="0"/>
                <w:color w:val="auto"/>
                <w:spacing w:val="-6"/>
                <w:kern w:val="21"/>
                <w:szCs w:val="21"/>
                <w:highlight w:val="none"/>
              </w:rPr>
              <w:fldChar w:fldCharType="end"/>
            </w:r>
          </w:p>
        </w:tc>
        <w:tc>
          <w:tcPr>
            <w:tcW w:w="1446" w:type="dxa"/>
            <w:tcMar>
              <w:left w:w="28" w:type="dxa"/>
              <w:right w:w="28" w:type="dxa"/>
            </w:tcMar>
            <w:vAlign w:val="center"/>
          </w:tcPr>
          <w:p w14:paraId="51455F65">
            <w:pPr>
              <w:pStyle w:val="88"/>
              <w:spacing w:beforeLines="0" w:afterLines="0" w:line="240" w:lineRule="auto"/>
              <w:rPr>
                <w:rFonts w:ascii="Times New Roman" w:eastAsia="黑体"/>
                <w:snapToGrid w:val="0"/>
                <w:color w:val="auto"/>
                <w:spacing w:val="-6"/>
                <w:kern w:val="21"/>
                <w:szCs w:val="21"/>
                <w:highlight w:val="none"/>
              </w:rPr>
            </w:pPr>
            <w:r>
              <w:rPr>
                <w:rFonts w:ascii="Times New Roman" w:eastAsia="黑体"/>
                <w:snapToGrid w:val="0"/>
                <w:color w:val="auto"/>
                <w:spacing w:val="-6"/>
                <w:kern w:val="21"/>
                <w:szCs w:val="21"/>
                <w:highlight w:val="none"/>
              </w:rPr>
              <w:t>在建工程</w:t>
            </w:r>
          </w:p>
          <w:p w14:paraId="6D6986CC">
            <w:pPr>
              <w:pStyle w:val="88"/>
              <w:spacing w:beforeLines="0" w:afterLines="0" w:line="240" w:lineRule="auto"/>
              <w:rPr>
                <w:rFonts w:ascii="Times New Roman" w:eastAsia="黑体"/>
                <w:snapToGrid w:val="0"/>
                <w:color w:val="auto"/>
                <w:spacing w:val="-6"/>
                <w:kern w:val="21"/>
                <w:szCs w:val="21"/>
                <w:highlight w:val="none"/>
              </w:rPr>
            </w:pPr>
            <w:r>
              <w:rPr>
                <w:rFonts w:ascii="Times New Roman" w:eastAsia="黑体"/>
                <w:snapToGrid w:val="0"/>
                <w:color w:val="auto"/>
                <w:spacing w:val="-6"/>
                <w:kern w:val="21"/>
                <w:szCs w:val="21"/>
                <w:highlight w:val="none"/>
              </w:rPr>
              <w:t>排放量</w:t>
            </w:r>
            <w:r>
              <w:rPr>
                <w:rFonts w:ascii="Times New Roman" w:eastAsia="黑体"/>
                <w:snapToGrid w:val="0"/>
                <w:color w:val="auto"/>
                <w:spacing w:val="-6"/>
                <w:kern w:val="21"/>
                <w:szCs w:val="21"/>
                <w:highlight w:val="none"/>
              </w:rPr>
              <w:fldChar w:fldCharType="begin"/>
            </w:r>
            <w:r>
              <w:rPr>
                <w:rFonts w:ascii="Times New Roman" w:eastAsia="黑体"/>
                <w:snapToGrid w:val="0"/>
                <w:color w:val="auto"/>
                <w:spacing w:val="-6"/>
                <w:kern w:val="21"/>
                <w:szCs w:val="21"/>
                <w:highlight w:val="none"/>
              </w:rPr>
              <w:instrText xml:space="preserve"> = 3 \* GB3 \* MERGEFORMAT </w:instrText>
            </w:r>
            <w:r>
              <w:rPr>
                <w:rFonts w:ascii="Times New Roman" w:eastAsia="黑体"/>
                <w:snapToGrid w:val="0"/>
                <w:color w:val="auto"/>
                <w:spacing w:val="-6"/>
                <w:kern w:val="21"/>
                <w:szCs w:val="21"/>
                <w:highlight w:val="none"/>
              </w:rPr>
              <w:fldChar w:fldCharType="separate"/>
            </w:r>
            <w:r>
              <w:rPr>
                <w:rFonts w:hint="eastAsia" w:hAnsi="宋体" w:cs="宋体"/>
                <w:color w:val="auto"/>
                <w:kern w:val="2"/>
                <w:szCs w:val="21"/>
                <w:highlight w:val="none"/>
              </w:rPr>
              <w:t>③</w:t>
            </w:r>
            <w:r>
              <w:rPr>
                <w:rFonts w:ascii="Times New Roman" w:eastAsia="黑体"/>
                <w:snapToGrid w:val="0"/>
                <w:color w:val="auto"/>
                <w:spacing w:val="-6"/>
                <w:kern w:val="21"/>
                <w:szCs w:val="21"/>
                <w:highlight w:val="none"/>
              </w:rPr>
              <w:fldChar w:fldCharType="end"/>
            </w:r>
          </w:p>
        </w:tc>
        <w:tc>
          <w:tcPr>
            <w:tcW w:w="1405" w:type="dxa"/>
            <w:tcMar>
              <w:left w:w="28" w:type="dxa"/>
              <w:right w:w="28" w:type="dxa"/>
            </w:tcMar>
            <w:vAlign w:val="center"/>
          </w:tcPr>
          <w:p w14:paraId="0465298A">
            <w:pPr>
              <w:pStyle w:val="88"/>
              <w:spacing w:beforeLines="0" w:afterLines="0" w:line="240" w:lineRule="auto"/>
              <w:rPr>
                <w:rFonts w:ascii="Times New Roman" w:eastAsia="黑体"/>
                <w:snapToGrid w:val="0"/>
                <w:color w:val="auto"/>
                <w:spacing w:val="-6"/>
                <w:kern w:val="21"/>
                <w:szCs w:val="21"/>
                <w:highlight w:val="none"/>
              </w:rPr>
            </w:pPr>
            <w:r>
              <w:rPr>
                <w:rFonts w:ascii="Times New Roman" w:eastAsia="黑体"/>
                <w:snapToGrid w:val="0"/>
                <w:color w:val="auto"/>
                <w:spacing w:val="-6"/>
                <w:kern w:val="21"/>
                <w:szCs w:val="21"/>
                <w:highlight w:val="none"/>
              </w:rPr>
              <w:t>本项目</w:t>
            </w:r>
          </w:p>
          <w:p w14:paraId="37F73620">
            <w:pPr>
              <w:pStyle w:val="88"/>
              <w:spacing w:beforeLines="0" w:afterLines="0" w:line="240" w:lineRule="auto"/>
              <w:rPr>
                <w:rFonts w:ascii="Times New Roman" w:eastAsia="黑体"/>
                <w:snapToGrid w:val="0"/>
                <w:color w:val="auto"/>
                <w:spacing w:val="-6"/>
                <w:kern w:val="21"/>
                <w:szCs w:val="21"/>
                <w:highlight w:val="none"/>
              </w:rPr>
            </w:pPr>
            <w:r>
              <w:rPr>
                <w:rFonts w:ascii="Times New Roman" w:eastAsia="黑体"/>
                <w:snapToGrid w:val="0"/>
                <w:color w:val="auto"/>
                <w:spacing w:val="-6"/>
                <w:kern w:val="21"/>
                <w:szCs w:val="21"/>
                <w:highlight w:val="none"/>
              </w:rPr>
              <w:t>排放量</w:t>
            </w:r>
            <w:r>
              <w:rPr>
                <w:rFonts w:ascii="Times New Roman" w:eastAsia="黑体"/>
                <w:snapToGrid w:val="0"/>
                <w:color w:val="auto"/>
                <w:spacing w:val="-6"/>
                <w:kern w:val="21"/>
                <w:szCs w:val="21"/>
                <w:highlight w:val="none"/>
              </w:rPr>
              <w:fldChar w:fldCharType="begin"/>
            </w:r>
            <w:r>
              <w:rPr>
                <w:rFonts w:ascii="Times New Roman" w:eastAsia="黑体"/>
                <w:snapToGrid w:val="0"/>
                <w:color w:val="auto"/>
                <w:spacing w:val="-6"/>
                <w:kern w:val="21"/>
                <w:szCs w:val="21"/>
                <w:highlight w:val="none"/>
              </w:rPr>
              <w:instrText xml:space="preserve"> = 4 \* GB3 \* MERGEFORMAT </w:instrText>
            </w:r>
            <w:r>
              <w:rPr>
                <w:rFonts w:ascii="Times New Roman" w:eastAsia="黑体"/>
                <w:snapToGrid w:val="0"/>
                <w:color w:val="auto"/>
                <w:spacing w:val="-6"/>
                <w:kern w:val="21"/>
                <w:szCs w:val="21"/>
                <w:highlight w:val="none"/>
              </w:rPr>
              <w:fldChar w:fldCharType="separate"/>
            </w:r>
            <w:r>
              <w:rPr>
                <w:rFonts w:hint="eastAsia" w:hAnsi="宋体" w:cs="宋体"/>
                <w:color w:val="auto"/>
                <w:kern w:val="2"/>
                <w:szCs w:val="21"/>
                <w:highlight w:val="none"/>
              </w:rPr>
              <w:t>④</w:t>
            </w:r>
            <w:r>
              <w:rPr>
                <w:rFonts w:ascii="Times New Roman" w:eastAsia="黑体"/>
                <w:snapToGrid w:val="0"/>
                <w:color w:val="auto"/>
                <w:spacing w:val="-6"/>
                <w:kern w:val="21"/>
                <w:szCs w:val="21"/>
                <w:highlight w:val="none"/>
              </w:rPr>
              <w:fldChar w:fldCharType="end"/>
            </w:r>
          </w:p>
        </w:tc>
        <w:tc>
          <w:tcPr>
            <w:tcW w:w="1827" w:type="dxa"/>
            <w:tcMar>
              <w:left w:w="28" w:type="dxa"/>
              <w:right w:w="28" w:type="dxa"/>
            </w:tcMar>
            <w:vAlign w:val="center"/>
          </w:tcPr>
          <w:p w14:paraId="21E43CCC">
            <w:pPr>
              <w:pStyle w:val="88"/>
              <w:spacing w:beforeLines="0" w:afterLines="0" w:line="240" w:lineRule="auto"/>
              <w:rPr>
                <w:rFonts w:ascii="Times New Roman" w:eastAsia="黑体"/>
                <w:snapToGrid w:val="0"/>
                <w:color w:val="auto"/>
                <w:spacing w:val="-16"/>
                <w:kern w:val="21"/>
                <w:szCs w:val="21"/>
                <w:highlight w:val="none"/>
              </w:rPr>
            </w:pPr>
            <w:r>
              <w:rPr>
                <w:rFonts w:ascii="Times New Roman" w:eastAsia="黑体"/>
                <w:snapToGrid w:val="0"/>
                <w:color w:val="auto"/>
                <w:spacing w:val="-16"/>
                <w:kern w:val="21"/>
                <w:szCs w:val="21"/>
                <w:highlight w:val="none"/>
              </w:rPr>
              <w:t>以新带老削减量</w:t>
            </w:r>
          </w:p>
          <w:p w14:paraId="4BFD2969">
            <w:pPr>
              <w:pStyle w:val="88"/>
              <w:spacing w:beforeLines="0" w:afterLines="0" w:line="240" w:lineRule="auto"/>
              <w:rPr>
                <w:rFonts w:ascii="Times New Roman" w:eastAsia="黑体"/>
                <w:snapToGrid w:val="0"/>
                <w:color w:val="auto"/>
                <w:spacing w:val="-16"/>
                <w:kern w:val="21"/>
                <w:szCs w:val="21"/>
                <w:highlight w:val="none"/>
              </w:rPr>
            </w:pPr>
            <w:r>
              <w:rPr>
                <w:rFonts w:ascii="Times New Roman" w:eastAsia="黑体"/>
                <w:snapToGrid w:val="0"/>
                <w:color w:val="auto"/>
                <w:spacing w:val="-16"/>
                <w:kern w:val="21"/>
                <w:szCs w:val="21"/>
                <w:highlight w:val="none"/>
              </w:rPr>
              <w:t>（新建项目不填）</w:t>
            </w:r>
            <w:r>
              <w:rPr>
                <w:rFonts w:ascii="Times New Roman" w:eastAsia="黑体"/>
                <w:snapToGrid w:val="0"/>
                <w:color w:val="auto"/>
                <w:spacing w:val="-16"/>
                <w:kern w:val="21"/>
                <w:szCs w:val="21"/>
                <w:highlight w:val="none"/>
              </w:rPr>
              <w:fldChar w:fldCharType="begin"/>
            </w:r>
            <w:r>
              <w:rPr>
                <w:rFonts w:ascii="Times New Roman" w:eastAsia="黑体"/>
                <w:snapToGrid w:val="0"/>
                <w:color w:val="auto"/>
                <w:spacing w:val="-16"/>
                <w:kern w:val="21"/>
                <w:szCs w:val="21"/>
                <w:highlight w:val="none"/>
              </w:rPr>
              <w:instrText xml:space="preserve"> = 5 \* GB3 \* MERGEFORMAT </w:instrText>
            </w:r>
            <w:r>
              <w:rPr>
                <w:rFonts w:ascii="Times New Roman" w:eastAsia="黑体"/>
                <w:snapToGrid w:val="0"/>
                <w:color w:val="auto"/>
                <w:spacing w:val="-16"/>
                <w:kern w:val="21"/>
                <w:szCs w:val="21"/>
                <w:highlight w:val="none"/>
              </w:rPr>
              <w:fldChar w:fldCharType="separate"/>
            </w:r>
            <w:r>
              <w:rPr>
                <w:rFonts w:hint="eastAsia" w:hAnsi="宋体" w:cs="宋体"/>
                <w:color w:val="auto"/>
                <w:kern w:val="2"/>
                <w:szCs w:val="21"/>
                <w:highlight w:val="none"/>
              </w:rPr>
              <w:t>⑤</w:t>
            </w:r>
            <w:r>
              <w:rPr>
                <w:rFonts w:ascii="Times New Roman" w:eastAsia="黑体"/>
                <w:snapToGrid w:val="0"/>
                <w:color w:val="auto"/>
                <w:spacing w:val="-16"/>
                <w:kern w:val="21"/>
                <w:szCs w:val="21"/>
                <w:highlight w:val="none"/>
              </w:rPr>
              <w:fldChar w:fldCharType="end"/>
            </w:r>
          </w:p>
        </w:tc>
        <w:tc>
          <w:tcPr>
            <w:tcW w:w="1701" w:type="dxa"/>
            <w:tcMar>
              <w:left w:w="28" w:type="dxa"/>
              <w:right w:w="28" w:type="dxa"/>
            </w:tcMar>
            <w:vAlign w:val="center"/>
          </w:tcPr>
          <w:p w14:paraId="4A2A900A">
            <w:pPr>
              <w:pStyle w:val="88"/>
              <w:spacing w:beforeLines="0" w:afterLines="0" w:line="240" w:lineRule="auto"/>
              <w:rPr>
                <w:rFonts w:ascii="Times New Roman" w:eastAsia="黑体"/>
                <w:snapToGrid w:val="0"/>
                <w:color w:val="auto"/>
                <w:spacing w:val="-16"/>
                <w:kern w:val="21"/>
                <w:szCs w:val="21"/>
                <w:highlight w:val="none"/>
              </w:rPr>
            </w:pPr>
            <w:r>
              <w:rPr>
                <w:rFonts w:ascii="Times New Roman" w:eastAsia="黑体"/>
                <w:snapToGrid w:val="0"/>
                <w:color w:val="auto"/>
                <w:spacing w:val="-16"/>
                <w:kern w:val="21"/>
                <w:szCs w:val="21"/>
                <w:highlight w:val="none"/>
              </w:rPr>
              <w:t>本项目建成后</w:t>
            </w:r>
          </w:p>
          <w:p w14:paraId="5DE4A2E0">
            <w:pPr>
              <w:pStyle w:val="88"/>
              <w:spacing w:beforeLines="0" w:afterLines="0" w:line="240" w:lineRule="auto"/>
              <w:rPr>
                <w:rFonts w:ascii="Times New Roman" w:eastAsia="黑体"/>
                <w:snapToGrid w:val="0"/>
                <w:color w:val="auto"/>
                <w:spacing w:val="-16"/>
                <w:kern w:val="21"/>
                <w:szCs w:val="21"/>
                <w:highlight w:val="none"/>
              </w:rPr>
            </w:pPr>
            <w:r>
              <w:rPr>
                <w:rFonts w:ascii="Times New Roman" w:eastAsia="黑体"/>
                <w:snapToGrid w:val="0"/>
                <w:color w:val="auto"/>
                <w:spacing w:val="-16"/>
                <w:kern w:val="21"/>
                <w:szCs w:val="21"/>
                <w:highlight w:val="none"/>
              </w:rPr>
              <w:t>全厂排放量</w:t>
            </w:r>
            <w:r>
              <w:rPr>
                <w:rFonts w:ascii="Times New Roman" w:eastAsia="黑体"/>
                <w:snapToGrid w:val="0"/>
                <w:color w:val="auto"/>
                <w:spacing w:val="-16"/>
                <w:kern w:val="21"/>
                <w:szCs w:val="21"/>
                <w:highlight w:val="none"/>
              </w:rPr>
              <w:fldChar w:fldCharType="begin"/>
            </w:r>
            <w:r>
              <w:rPr>
                <w:rFonts w:ascii="Times New Roman" w:eastAsia="黑体"/>
                <w:snapToGrid w:val="0"/>
                <w:color w:val="auto"/>
                <w:spacing w:val="-16"/>
                <w:kern w:val="21"/>
                <w:szCs w:val="21"/>
                <w:highlight w:val="none"/>
              </w:rPr>
              <w:instrText xml:space="preserve"> = 6 \* GB3 \* MERGEFORMAT </w:instrText>
            </w:r>
            <w:r>
              <w:rPr>
                <w:rFonts w:ascii="Times New Roman" w:eastAsia="黑体"/>
                <w:snapToGrid w:val="0"/>
                <w:color w:val="auto"/>
                <w:spacing w:val="-16"/>
                <w:kern w:val="21"/>
                <w:szCs w:val="21"/>
                <w:highlight w:val="none"/>
              </w:rPr>
              <w:fldChar w:fldCharType="separate"/>
            </w:r>
            <w:r>
              <w:rPr>
                <w:rFonts w:hint="eastAsia" w:hAnsi="宋体" w:cs="宋体"/>
                <w:color w:val="auto"/>
                <w:kern w:val="2"/>
                <w:szCs w:val="21"/>
                <w:highlight w:val="none"/>
              </w:rPr>
              <w:t>⑥</w:t>
            </w:r>
            <w:r>
              <w:rPr>
                <w:rFonts w:ascii="Times New Roman" w:eastAsia="黑体"/>
                <w:snapToGrid w:val="0"/>
                <w:color w:val="auto"/>
                <w:spacing w:val="-16"/>
                <w:kern w:val="21"/>
                <w:szCs w:val="21"/>
                <w:highlight w:val="none"/>
              </w:rPr>
              <w:fldChar w:fldCharType="end"/>
            </w:r>
          </w:p>
        </w:tc>
        <w:tc>
          <w:tcPr>
            <w:tcW w:w="1427" w:type="dxa"/>
            <w:tcMar>
              <w:left w:w="28" w:type="dxa"/>
              <w:right w:w="28" w:type="dxa"/>
            </w:tcMar>
            <w:vAlign w:val="center"/>
          </w:tcPr>
          <w:p w14:paraId="27496403">
            <w:pPr>
              <w:pStyle w:val="88"/>
              <w:spacing w:beforeLines="0" w:afterLines="0" w:line="240" w:lineRule="auto"/>
              <w:rPr>
                <w:rFonts w:ascii="Times New Roman" w:eastAsia="黑体"/>
                <w:snapToGrid w:val="0"/>
                <w:color w:val="auto"/>
                <w:spacing w:val="-6"/>
                <w:kern w:val="21"/>
                <w:szCs w:val="21"/>
                <w:highlight w:val="none"/>
              </w:rPr>
            </w:pPr>
            <w:r>
              <w:rPr>
                <w:rFonts w:ascii="Times New Roman" w:eastAsia="黑体"/>
                <w:snapToGrid w:val="0"/>
                <w:color w:val="auto"/>
                <w:spacing w:val="-6"/>
                <w:kern w:val="21"/>
                <w:szCs w:val="21"/>
                <w:highlight w:val="none"/>
              </w:rPr>
              <w:t>变化量</w:t>
            </w:r>
            <w:r>
              <w:rPr>
                <w:rFonts w:ascii="Times New Roman" w:eastAsia="黑体"/>
                <w:snapToGrid w:val="0"/>
                <w:color w:val="auto"/>
                <w:spacing w:val="-6"/>
                <w:kern w:val="21"/>
                <w:szCs w:val="21"/>
                <w:highlight w:val="none"/>
              </w:rPr>
              <w:fldChar w:fldCharType="begin"/>
            </w:r>
            <w:r>
              <w:rPr>
                <w:rFonts w:ascii="Times New Roman" w:eastAsia="黑体"/>
                <w:snapToGrid w:val="0"/>
                <w:color w:val="auto"/>
                <w:spacing w:val="-6"/>
                <w:kern w:val="21"/>
                <w:szCs w:val="21"/>
                <w:highlight w:val="none"/>
              </w:rPr>
              <w:instrText xml:space="preserve"> = 7 \* GB3 \* MERGEFORMAT </w:instrText>
            </w:r>
            <w:r>
              <w:rPr>
                <w:rFonts w:ascii="Times New Roman" w:eastAsia="黑体"/>
                <w:snapToGrid w:val="0"/>
                <w:color w:val="auto"/>
                <w:spacing w:val="-6"/>
                <w:kern w:val="21"/>
                <w:szCs w:val="21"/>
                <w:highlight w:val="none"/>
              </w:rPr>
              <w:fldChar w:fldCharType="separate"/>
            </w:r>
            <w:r>
              <w:rPr>
                <w:rFonts w:hint="eastAsia" w:hAnsi="宋体" w:cs="宋体"/>
                <w:color w:val="auto"/>
                <w:kern w:val="2"/>
                <w:szCs w:val="21"/>
                <w:highlight w:val="none"/>
              </w:rPr>
              <w:t>⑦</w:t>
            </w:r>
            <w:r>
              <w:rPr>
                <w:rFonts w:ascii="Times New Roman" w:eastAsia="黑体"/>
                <w:snapToGrid w:val="0"/>
                <w:color w:val="auto"/>
                <w:spacing w:val="-6"/>
                <w:kern w:val="21"/>
                <w:szCs w:val="21"/>
                <w:highlight w:val="none"/>
              </w:rPr>
              <w:fldChar w:fldCharType="end"/>
            </w:r>
          </w:p>
        </w:tc>
      </w:tr>
      <w:tr w14:paraId="2E2416E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88" w:type="dxa"/>
            <w:vMerge w:val="restart"/>
            <w:vAlign w:val="center"/>
          </w:tcPr>
          <w:p w14:paraId="088A8120">
            <w:pPr>
              <w:pStyle w:val="88"/>
              <w:spacing w:beforeLines="0" w:afterLines="0" w:line="240" w:lineRule="auto"/>
              <w:rPr>
                <w:rFonts w:ascii="Times New Roman"/>
                <w:snapToGrid w:val="0"/>
                <w:color w:val="auto"/>
                <w:kern w:val="21"/>
                <w:szCs w:val="21"/>
                <w:highlight w:val="none"/>
              </w:rPr>
            </w:pPr>
            <w:r>
              <w:rPr>
                <w:rFonts w:ascii="Times New Roman"/>
                <w:snapToGrid w:val="0"/>
                <w:color w:val="auto"/>
                <w:kern w:val="21"/>
                <w:szCs w:val="21"/>
                <w:highlight w:val="none"/>
              </w:rPr>
              <w:t>废气</w:t>
            </w:r>
          </w:p>
        </w:tc>
        <w:tc>
          <w:tcPr>
            <w:tcW w:w="1586" w:type="dxa"/>
            <w:vAlign w:val="center"/>
          </w:tcPr>
          <w:p w14:paraId="44885103">
            <w:pPr>
              <w:pStyle w:val="46"/>
              <w:autoSpaceDE/>
              <w:autoSpaceDN/>
              <w:jc w:val="center"/>
              <w:rPr>
                <w:rFonts w:ascii="Times New Roman"/>
                <w:snapToGrid w:val="0"/>
                <w:color w:val="auto"/>
                <w:kern w:val="21"/>
                <w:szCs w:val="21"/>
                <w:highlight w:val="none"/>
              </w:rPr>
            </w:pPr>
            <w:r>
              <w:rPr>
                <w:rFonts w:hint="eastAsia" w:ascii="Times New Roman" w:cs="Times New Roman"/>
                <w:color w:val="auto"/>
                <w:sz w:val="21"/>
                <w:szCs w:val="21"/>
                <w:highlight w:val="none"/>
              </w:rPr>
              <w:t>颗粒物</w:t>
            </w:r>
          </w:p>
        </w:tc>
        <w:tc>
          <w:tcPr>
            <w:tcW w:w="1322" w:type="dxa"/>
            <w:vAlign w:val="center"/>
          </w:tcPr>
          <w:p w14:paraId="3C98B642">
            <w:pPr>
              <w:pStyle w:val="88"/>
              <w:spacing w:beforeLines="0" w:afterLines="0" w:line="240" w:lineRule="auto"/>
              <w:rPr>
                <w:snapToGrid w:val="0"/>
                <w:color w:val="auto"/>
                <w:kern w:val="21"/>
                <w:szCs w:val="21"/>
                <w:highlight w:val="none"/>
              </w:rPr>
            </w:pPr>
          </w:p>
        </w:tc>
        <w:tc>
          <w:tcPr>
            <w:tcW w:w="1486" w:type="dxa"/>
            <w:vAlign w:val="center"/>
          </w:tcPr>
          <w:p w14:paraId="4994D778">
            <w:pPr>
              <w:pStyle w:val="88"/>
              <w:spacing w:beforeLines="0" w:afterLines="0" w:line="240" w:lineRule="auto"/>
              <w:rPr>
                <w:rFonts w:ascii="Times New Roman"/>
                <w:snapToGrid w:val="0"/>
                <w:color w:val="auto"/>
                <w:kern w:val="21"/>
                <w:szCs w:val="21"/>
                <w:highlight w:val="none"/>
              </w:rPr>
            </w:pPr>
          </w:p>
        </w:tc>
        <w:tc>
          <w:tcPr>
            <w:tcW w:w="1446" w:type="dxa"/>
            <w:vAlign w:val="center"/>
          </w:tcPr>
          <w:p w14:paraId="6E1AFA19">
            <w:pPr>
              <w:pStyle w:val="88"/>
              <w:spacing w:beforeLines="0" w:afterLines="0" w:line="240" w:lineRule="auto"/>
              <w:rPr>
                <w:rFonts w:ascii="Times New Roman"/>
                <w:snapToGrid w:val="0"/>
                <w:color w:val="auto"/>
                <w:kern w:val="21"/>
                <w:szCs w:val="21"/>
                <w:highlight w:val="none"/>
              </w:rPr>
            </w:pPr>
          </w:p>
        </w:tc>
        <w:tc>
          <w:tcPr>
            <w:tcW w:w="1405" w:type="dxa"/>
            <w:vAlign w:val="center"/>
          </w:tcPr>
          <w:p w14:paraId="1BF97351">
            <w:pPr>
              <w:widowControl/>
              <w:tabs>
                <w:tab w:val="left" w:pos="2940"/>
              </w:tabs>
              <w:snapToGrid w:val="0"/>
              <w:jc w:val="center"/>
              <w:rPr>
                <w:snapToGrid w:val="0"/>
                <w:color w:val="auto"/>
                <w:kern w:val="21"/>
                <w:szCs w:val="21"/>
                <w:highlight w:val="none"/>
              </w:rPr>
            </w:pPr>
            <w:r>
              <w:rPr>
                <w:rFonts w:hint="eastAsia"/>
                <w:bCs/>
                <w:color w:val="auto"/>
                <w:szCs w:val="21"/>
                <w:highlight w:val="none"/>
                <w:lang w:bidi="ar"/>
              </w:rPr>
              <w:t>0.0</w:t>
            </w:r>
            <w:r>
              <w:rPr>
                <w:rFonts w:hint="eastAsia"/>
                <w:bCs/>
                <w:color w:val="auto"/>
                <w:szCs w:val="21"/>
                <w:highlight w:val="none"/>
                <w:lang w:val="en-US" w:eastAsia="zh-CN" w:bidi="ar"/>
              </w:rPr>
              <w:t>0078</w:t>
            </w:r>
            <w:r>
              <w:rPr>
                <w:rFonts w:hint="eastAsia"/>
                <w:bCs/>
                <w:color w:val="auto"/>
                <w:szCs w:val="21"/>
                <w:highlight w:val="none"/>
                <w:lang w:bidi="ar"/>
              </w:rPr>
              <w:t>t/a</w:t>
            </w:r>
          </w:p>
        </w:tc>
        <w:tc>
          <w:tcPr>
            <w:tcW w:w="1827" w:type="dxa"/>
            <w:vAlign w:val="center"/>
          </w:tcPr>
          <w:p w14:paraId="4BC9A2FF">
            <w:pPr>
              <w:jc w:val="center"/>
              <w:rPr>
                <w:snapToGrid w:val="0"/>
                <w:color w:val="auto"/>
                <w:kern w:val="21"/>
                <w:szCs w:val="21"/>
                <w:highlight w:val="none"/>
              </w:rPr>
            </w:pPr>
          </w:p>
        </w:tc>
        <w:tc>
          <w:tcPr>
            <w:tcW w:w="1701" w:type="dxa"/>
            <w:vAlign w:val="center"/>
          </w:tcPr>
          <w:p w14:paraId="117EEFCC">
            <w:pPr>
              <w:jc w:val="center"/>
              <w:rPr>
                <w:snapToGrid w:val="0"/>
                <w:color w:val="auto"/>
                <w:kern w:val="21"/>
                <w:szCs w:val="21"/>
                <w:highlight w:val="none"/>
              </w:rPr>
            </w:pPr>
          </w:p>
        </w:tc>
        <w:tc>
          <w:tcPr>
            <w:tcW w:w="1427" w:type="dxa"/>
            <w:vAlign w:val="center"/>
          </w:tcPr>
          <w:p w14:paraId="4DC232CF">
            <w:pPr>
              <w:pStyle w:val="88"/>
              <w:spacing w:beforeLines="0" w:afterLines="0" w:line="240" w:lineRule="auto"/>
              <w:rPr>
                <w:rFonts w:ascii="Times New Roman"/>
                <w:snapToGrid w:val="0"/>
                <w:color w:val="auto"/>
                <w:kern w:val="21"/>
                <w:szCs w:val="21"/>
                <w:highlight w:val="none"/>
              </w:rPr>
            </w:pPr>
          </w:p>
        </w:tc>
      </w:tr>
      <w:tr w14:paraId="560AD01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88" w:type="dxa"/>
            <w:vMerge w:val="continue"/>
            <w:vAlign w:val="center"/>
          </w:tcPr>
          <w:p w14:paraId="398F5E61">
            <w:pPr>
              <w:pStyle w:val="88"/>
              <w:spacing w:beforeLines="0" w:afterLines="0" w:line="240" w:lineRule="auto"/>
              <w:rPr>
                <w:rFonts w:ascii="Times New Roman"/>
                <w:snapToGrid w:val="0"/>
                <w:color w:val="auto"/>
                <w:kern w:val="21"/>
                <w:szCs w:val="21"/>
                <w:highlight w:val="none"/>
              </w:rPr>
            </w:pPr>
          </w:p>
        </w:tc>
        <w:tc>
          <w:tcPr>
            <w:tcW w:w="1586" w:type="dxa"/>
            <w:vAlign w:val="center"/>
          </w:tcPr>
          <w:p w14:paraId="4C248D7F">
            <w:pPr>
              <w:pStyle w:val="46"/>
              <w:autoSpaceDE/>
              <w:autoSpaceDN/>
              <w:jc w:val="center"/>
              <w:rPr>
                <w:rFonts w:ascii="Times New Roman" w:cs="Times New Roman"/>
                <w:color w:val="auto"/>
                <w:sz w:val="21"/>
                <w:szCs w:val="21"/>
                <w:highlight w:val="none"/>
              </w:rPr>
            </w:pPr>
            <w:r>
              <w:rPr>
                <w:rFonts w:hint="eastAsia" w:ascii="Times New Roman" w:cs="Times New Roman"/>
                <w:color w:val="auto"/>
                <w:sz w:val="21"/>
                <w:szCs w:val="21"/>
                <w:highlight w:val="none"/>
              </w:rPr>
              <w:t>SO</w:t>
            </w:r>
            <w:r>
              <w:rPr>
                <w:rFonts w:hint="eastAsia" w:ascii="Times New Roman" w:cs="Times New Roman"/>
                <w:color w:val="auto"/>
                <w:sz w:val="21"/>
                <w:szCs w:val="21"/>
                <w:highlight w:val="none"/>
                <w:vertAlign w:val="subscript"/>
              </w:rPr>
              <w:t>2</w:t>
            </w:r>
          </w:p>
        </w:tc>
        <w:tc>
          <w:tcPr>
            <w:tcW w:w="1322" w:type="dxa"/>
            <w:vAlign w:val="center"/>
          </w:tcPr>
          <w:p w14:paraId="31552E4F">
            <w:pPr>
              <w:pStyle w:val="88"/>
              <w:spacing w:beforeLines="0" w:afterLines="0" w:line="240" w:lineRule="auto"/>
              <w:rPr>
                <w:snapToGrid w:val="0"/>
                <w:color w:val="auto"/>
                <w:kern w:val="21"/>
                <w:szCs w:val="21"/>
                <w:highlight w:val="none"/>
              </w:rPr>
            </w:pPr>
          </w:p>
        </w:tc>
        <w:tc>
          <w:tcPr>
            <w:tcW w:w="1486" w:type="dxa"/>
            <w:vAlign w:val="center"/>
          </w:tcPr>
          <w:p w14:paraId="2BDE5921">
            <w:pPr>
              <w:pStyle w:val="88"/>
              <w:spacing w:beforeLines="0" w:afterLines="0" w:line="240" w:lineRule="auto"/>
              <w:rPr>
                <w:rFonts w:ascii="Times New Roman"/>
                <w:snapToGrid w:val="0"/>
                <w:color w:val="auto"/>
                <w:kern w:val="21"/>
                <w:szCs w:val="21"/>
                <w:highlight w:val="none"/>
              </w:rPr>
            </w:pPr>
          </w:p>
        </w:tc>
        <w:tc>
          <w:tcPr>
            <w:tcW w:w="1446" w:type="dxa"/>
            <w:vAlign w:val="center"/>
          </w:tcPr>
          <w:p w14:paraId="0C0E04F5">
            <w:pPr>
              <w:pStyle w:val="88"/>
              <w:spacing w:beforeLines="0" w:afterLines="0" w:line="240" w:lineRule="auto"/>
              <w:rPr>
                <w:rFonts w:ascii="Times New Roman"/>
                <w:snapToGrid w:val="0"/>
                <w:color w:val="auto"/>
                <w:kern w:val="21"/>
                <w:szCs w:val="21"/>
                <w:highlight w:val="none"/>
              </w:rPr>
            </w:pPr>
          </w:p>
        </w:tc>
        <w:tc>
          <w:tcPr>
            <w:tcW w:w="1405" w:type="dxa"/>
            <w:vAlign w:val="center"/>
          </w:tcPr>
          <w:p w14:paraId="10E0E6CD">
            <w:pPr>
              <w:widowControl/>
              <w:tabs>
                <w:tab w:val="left" w:pos="2940"/>
              </w:tabs>
              <w:snapToGrid w:val="0"/>
              <w:jc w:val="center"/>
              <w:rPr>
                <w:rFonts w:eastAsia="等线"/>
                <w:bCs/>
                <w:color w:val="auto"/>
                <w:szCs w:val="21"/>
                <w:highlight w:val="none"/>
              </w:rPr>
            </w:pPr>
            <w:r>
              <w:rPr>
                <w:bCs/>
                <w:color w:val="auto"/>
                <w:szCs w:val="21"/>
                <w:highlight w:val="none"/>
              </w:rPr>
              <w:t>0.0</w:t>
            </w:r>
            <w:r>
              <w:rPr>
                <w:rFonts w:hint="eastAsia"/>
                <w:bCs/>
                <w:color w:val="auto"/>
                <w:szCs w:val="21"/>
                <w:highlight w:val="none"/>
              </w:rPr>
              <w:t>85</w:t>
            </w:r>
            <w:r>
              <w:rPr>
                <w:rFonts w:hint="eastAsia"/>
                <w:bCs/>
                <w:color w:val="auto"/>
                <w:szCs w:val="21"/>
                <w:highlight w:val="none"/>
                <w:lang w:bidi="ar"/>
              </w:rPr>
              <w:t>t/a</w:t>
            </w:r>
          </w:p>
        </w:tc>
        <w:tc>
          <w:tcPr>
            <w:tcW w:w="1827" w:type="dxa"/>
            <w:vAlign w:val="center"/>
          </w:tcPr>
          <w:p w14:paraId="1F02F801">
            <w:pPr>
              <w:jc w:val="center"/>
              <w:rPr>
                <w:snapToGrid w:val="0"/>
                <w:color w:val="auto"/>
                <w:kern w:val="21"/>
                <w:szCs w:val="21"/>
                <w:highlight w:val="none"/>
              </w:rPr>
            </w:pPr>
          </w:p>
        </w:tc>
        <w:tc>
          <w:tcPr>
            <w:tcW w:w="1701" w:type="dxa"/>
            <w:vAlign w:val="center"/>
          </w:tcPr>
          <w:p w14:paraId="4FF0F450">
            <w:pPr>
              <w:jc w:val="center"/>
              <w:rPr>
                <w:snapToGrid w:val="0"/>
                <w:color w:val="auto"/>
                <w:kern w:val="21"/>
                <w:szCs w:val="21"/>
                <w:highlight w:val="none"/>
              </w:rPr>
            </w:pPr>
          </w:p>
        </w:tc>
        <w:tc>
          <w:tcPr>
            <w:tcW w:w="1427" w:type="dxa"/>
            <w:vAlign w:val="center"/>
          </w:tcPr>
          <w:p w14:paraId="69D97282">
            <w:pPr>
              <w:pStyle w:val="88"/>
              <w:spacing w:beforeLines="0" w:afterLines="0" w:line="240" w:lineRule="auto"/>
              <w:rPr>
                <w:rFonts w:ascii="Times New Roman"/>
                <w:snapToGrid w:val="0"/>
                <w:color w:val="auto"/>
                <w:kern w:val="21"/>
                <w:szCs w:val="21"/>
                <w:highlight w:val="none"/>
              </w:rPr>
            </w:pPr>
          </w:p>
        </w:tc>
      </w:tr>
      <w:tr w14:paraId="311D785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88" w:type="dxa"/>
            <w:vMerge w:val="continue"/>
            <w:vAlign w:val="center"/>
          </w:tcPr>
          <w:p w14:paraId="77DD437D">
            <w:pPr>
              <w:pStyle w:val="88"/>
              <w:spacing w:beforeLines="0" w:afterLines="0" w:line="240" w:lineRule="auto"/>
              <w:rPr>
                <w:rFonts w:ascii="Times New Roman"/>
                <w:snapToGrid w:val="0"/>
                <w:color w:val="auto"/>
                <w:kern w:val="21"/>
                <w:szCs w:val="21"/>
                <w:highlight w:val="none"/>
              </w:rPr>
            </w:pPr>
          </w:p>
        </w:tc>
        <w:tc>
          <w:tcPr>
            <w:tcW w:w="1586" w:type="dxa"/>
            <w:vAlign w:val="center"/>
          </w:tcPr>
          <w:p w14:paraId="7E730366">
            <w:pPr>
              <w:pStyle w:val="46"/>
              <w:autoSpaceDE/>
              <w:autoSpaceDN/>
              <w:jc w:val="center"/>
              <w:rPr>
                <w:rFonts w:ascii="Times New Roman" w:cs="Times New Roman"/>
                <w:color w:val="auto"/>
                <w:sz w:val="21"/>
                <w:szCs w:val="21"/>
                <w:highlight w:val="none"/>
              </w:rPr>
            </w:pPr>
            <w:r>
              <w:rPr>
                <w:rFonts w:hint="eastAsia" w:ascii="Times New Roman" w:cs="Times New Roman"/>
                <w:color w:val="auto"/>
                <w:sz w:val="21"/>
                <w:szCs w:val="21"/>
                <w:highlight w:val="none"/>
              </w:rPr>
              <w:t>NO</w:t>
            </w:r>
            <w:r>
              <w:rPr>
                <w:rFonts w:hint="eastAsia" w:ascii="Times New Roman" w:cs="Times New Roman"/>
                <w:color w:val="auto"/>
                <w:sz w:val="21"/>
                <w:szCs w:val="21"/>
                <w:highlight w:val="none"/>
                <w:vertAlign w:val="subscript"/>
              </w:rPr>
              <w:t>X</w:t>
            </w:r>
          </w:p>
        </w:tc>
        <w:tc>
          <w:tcPr>
            <w:tcW w:w="1322" w:type="dxa"/>
            <w:vAlign w:val="center"/>
          </w:tcPr>
          <w:p w14:paraId="1D565CF6">
            <w:pPr>
              <w:pStyle w:val="88"/>
              <w:spacing w:beforeLines="0" w:afterLines="0" w:line="240" w:lineRule="auto"/>
              <w:rPr>
                <w:snapToGrid w:val="0"/>
                <w:color w:val="auto"/>
                <w:kern w:val="21"/>
                <w:szCs w:val="21"/>
                <w:highlight w:val="none"/>
              </w:rPr>
            </w:pPr>
          </w:p>
        </w:tc>
        <w:tc>
          <w:tcPr>
            <w:tcW w:w="1486" w:type="dxa"/>
            <w:vAlign w:val="center"/>
          </w:tcPr>
          <w:p w14:paraId="15391B6B">
            <w:pPr>
              <w:pStyle w:val="88"/>
              <w:spacing w:beforeLines="0" w:afterLines="0" w:line="240" w:lineRule="auto"/>
              <w:rPr>
                <w:rFonts w:ascii="Times New Roman"/>
                <w:snapToGrid w:val="0"/>
                <w:color w:val="auto"/>
                <w:kern w:val="21"/>
                <w:szCs w:val="21"/>
                <w:highlight w:val="none"/>
              </w:rPr>
            </w:pPr>
          </w:p>
        </w:tc>
        <w:tc>
          <w:tcPr>
            <w:tcW w:w="1446" w:type="dxa"/>
            <w:vAlign w:val="center"/>
          </w:tcPr>
          <w:p w14:paraId="4ADD8760">
            <w:pPr>
              <w:pStyle w:val="88"/>
              <w:spacing w:beforeLines="0" w:afterLines="0" w:line="240" w:lineRule="auto"/>
              <w:rPr>
                <w:rFonts w:ascii="Times New Roman"/>
                <w:snapToGrid w:val="0"/>
                <w:color w:val="auto"/>
                <w:kern w:val="21"/>
                <w:szCs w:val="21"/>
                <w:highlight w:val="none"/>
              </w:rPr>
            </w:pPr>
          </w:p>
        </w:tc>
        <w:tc>
          <w:tcPr>
            <w:tcW w:w="1405" w:type="dxa"/>
            <w:vAlign w:val="center"/>
          </w:tcPr>
          <w:p w14:paraId="2F9F4DDC">
            <w:pPr>
              <w:widowControl/>
              <w:tabs>
                <w:tab w:val="left" w:pos="2940"/>
              </w:tabs>
              <w:snapToGrid w:val="0"/>
              <w:jc w:val="center"/>
              <w:rPr>
                <w:rFonts w:eastAsia="等线"/>
                <w:bCs/>
                <w:color w:val="auto"/>
                <w:szCs w:val="21"/>
                <w:highlight w:val="none"/>
              </w:rPr>
            </w:pPr>
            <w:r>
              <w:rPr>
                <w:rFonts w:hint="eastAsia"/>
                <w:bCs/>
                <w:color w:val="auto"/>
                <w:szCs w:val="21"/>
                <w:highlight w:val="none"/>
              </w:rPr>
              <w:t>0.357</w:t>
            </w:r>
            <w:r>
              <w:rPr>
                <w:rFonts w:hint="eastAsia"/>
                <w:bCs/>
                <w:color w:val="auto"/>
                <w:szCs w:val="21"/>
                <w:highlight w:val="none"/>
                <w:lang w:bidi="ar"/>
              </w:rPr>
              <w:t>t/a</w:t>
            </w:r>
          </w:p>
        </w:tc>
        <w:tc>
          <w:tcPr>
            <w:tcW w:w="1827" w:type="dxa"/>
            <w:vAlign w:val="center"/>
          </w:tcPr>
          <w:p w14:paraId="0D7ABE8D">
            <w:pPr>
              <w:jc w:val="center"/>
              <w:rPr>
                <w:snapToGrid w:val="0"/>
                <w:color w:val="auto"/>
                <w:kern w:val="21"/>
                <w:szCs w:val="21"/>
                <w:highlight w:val="none"/>
              </w:rPr>
            </w:pPr>
          </w:p>
        </w:tc>
        <w:tc>
          <w:tcPr>
            <w:tcW w:w="1701" w:type="dxa"/>
            <w:vAlign w:val="center"/>
          </w:tcPr>
          <w:p w14:paraId="38ECE198">
            <w:pPr>
              <w:jc w:val="center"/>
              <w:rPr>
                <w:snapToGrid w:val="0"/>
                <w:color w:val="auto"/>
                <w:kern w:val="21"/>
                <w:szCs w:val="21"/>
                <w:highlight w:val="none"/>
              </w:rPr>
            </w:pPr>
          </w:p>
        </w:tc>
        <w:tc>
          <w:tcPr>
            <w:tcW w:w="1427" w:type="dxa"/>
            <w:vAlign w:val="center"/>
          </w:tcPr>
          <w:p w14:paraId="72974ACC">
            <w:pPr>
              <w:pStyle w:val="88"/>
              <w:spacing w:beforeLines="0" w:afterLines="0" w:line="240" w:lineRule="auto"/>
              <w:rPr>
                <w:rFonts w:ascii="Times New Roman"/>
                <w:snapToGrid w:val="0"/>
                <w:color w:val="auto"/>
                <w:kern w:val="21"/>
                <w:szCs w:val="21"/>
                <w:highlight w:val="none"/>
              </w:rPr>
            </w:pPr>
          </w:p>
        </w:tc>
      </w:tr>
      <w:tr w14:paraId="0D3CA0C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88" w:type="dxa"/>
            <w:vMerge w:val="continue"/>
            <w:vAlign w:val="center"/>
          </w:tcPr>
          <w:p w14:paraId="13713E33">
            <w:pPr>
              <w:pStyle w:val="88"/>
              <w:spacing w:beforeLines="0" w:afterLines="0" w:line="240" w:lineRule="auto"/>
              <w:rPr>
                <w:rFonts w:ascii="Times New Roman"/>
                <w:snapToGrid w:val="0"/>
                <w:color w:val="auto"/>
                <w:kern w:val="21"/>
                <w:szCs w:val="21"/>
                <w:highlight w:val="none"/>
              </w:rPr>
            </w:pPr>
          </w:p>
        </w:tc>
        <w:tc>
          <w:tcPr>
            <w:tcW w:w="1586" w:type="dxa"/>
            <w:vAlign w:val="center"/>
          </w:tcPr>
          <w:p w14:paraId="03BC2ABB">
            <w:pPr>
              <w:pStyle w:val="46"/>
              <w:autoSpaceDE/>
              <w:autoSpaceDN/>
              <w:jc w:val="center"/>
              <w:rPr>
                <w:rFonts w:hint="default" w:ascii="Times New Roman" w:eastAsia="宋体" w:cs="Times New Roman"/>
                <w:color w:val="auto"/>
                <w:sz w:val="21"/>
                <w:szCs w:val="21"/>
                <w:highlight w:val="none"/>
                <w:lang w:val="en-US" w:eastAsia="zh-CN"/>
              </w:rPr>
            </w:pPr>
            <w:r>
              <w:rPr>
                <w:rFonts w:hint="eastAsia" w:ascii="Times New Roman" w:cs="Times New Roman"/>
                <w:color w:val="auto"/>
                <w:sz w:val="21"/>
                <w:szCs w:val="21"/>
                <w:highlight w:val="none"/>
                <w:lang w:val="en-US" w:eastAsia="zh-CN"/>
              </w:rPr>
              <w:t>NH</w:t>
            </w:r>
            <w:r>
              <w:rPr>
                <w:rFonts w:hint="eastAsia" w:ascii="Times New Roman" w:cs="Times New Roman"/>
                <w:color w:val="auto"/>
                <w:sz w:val="21"/>
                <w:szCs w:val="21"/>
                <w:highlight w:val="none"/>
                <w:vertAlign w:val="subscript"/>
                <w:lang w:val="en-US" w:eastAsia="zh-CN"/>
              </w:rPr>
              <w:t>3</w:t>
            </w:r>
          </w:p>
        </w:tc>
        <w:tc>
          <w:tcPr>
            <w:tcW w:w="1322" w:type="dxa"/>
            <w:vAlign w:val="center"/>
          </w:tcPr>
          <w:p w14:paraId="293B7174">
            <w:pPr>
              <w:pStyle w:val="88"/>
              <w:spacing w:beforeLines="0" w:afterLines="0" w:line="240" w:lineRule="auto"/>
              <w:rPr>
                <w:snapToGrid w:val="0"/>
                <w:color w:val="auto"/>
                <w:kern w:val="21"/>
                <w:szCs w:val="21"/>
                <w:highlight w:val="none"/>
              </w:rPr>
            </w:pPr>
          </w:p>
        </w:tc>
        <w:tc>
          <w:tcPr>
            <w:tcW w:w="1486" w:type="dxa"/>
            <w:vAlign w:val="center"/>
          </w:tcPr>
          <w:p w14:paraId="77963FAF">
            <w:pPr>
              <w:pStyle w:val="88"/>
              <w:spacing w:beforeLines="0" w:afterLines="0" w:line="240" w:lineRule="auto"/>
              <w:rPr>
                <w:rFonts w:ascii="Times New Roman"/>
                <w:snapToGrid w:val="0"/>
                <w:color w:val="auto"/>
                <w:kern w:val="21"/>
                <w:szCs w:val="21"/>
                <w:highlight w:val="none"/>
              </w:rPr>
            </w:pPr>
          </w:p>
        </w:tc>
        <w:tc>
          <w:tcPr>
            <w:tcW w:w="1446" w:type="dxa"/>
            <w:vAlign w:val="center"/>
          </w:tcPr>
          <w:p w14:paraId="56A16BCF">
            <w:pPr>
              <w:pStyle w:val="88"/>
              <w:spacing w:beforeLines="0" w:afterLines="0" w:line="240" w:lineRule="auto"/>
              <w:rPr>
                <w:rFonts w:ascii="Times New Roman"/>
                <w:snapToGrid w:val="0"/>
                <w:color w:val="auto"/>
                <w:kern w:val="21"/>
                <w:szCs w:val="21"/>
                <w:highlight w:val="none"/>
              </w:rPr>
            </w:pPr>
          </w:p>
        </w:tc>
        <w:tc>
          <w:tcPr>
            <w:tcW w:w="1405" w:type="dxa"/>
            <w:vAlign w:val="center"/>
          </w:tcPr>
          <w:p w14:paraId="44C4FF11">
            <w:pPr>
              <w:widowControl/>
              <w:tabs>
                <w:tab w:val="left" w:pos="2940"/>
              </w:tabs>
              <w:snapToGrid w:val="0"/>
              <w:jc w:val="center"/>
              <w:rPr>
                <w:rFonts w:hint="eastAsia"/>
                <w:bCs/>
                <w:color w:val="auto"/>
                <w:szCs w:val="21"/>
                <w:highlight w:val="none"/>
              </w:rPr>
            </w:pPr>
            <w:r>
              <w:rPr>
                <w:rFonts w:hint="eastAsia"/>
                <w:bCs/>
                <w:color w:val="auto"/>
                <w:szCs w:val="21"/>
                <w:highlight w:val="none"/>
              </w:rPr>
              <w:t>0.00837</w:t>
            </w:r>
            <w:r>
              <w:rPr>
                <w:rFonts w:hint="eastAsia"/>
                <w:bCs/>
                <w:color w:val="auto"/>
                <w:szCs w:val="21"/>
                <w:highlight w:val="none"/>
                <w:lang w:bidi="ar"/>
              </w:rPr>
              <w:t>t/a</w:t>
            </w:r>
          </w:p>
        </w:tc>
        <w:tc>
          <w:tcPr>
            <w:tcW w:w="1827" w:type="dxa"/>
            <w:vAlign w:val="center"/>
          </w:tcPr>
          <w:p w14:paraId="5791A410">
            <w:pPr>
              <w:jc w:val="center"/>
              <w:rPr>
                <w:snapToGrid w:val="0"/>
                <w:color w:val="auto"/>
                <w:kern w:val="21"/>
                <w:szCs w:val="21"/>
                <w:highlight w:val="none"/>
              </w:rPr>
            </w:pPr>
          </w:p>
        </w:tc>
        <w:tc>
          <w:tcPr>
            <w:tcW w:w="1701" w:type="dxa"/>
            <w:vAlign w:val="center"/>
          </w:tcPr>
          <w:p w14:paraId="5720FC9D">
            <w:pPr>
              <w:jc w:val="center"/>
              <w:rPr>
                <w:snapToGrid w:val="0"/>
                <w:color w:val="auto"/>
                <w:kern w:val="21"/>
                <w:szCs w:val="21"/>
                <w:highlight w:val="none"/>
              </w:rPr>
            </w:pPr>
          </w:p>
        </w:tc>
        <w:tc>
          <w:tcPr>
            <w:tcW w:w="1427" w:type="dxa"/>
            <w:vAlign w:val="center"/>
          </w:tcPr>
          <w:p w14:paraId="196529EE">
            <w:pPr>
              <w:pStyle w:val="88"/>
              <w:spacing w:beforeLines="0" w:afterLines="0" w:line="240" w:lineRule="auto"/>
              <w:rPr>
                <w:rFonts w:ascii="Times New Roman"/>
                <w:snapToGrid w:val="0"/>
                <w:color w:val="auto"/>
                <w:kern w:val="21"/>
                <w:szCs w:val="21"/>
                <w:highlight w:val="none"/>
              </w:rPr>
            </w:pPr>
          </w:p>
        </w:tc>
      </w:tr>
      <w:tr w14:paraId="415C809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88" w:type="dxa"/>
            <w:vMerge w:val="continue"/>
            <w:vAlign w:val="center"/>
          </w:tcPr>
          <w:p w14:paraId="4E219CF1">
            <w:pPr>
              <w:pStyle w:val="88"/>
              <w:spacing w:beforeLines="0" w:afterLines="0" w:line="240" w:lineRule="auto"/>
              <w:rPr>
                <w:rFonts w:ascii="Times New Roman"/>
                <w:snapToGrid w:val="0"/>
                <w:color w:val="auto"/>
                <w:kern w:val="21"/>
                <w:szCs w:val="21"/>
                <w:highlight w:val="none"/>
              </w:rPr>
            </w:pPr>
          </w:p>
        </w:tc>
        <w:tc>
          <w:tcPr>
            <w:tcW w:w="1586" w:type="dxa"/>
            <w:vAlign w:val="center"/>
          </w:tcPr>
          <w:p w14:paraId="59F0E74F">
            <w:pPr>
              <w:pStyle w:val="46"/>
              <w:autoSpaceDE/>
              <w:autoSpaceDN/>
              <w:jc w:val="center"/>
              <w:rPr>
                <w:rFonts w:hint="default" w:ascii="Times New Roman" w:eastAsia="宋体" w:cs="Times New Roman"/>
                <w:color w:val="auto"/>
                <w:sz w:val="21"/>
                <w:szCs w:val="21"/>
                <w:highlight w:val="none"/>
                <w:lang w:val="en-US" w:eastAsia="zh-CN"/>
              </w:rPr>
            </w:pPr>
            <w:r>
              <w:rPr>
                <w:rFonts w:hint="eastAsia" w:ascii="Times New Roman" w:cs="Times New Roman"/>
                <w:color w:val="auto"/>
                <w:sz w:val="21"/>
                <w:szCs w:val="21"/>
                <w:highlight w:val="none"/>
                <w:lang w:val="en-US" w:eastAsia="zh-CN"/>
              </w:rPr>
              <w:t>H</w:t>
            </w:r>
            <w:r>
              <w:rPr>
                <w:rFonts w:hint="eastAsia" w:ascii="Times New Roman" w:cs="Times New Roman"/>
                <w:color w:val="auto"/>
                <w:sz w:val="21"/>
                <w:szCs w:val="21"/>
                <w:highlight w:val="none"/>
                <w:vertAlign w:val="subscript"/>
                <w:lang w:val="en-US" w:eastAsia="zh-CN"/>
              </w:rPr>
              <w:t>2</w:t>
            </w:r>
            <w:r>
              <w:rPr>
                <w:rFonts w:hint="eastAsia" w:ascii="Times New Roman" w:cs="Times New Roman"/>
                <w:color w:val="auto"/>
                <w:sz w:val="21"/>
                <w:szCs w:val="21"/>
                <w:highlight w:val="none"/>
                <w:lang w:val="en-US" w:eastAsia="zh-CN"/>
              </w:rPr>
              <w:t>S</w:t>
            </w:r>
          </w:p>
        </w:tc>
        <w:tc>
          <w:tcPr>
            <w:tcW w:w="1322" w:type="dxa"/>
            <w:vAlign w:val="center"/>
          </w:tcPr>
          <w:p w14:paraId="574C9D1C">
            <w:pPr>
              <w:pStyle w:val="88"/>
              <w:spacing w:beforeLines="0" w:afterLines="0" w:line="240" w:lineRule="auto"/>
              <w:rPr>
                <w:snapToGrid w:val="0"/>
                <w:color w:val="auto"/>
                <w:kern w:val="21"/>
                <w:szCs w:val="21"/>
                <w:highlight w:val="none"/>
              </w:rPr>
            </w:pPr>
          </w:p>
        </w:tc>
        <w:tc>
          <w:tcPr>
            <w:tcW w:w="1486" w:type="dxa"/>
            <w:vAlign w:val="center"/>
          </w:tcPr>
          <w:p w14:paraId="629CE5C2">
            <w:pPr>
              <w:pStyle w:val="88"/>
              <w:spacing w:beforeLines="0" w:afterLines="0" w:line="240" w:lineRule="auto"/>
              <w:rPr>
                <w:rFonts w:ascii="Times New Roman"/>
                <w:snapToGrid w:val="0"/>
                <w:color w:val="auto"/>
                <w:kern w:val="21"/>
                <w:szCs w:val="21"/>
                <w:highlight w:val="none"/>
              </w:rPr>
            </w:pPr>
          </w:p>
        </w:tc>
        <w:tc>
          <w:tcPr>
            <w:tcW w:w="1446" w:type="dxa"/>
            <w:vAlign w:val="center"/>
          </w:tcPr>
          <w:p w14:paraId="219DEFA2">
            <w:pPr>
              <w:pStyle w:val="88"/>
              <w:spacing w:beforeLines="0" w:afterLines="0" w:line="240" w:lineRule="auto"/>
              <w:rPr>
                <w:rFonts w:ascii="Times New Roman"/>
                <w:snapToGrid w:val="0"/>
                <w:color w:val="auto"/>
                <w:kern w:val="21"/>
                <w:szCs w:val="21"/>
                <w:highlight w:val="none"/>
              </w:rPr>
            </w:pPr>
          </w:p>
        </w:tc>
        <w:tc>
          <w:tcPr>
            <w:tcW w:w="1405" w:type="dxa"/>
            <w:vAlign w:val="center"/>
          </w:tcPr>
          <w:p w14:paraId="2A9C29BF">
            <w:pPr>
              <w:widowControl/>
              <w:tabs>
                <w:tab w:val="left" w:pos="2940"/>
              </w:tabs>
              <w:snapToGrid w:val="0"/>
              <w:jc w:val="center"/>
              <w:rPr>
                <w:rFonts w:hint="eastAsia"/>
                <w:bCs/>
                <w:color w:val="auto"/>
                <w:szCs w:val="21"/>
                <w:highlight w:val="none"/>
              </w:rPr>
            </w:pPr>
            <w:r>
              <w:rPr>
                <w:rFonts w:hint="eastAsia"/>
                <w:bCs/>
                <w:color w:val="auto"/>
                <w:szCs w:val="21"/>
                <w:highlight w:val="none"/>
              </w:rPr>
              <w:t>0.000324</w:t>
            </w:r>
            <w:r>
              <w:rPr>
                <w:rFonts w:hint="eastAsia"/>
                <w:bCs/>
                <w:color w:val="auto"/>
                <w:szCs w:val="21"/>
                <w:highlight w:val="none"/>
                <w:lang w:bidi="ar"/>
              </w:rPr>
              <w:t>t/a</w:t>
            </w:r>
          </w:p>
        </w:tc>
        <w:tc>
          <w:tcPr>
            <w:tcW w:w="1827" w:type="dxa"/>
            <w:vAlign w:val="center"/>
          </w:tcPr>
          <w:p w14:paraId="52E0DEDB">
            <w:pPr>
              <w:jc w:val="center"/>
              <w:rPr>
                <w:snapToGrid w:val="0"/>
                <w:color w:val="auto"/>
                <w:kern w:val="21"/>
                <w:szCs w:val="21"/>
                <w:highlight w:val="none"/>
              </w:rPr>
            </w:pPr>
          </w:p>
        </w:tc>
        <w:tc>
          <w:tcPr>
            <w:tcW w:w="1701" w:type="dxa"/>
            <w:vAlign w:val="center"/>
          </w:tcPr>
          <w:p w14:paraId="7BA7894C">
            <w:pPr>
              <w:jc w:val="center"/>
              <w:rPr>
                <w:snapToGrid w:val="0"/>
                <w:color w:val="auto"/>
                <w:kern w:val="21"/>
                <w:szCs w:val="21"/>
                <w:highlight w:val="none"/>
              </w:rPr>
            </w:pPr>
          </w:p>
        </w:tc>
        <w:tc>
          <w:tcPr>
            <w:tcW w:w="1427" w:type="dxa"/>
            <w:vAlign w:val="center"/>
          </w:tcPr>
          <w:p w14:paraId="465A8748">
            <w:pPr>
              <w:pStyle w:val="88"/>
              <w:spacing w:beforeLines="0" w:afterLines="0" w:line="240" w:lineRule="auto"/>
              <w:rPr>
                <w:rFonts w:ascii="Times New Roman"/>
                <w:snapToGrid w:val="0"/>
                <w:color w:val="auto"/>
                <w:kern w:val="21"/>
                <w:szCs w:val="21"/>
                <w:highlight w:val="none"/>
              </w:rPr>
            </w:pPr>
          </w:p>
        </w:tc>
      </w:tr>
      <w:tr w14:paraId="1F50827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88" w:type="dxa"/>
            <w:vMerge w:val="continue"/>
            <w:vAlign w:val="center"/>
          </w:tcPr>
          <w:p w14:paraId="131CDC73">
            <w:pPr>
              <w:pStyle w:val="88"/>
              <w:spacing w:beforeLines="0" w:afterLines="0" w:line="240" w:lineRule="auto"/>
              <w:rPr>
                <w:rFonts w:ascii="Times New Roman"/>
                <w:snapToGrid w:val="0"/>
                <w:color w:val="auto"/>
                <w:kern w:val="21"/>
                <w:szCs w:val="21"/>
                <w:highlight w:val="none"/>
              </w:rPr>
            </w:pPr>
          </w:p>
        </w:tc>
        <w:tc>
          <w:tcPr>
            <w:tcW w:w="1586" w:type="dxa"/>
            <w:vAlign w:val="center"/>
          </w:tcPr>
          <w:p w14:paraId="3F6125A7">
            <w:pPr>
              <w:pStyle w:val="46"/>
              <w:autoSpaceDE/>
              <w:autoSpaceDN/>
              <w:jc w:val="center"/>
              <w:rPr>
                <w:rFonts w:ascii="Times New Roman" w:cs="Times New Roman"/>
                <w:color w:val="auto"/>
                <w:sz w:val="21"/>
                <w:szCs w:val="21"/>
                <w:highlight w:val="none"/>
              </w:rPr>
            </w:pPr>
            <w:r>
              <w:rPr>
                <w:rFonts w:hint="eastAsia" w:ascii="Times New Roman" w:cs="Times New Roman"/>
                <w:color w:val="auto"/>
                <w:sz w:val="21"/>
                <w:szCs w:val="21"/>
                <w:highlight w:val="none"/>
              </w:rPr>
              <w:t>油烟</w:t>
            </w:r>
          </w:p>
        </w:tc>
        <w:tc>
          <w:tcPr>
            <w:tcW w:w="1322" w:type="dxa"/>
            <w:vAlign w:val="center"/>
          </w:tcPr>
          <w:p w14:paraId="0CEE5602">
            <w:pPr>
              <w:pStyle w:val="88"/>
              <w:spacing w:beforeLines="0" w:afterLines="0" w:line="240" w:lineRule="auto"/>
              <w:rPr>
                <w:rFonts w:ascii="Times New Roman" w:eastAsia="等线"/>
                <w:bCs/>
                <w:color w:val="auto"/>
                <w:szCs w:val="21"/>
                <w:highlight w:val="none"/>
              </w:rPr>
            </w:pPr>
          </w:p>
        </w:tc>
        <w:tc>
          <w:tcPr>
            <w:tcW w:w="1486" w:type="dxa"/>
            <w:vAlign w:val="center"/>
          </w:tcPr>
          <w:p w14:paraId="2E663224">
            <w:pPr>
              <w:pStyle w:val="88"/>
              <w:spacing w:beforeLines="0" w:afterLines="0" w:line="240" w:lineRule="auto"/>
              <w:rPr>
                <w:rFonts w:ascii="Times New Roman"/>
                <w:snapToGrid w:val="0"/>
                <w:color w:val="auto"/>
                <w:kern w:val="21"/>
                <w:szCs w:val="21"/>
                <w:highlight w:val="none"/>
              </w:rPr>
            </w:pPr>
          </w:p>
        </w:tc>
        <w:tc>
          <w:tcPr>
            <w:tcW w:w="1446" w:type="dxa"/>
            <w:vAlign w:val="center"/>
          </w:tcPr>
          <w:p w14:paraId="219E5763">
            <w:pPr>
              <w:pStyle w:val="88"/>
              <w:spacing w:beforeLines="0" w:afterLines="0" w:line="240" w:lineRule="auto"/>
              <w:rPr>
                <w:rFonts w:ascii="Times New Roman"/>
                <w:snapToGrid w:val="0"/>
                <w:color w:val="auto"/>
                <w:kern w:val="21"/>
                <w:szCs w:val="21"/>
                <w:highlight w:val="none"/>
              </w:rPr>
            </w:pPr>
          </w:p>
        </w:tc>
        <w:tc>
          <w:tcPr>
            <w:tcW w:w="1405" w:type="dxa"/>
            <w:vAlign w:val="center"/>
          </w:tcPr>
          <w:p w14:paraId="528B2F4E">
            <w:pPr>
              <w:jc w:val="center"/>
              <w:rPr>
                <w:rFonts w:eastAsia="等线"/>
                <w:bCs/>
                <w:color w:val="auto"/>
                <w:szCs w:val="21"/>
                <w:highlight w:val="none"/>
              </w:rPr>
            </w:pPr>
            <w:r>
              <w:rPr>
                <w:rFonts w:hint="eastAsia" w:eastAsia="等线"/>
                <w:bCs/>
                <w:color w:val="auto"/>
                <w:szCs w:val="21"/>
                <w:highlight w:val="none"/>
              </w:rPr>
              <w:t>0.0</w:t>
            </w:r>
            <w:r>
              <w:rPr>
                <w:rFonts w:hint="eastAsia" w:eastAsia="等线"/>
                <w:bCs/>
                <w:color w:val="auto"/>
                <w:szCs w:val="21"/>
                <w:highlight w:val="none"/>
                <w:lang w:val="en-US" w:eastAsia="zh-CN"/>
              </w:rPr>
              <w:t>177</w:t>
            </w:r>
            <w:r>
              <w:rPr>
                <w:rFonts w:hint="eastAsia" w:eastAsia="等线"/>
                <w:bCs/>
                <w:color w:val="auto"/>
                <w:szCs w:val="21"/>
                <w:highlight w:val="none"/>
              </w:rPr>
              <w:t>t/a</w:t>
            </w:r>
          </w:p>
        </w:tc>
        <w:tc>
          <w:tcPr>
            <w:tcW w:w="1827" w:type="dxa"/>
            <w:vAlign w:val="center"/>
          </w:tcPr>
          <w:p w14:paraId="40A2A1F8">
            <w:pPr>
              <w:jc w:val="center"/>
              <w:rPr>
                <w:snapToGrid w:val="0"/>
                <w:color w:val="auto"/>
                <w:kern w:val="21"/>
                <w:szCs w:val="21"/>
                <w:highlight w:val="none"/>
              </w:rPr>
            </w:pPr>
          </w:p>
        </w:tc>
        <w:tc>
          <w:tcPr>
            <w:tcW w:w="1701" w:type="dxa"/>
            <w:vAlign w:val="center"/>
          </w:tcPr>
          <w:p w14:paraId="3A2C90BE">
            <w:pPr>
              <w:jc w:val="center"/>
              <w:rPr>
                <w:rFonts w:eastAsia="等线"/>
                <w:bCs/>
                <w:color w:val="auto"/>
                <w:szCs w:val="21"/>
                <w:highlight w:val="none"/>
              </w:rPr>
            </w:pPr>
          </w:p>
        </w:tc>
        <w:tc>
          <w:tcPr>
            <w:tcW w:w="1427" w:type="dxa"/>
            <w:vAlign w:val="center"/>
          </w:tcPr>
          <w:p w14:paraId="5AB9A735">
            <w:pPr>
              <w:pStyle w:val="88"/>
              <w:spacing w:beforeLines="0" w:afterLines="0" w:line="240" w:lineRule="auto"/>
              <w:rPr>
                <w:rFonts w:ascii="Times New Roman"/>
                <w:snapToGrid w:val="0"/>
                <w:color w:val="auto"/>
                <w:kern w:val="21"/>
                <w:szCs w:val="21"/>
                <w:highlight w:val="none"/>
              </w:rPr>
            </w:pPr>
          </w:p>
        </w:tc>
      </w:tr>
      <w:tr w14:paraId="3048FAB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88" w:type="dxa"/>
            <w:vMerge w:val="restart"/>
            <w:vAlign w:val="center"/>
          </w:tcPr>
          <w:p w14:paraId="6EA9930D">
            <w:pPr>
              <w:pStyle w:val="88"/>
              <w:spacing w:beforeLines="0" w:afterLines="0" w:line="240" w:lineRule="auto"/>
              <w:rPr>
                <w:rFonts w:ascii="Times New Roman"/>
                <w:snapToGrid w:val="0"/>
                <w:color w:val="auto"/>
                <w:kern w:val="21"/>
                <w:szCs w:val="21"/>
                <w:highlight w:val="none"/>
              </w:rPr>
            </w:pPr>
            <w:r>
              <w:rPr>
                <w:rFonts w:ascii="Times New Roman"/>
                <w:snapToGrid w:val="0"/>
                <w:color w:val="auto"/>
                <w:kern w:val="21"/>
                <w:szCs w:val="21"/>
                <w:highlight w:val="none"/>
              </w:rPr>
              <w:t>废水</w:t>
            </w:r>
          </w:p>
        </w:tc>
        <w:tc>
          <w:tcPr>
            <w:tcW w:w="1586" w:type="dxa"/>
            <w:vAlign w:val="center"/>
          </w:tcPr>
          <w:p w14:paraId="7A7B3DAC">
            <w:pPr>
              <w:pStyle w:val="88"/>
              <w:spacing w:beforeLines="0" w:afterLines="0" w:line="240" w:lineRule="auto"/>
              <w:rPr>
                <w:rFonts w:ascii="Times New Roman"/>
                <w:snapToGrid w:val="0"/>
                <w:color w:val="auto"/>
                <w:kern w:val="21"/>
                <w:szCs w:val="21"/>
                <w:highlight w:val="none"/>
              </w:rPr>
            </w:pPr>
            <w:r>
              <w:rPr>
                <w:rFonts w:hint="eastAsia" w:ascii="Times New Roman"/>
                <w:snapToGrid w:val="0"/>
                <w:color w:val="auto"/>
                <w:kern w:val="21"/>
                <w:szCs w:val="21"/>
                <w:highlight w:val="none"/>
              </w:rPr>
              <w:t>生产废水</w:t>
            </w:r>
          </w:p>
        </w:tc>
        <w:tc>
          <w:tcPr>
            <w:tcW w:w="1322" w:type="dxa"/>
            <w:vAlign w:val="center"/>
          </w:tcPr>
          <w:p w14:paraId="64F9FBAC">
            <w:pPr>
              <w:pStyle w:val="88"/>
              <w:spacing w:beforeLines="0" w:afterLines="0" w:line="240" w:lineRule="auto"/>
              <w:rPr>
                <w:rFonts w:ascii="Times New Roman"/>
                <w:snapToGrid w:val="0"/>
                <w:color w:val="auto"/>
                <w:kern w:val="21"/>
                <w:szCs w:val="21"/>
                <w:highlight w:val="none"/>
              </w:rPr>
            </w:pPr>
          </w:p>
        </w:tc>
        <w:tc>
          <w:tcPr>
            <w:tcW w:w="1486" w:type="dxa"/>
            <w:vAlign w:val="center"/>
          </w:tcPr>
          <w:p w14:paraId="6538EFFD">
            <w:pPr>
              <w:pStyle w:val="88"/>
              <w:spacing w:beforeLines="0" w:afterLines="0" w:line="240" w:lineRule="auto"/>
              <w:rPr>
                <w:rFonts w:ascii="Times New Roman"/>
                <w:snapToGrid w:val="0"/>
                <w:color w:val="auto"/>
                <w:kern w:val="21"/>
                <w:szCs w:val="21"/>
                <w:highlight w:val="none"/>
              </w:rPr>
            </w:pPr>
          </w:p>
        </w:tc>
        <w:tc>
          <w:tcPr>
            <w:tcW w:w="1446" w:type="dxa"/>
            <w:vAlign w:val="center"/>
          </w:tcPr>
          <w:p w14:paraId="545BBC70">
            <w:pPr>
              <w:pStyle w:val="88"/>
              <w:spacing w:beforeLines="0" w:afterLines="0" w:line="240" w:lineRule="auto"/>
              <w:rPr>
                <w:rFonts w:ascii="Times New Roman"/>
                <w:snapToGrid w:val="0"/>
                <w:color w:val="auto"/>
                <w:kern w:val="21"/>
                <w:szCs w:val="21"/>
                <w:highlight w:val="none"/>
              </w:rPr>
            </w:pPr>
          </w:p>
        </w:tc>
        <w:tc>
          <w:tcPr>
            <w:tcW w:w="1405" w:type="dxa"/>
            <w:vAlign w:val="center"/>
          </w:tcPr>
          <w:p w14:paraId="5E58F45F">
            <w:pPr>
              <w:jc w:val="center"/>
              <w:rPr>
                <w:snapToGrid w:val="0"/>
                <w:color w:val="auto"/>
                <w:kern w:val="21"/>
                <w:szCs w:val="21"/>
                <w:highlight w:val="none"/>
              </w:rPr>
            </w:pPr>
            <w:r>
              <w:rPr>
                <w:rFonts w:hint="eastAsia" w:eastAsia="等线"/>
                <w:bCs/>
                <w:color w:val="auto"/>
                <w:szCs w:val="21"/>
                <w:highlight w:val="none"/>
              </w:rPr>
              <w:t>0</w:t>
            </w:r>
          </w:p>
        </w:tc>
        <w:tc>
          <w:tcPr>
            <w:tcW w:w="1827" w:type="dxa"/>
            <w:vAlign w:val="center"/>
          </w:tcPr>
          <w:p w14:paraId="15A3B8A1">
            <w:pPr>
              <w:pStyle w:val="88"/>
              <w:spacing w:beforeLines="0" w:afterLines="0" w:line="240" w:lineRule="auto"/>
              <w:rPr>
                <w:rFonts w:ascii="Times New Roman"/>
                <w:snapToGrid w:val="0"/>
                <w:color w:val="auto"/>
                <w:kern w:val="21"/>
                <w:szCs w:val="21"/>
                <w:highlight w:val="none"/>
              </w:rPr>
            </w:pPr>
          </w:p>
        </w:tc>
        <w:tc>
          <w:tcPr>
            <w:tcW w:w="1701" w:type="dxa"/>
            <w:vAlign w:val="center"/>
          </w:tcPr>
          <w:p w14:paraId="44EEC357">
            <w:pPr>
              <w:jc w:val="center"/>
              <w:rPr>
                <w:snapToGrid w:val="0"/>
                <w:color w:val="auto"/>
                <w:kern w:val="21"/>
                <w:szCs w:val="21"/>
                <w:highlight w:val="none"/>
              </w:rPr>
            </w:pPr>
          </w:p>
        </w:tc>
        <w:tc>
          <w:tcPr>
            <w:tcW w:w="1427" w:type="dxa"/>
            <w:vAlign w:val="center"/>
          </w:tcPr>
          <w:p w14:paraId="16C8CC0E">
            <w:pPr>
              <w:pStyle w:val="88"/>
              <w:spacing w:beforeLines="0" w:afterLines="0" w:line="240" w:lineRule="auto"/>
              <w:rPr>
                <w:rFonts w:ascii="Times New Roman"/>
                <w:snapToGrid w:val="0"/>
                <w:color w:val="auto"/>
                <w:kern w:val="21"/>
                <w:szCs w:val="21"/>
                <w:highlight w:val="none"/>
              </w:rPr>
            </w:pPr>
          </w:p>
        </w:tc>
      </w:tr>
      <w:tr w14:paraId="450605A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88" w:type="dxa"/>
            <w:vMerge w:val="continue"/>
            <w:vAlign w:val="center"/>
          </w:tcPr>
          <w:p w14:paraId="7AC64EAF">
            <w:pPr>
              <w:pStyle w:val="88"/>
              <w:spacing w:beforeLines="0" w:afterLines="0" w:line="240" w:lineRule="auto"/>
              <w:rPr>
                <w:rFonts w:ascii="Times New Roman"/>
                <w:snapToGrid w:val="0"/>
                <w:color w:val="auto"/>
                <w:kern w:val="21"/>
                <w:szCs w:val="21"/>
                <w:highlight w:val="none"/>
              </w:rPr>
            </w:pPr>
          </w:p>
        </w:tc>
        <w:tc>
          <w:tcPr>
            <w:tcW w:w="1586" w:type="dxa"/>
            <w:vAlign w:val="center"/>
          </w:tcPr>
          <w:p w14:paraId="24C58F7B">
            <w:pPr>
              <w:pStyle w:val="88"/>
              <w:spacing w:beforeLines="0" w:afterLines="0" w:line="240" w:lineRule="auto"/>
              <w:rPr>
                <w:rFonts w:ascii="Times New Roman"/>
                <w:snapToGrid w:val="0"/>
                <w:color w:val="auto"/>
                <w:kern w:val="21"/>
                <w:szCs w:val="21"/>
                <w:highlight w:val="none"/>
              </w:rPr>
            </w:pPr>
            <w:r>
              <w:rPr>
                <w:rFonts w:ascii="Times New Roman"/>
                <w:snapToGrid w:val="0"/>
                <w:color w:val="auto"/>
                <w:kern w:val="21"/>
                <w:szCs w:val="21"/>
                <w:highlight w:val="none"/>
              </w:rPr>
              <w:t>生活废水</w:t>
            </w:r>
          </w:p>
        </w:tc>
        <w:tc>
          <w:tcPr>
            <w:tcW w:w="1322" w:type="dxa"/>
            <w:vAlign w:val="center"/>
          </w:tcPr>
          <w:p w14:paraId="4A1E178F">
            <w:pPr>
              <w:pStyle w:val="88"/>
              <w:spacing w:beforeLines="0" w:afterLines="0" w:line="240" w:lineRule="auto"/>
              <w:rPr>
                <w:rFonts w:ascii="Times New Roman"/>
                <w:snapToGrid w:val="0"/>
                <w:color w:val="auto"/>
                <w:kern w:val="21"/>
                <w:szCs w:val="21"/>
                <w:highlight w:val="none"/>
              </w:rPr>
            </w:pPr>
          </w:p>
        </w:tc>
        <w:tc>
          <w:tcPr>
            <w:tcW w:w="1486" w:type="dxa"/>
            <w:vAlign w:val="center"/>
          </w:tcPr>
          <w:p w14:paraId="7F7A936D">
            <w:pPr>
              <w:pStyle w:val="88"/>
              <w:spacing w:beforeLines="0" w:afterLines="0" w:line="240" w:lineRule="auto"/>
              <w:rPr>
                <w:rFonts w:ascii="Times New Roman"/>
                <w:snapToGrid w:val="0"/>
                <w:color w:val="auto"/>
                <w:kern w:val="21"/>
                <w:szCs w:val="21"/>
                <w:highlight w:val="none"/>
              </w:rPr>
            </w:pPr>
          </w:p>
        </w:tc>
        <w:tc>
          <w:tcPr>
            <w:tcW w:w="1446" w:type="dxa"/>
            <w:vAlign w:val="center"/>
          </w:tcPr>
          <w:p w14:paraId="1C76AB92">
            <w:pPr>
              <w:pStyle w:val="88"/>
              <w:spacing w:beforeLines="0" w:afterLines="0" w:line="240" w:lineRule="auto"/>
              <w:rPr>
                <w:rFonts w:ascii="Times New Roman"/>
                <w:snapToGrid w:val="0"/>
                <w:color w:val="auto"/>
                <w:kern w:val="21"/>
                <w:szCs w:val="21"/>
                <w:highlight w:val="none"/>
              </w:rPr>
            </w:pPr>
          </w:p>
        </w:tc>
        <w:tc>
          <w:tcPr>
            <w:tcW w:w="1405" w:type="dxa"/>
            <w:vAlign w:val="center"/>
          </w:tcPr>
          <w:p w14:paraId="0FA0B3F8">
            <w:pPr>
              <w:jc w:val="center"/>
              <w:rPr>
                <w:snapToGrid w:val="0"/>
                <w:color w:val="auto"/>
                <w:kern w:val="21"/>
                <w:szCs w:val="21"/>
                <w:highlight w:val="none"/>
              </w:rPr>
            </w:pPr>
            <w:r>
              <w:rPr>
                <w:rFonts w:hint="eastAsia" w:eastAsia="等线"/>
                <w:bCs/>
                <w:color w:val="auto"/>
                <w:szCs w:val="21"/>
                <w:highlight w:val="none"/>
              </w:rPr>
              <w:t>0</w:t>
            </w:r>
          </w:p>
        </w:tc>
        <w:tc>
          <w:tcPr>
            <w:tcW w:w="1827" w:type="dxa"/>
            <w:vAlign w:val="center"/>
          </w:tcPr>
          <w:p w14:paraId="2324DFDA">
            <w:pPr>
              <w:pStyle w:val="88"/>
              <w:spacing w:beforeLines="0" w:afterLines="0" w:line="240" w:lineRule="auto"/>
              <w:rPr>
                <w:rFonts w:ascii="Times New Roman"/>
                <w:snapToGrid w:val="0"/>
                <w:color w:val="auto"/>
                <w:kern w:val="21"/>
                <w:szCs w:val="21"/>
                <w:highlight w:val="none"/>
              </w:rPr>
            </w:pPr>
          </w:p>
        </w:tc>
        <w:tc>
          <w:tcPr>
            <w:tcW w:w="1701" w:type="dxa"/>
            <w:vAlign w:val="center"/>
          </w:tcPr>
          <w:p w14:paraId="58AC6EDB">
            <w:pPr>
              <w:jc w:val="center"/>
              <w:rPr>
                <w:snapToGrid w:val="0"/>
                <w:color w:val="auto"/>
                <w:kern w:val="21"/>
                <w:szCs w:val="21"/>
                <w:highlight w:val="none"/>
              </w:rPr>
            </w:pPr>
          </w:p>
        </w:tc>
        <w:tc>
          <w:tcPr>
            <w:tcW w:w="1427" w:type="dxa"/>
            <w:vAlign w:val="center"/>
          </w:tcPr>
          <w:p w14:paraId="6A25BE65">
            <w:pPr>
              <w:pStyle w:val="88"/>
              <w:spacing w:beforeLines="0" w:afterLines="0" w:line="240" w:lineRule="auto"/>
              <w:rPr>
                <w:rFonts w:ascii="Times New Roman"/>
                <w:snapToGrid w:val="0"/>
                <w:color w:val="auto"/>
                <w:kern w:val="21"/>
                <w:szCs w:val="21"/>
                <w:highlight w:val="none"/>
              </w:rPr>
            </w:pPr>
          </w:p>
        </w:tc>
      </w:tr>
      <w:tr w14:paraId="07AE06E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88" w:type="dxa"/>
            <w:vAlign w:val="center"/>
          </w:tcPr>
          <w:p w14:paraId="1314A7A6">
            <w:pPr>
              <w:pStyle w:val="88"/>
              <w:spacing w:beforeLines="0" w:afterLines="0" w:line="240" w:lineRule="auto"/>
              <w:rPr>
                <w:rFonts w:ascii="Times New Roman"/>
                <w:snapToGrid w:val="0"/>
                <w:color w:val="auto"/>
                <w:kern w:val="21"/>
                <w:szCs w:val="21"/>
                <w:highlight w:val="none"/>
              </w:rPr>
            </w:pPr>
            <w:r>
              <w:rPr>
                <w:rFonts w:hint="eastAsia" w:ascii="Times New Roman"/>
                <w:snapToGrid w:val="0"/>
                <w:color w:val="auto"/>
                <w:kern w:val="21"/>
                <w:szCs w:val="21"/>
                <w:highlight w:val="none"/>
              </w:rPr>
              <w:t>员工生活</w:t>
            </w:r>
          </w:p>
        </w:tc>
        <w:tc>
          <w:tcPr>
            <w:tcW w:w="1586" w:type="dxa"/>
            <w:vAlign w:val="center"/>
          </w:tcPr>
          <w:p w14:paraId="1A705111">
            <w:pPr>
              <w:pStyle w:val="88"/>
              <w:spacing w:beforeLines="0" w:afterLines="0" w:line="240" w:lineRule="auto"/>
              <w:rPr>
                <w:rFonts w:ascii="Times New Roman"/>
                <w:snapToGrid w:val="0"/>
                <w:color w:val="auto"/>
                <w:kern w:val="21"/>
                <w:szCs w:val="21"/>
                <w:highlight w:val="none"/>
              </w:rPr>
            </w:pPr>
            <w:r>
              <w:rPr>
                <w:rFonts w:ascii="Times New Roman"/>
                <w:snapToGrid w:val="0"/>
                <w:color w:val="auto"/>
                <w:kern w:val="21"/>
                <w:szCs w:val="21"/>
                <w:highlight w:val="none"/>
              </w:rPr>
              <w:t>生活垃圾</w:t>
            </w:r>
          </w:p>
        </w:tc>
        <w:tc>
          <w:tcPr>
            <w:tcW w:w="1322" w:type="dxa"/>
            <w:vAlign w:val="center"/>
          </w:tcPr>
          <w:p w14:paraId="61E2B0C5">
            <w:pPr>
              <w:pStyle w:val="88"/>
              <w:spacing w:beforeLines="0" w:afterLines="0" w:line="240" w:lineRule="auto"/>
              <w:rPr>
                <w:rFonts w:ascii="Times New Roman"/>
                <w:snapToGrid w:val="0"/>
                <w:color w:val="auto"/>
                <w:kern w:val="21"/>
                <w:szCs w:val="21"/>
                <w:highlight w:val="none"/>
              </w:rPr>
            </w:pPr>
          </w:p>
        </w:tc>
        <w:tc>
          <w:tcPr>
            <w:tcW w:w="1486" w:type="dxa"/>
            <w:vAlign w:val="center"/>
          </w:tcPr>
          <w:p w14:paraId="50A46D3A">
            <w:pPr>
              <w:pStyle w:val="88"/>
              <w:spacing w:beforeLines="0" w:afterLines="0" w:line="240" w:lineRule="auto"/>
              <w:rPr>
                <w:rFonts w:ascii="Times New Roman"/>
                <w:snapToGrid w:val="0"/>
                <w:color w:val="auto"/>
                <w:kern w:val="21"/>
                <w:szCs w:val="21"/>
                <w:highlight w:val="none"/>
              </w:rPr>
            </w:pPr>
          </w:p>
        </w:tc>
        <w:tc>
          <w:tcPr>
            <w:tcW w:w="1446" w:type="dxa"/>
            <w:vAlign w:val="center"/>
          </w:tcPr>
          <w:p w14:paraId="4EFF26FB">
            <w:pPr>
              <w:pStyle w:val="88"/>
              <w:spacing w:beforeLines="0" w:afterLines="0" w:line="240" w:lineRule="auto"/>
              <w:rPr>
                <w:rFonts w:ascii="Times New Roman"/>
                <w:snapToGrid w:val="0"/>
                <w:color w:val="auto"/>
                <w:kern w:val="21"/>
                <w:szCs w:val="21"/>
                <w:highlight w:val="none"/>
              </w:rPr>
            </w:pPr>
          </w:p>
        </w:tc>
        <w:tc>
          <w:tcPr>
            <w:tcW w:w="1405" w:type="dxa"/>
            <w:vAlign w:val="center"/>
          </w:tcPr>
          <w:p w14:paraId="2D874E04">
            <w:pPr>
              <w:jc w:val="center"/>
              <w:rPr>
                <w:snapToGrid w:val="0"/>
                <w:color w:val="auto"/>
                <w:kern w:val="21"/>
                <w:szCs w:val="21"/>
                <w:highlight w:val="none"/>
              </w:rPr>
            </w:pPr>
            <w:r>
              <w:rPr>
                <w:rFonts w:hint="eastAsia" w:eastAsia="等线"/>
                <w:snapToGrid w:val="0"/>
                <w:color w:val="auto"/>
                <w:kern w:val="21"/>
                <w:szCs w:val="21"/>
                <w:highlight w:val="none"/>
              </w:rPr>
              <w:t>1.14</w:t>
            </w:r>
            <w:r>
              <w:rPr>
                <w:rFonts w:eastAsia="等线"/>
                <w:color w:val="auto"/>
                <w:szCs w:val="21"/>
                <w:highlight w:val="none"/>
              </w:rPr>
              <w:t>t/a</w:t>
            </w:r>
          </w:p>
        </w:tc>
        <w:tc>
          <w:tcPr>
            <w:tcW w:w="1827" w:type="dxa"/>
            <w:vAlign w:val="center"/>
          </w:tcPr>
          <w:p w14:paraId="3AC8B955">
            <w:pPr>
              <w:pStyle w:val="88"/>
              <w:spacing w:beforeLines="0" w:afterLines="0" w:line="240" w:lineRule="auto"/>
              <w:rPr>
                <w:rFonts w:ascii="Times New Roman"/>
                <w:snapToGrid w:val="0"/>
                <w:color w:val="auto"/>
                <w:kern w:val="21"/>
                <w:szCs w:val="21"/>
                <w:highlight w:val="none"/>
              </w:rPr>
            </w:pPr>
          </w:p>
        </w:tc>
        <w:tc>
          <w:tcPr>
            <w:tcW w:w="1701" w:type="dxa"/>
            <w:vAlign w:val="center"/>
          </w:tcPr>
          <w:p w14:paraId="417ACF77">
            <w:pPr>
              <w:jc w:val="center"/>
              <w:rPr>
                <w:snapToGrid w:val="0"/>
                <w:color w:val="auto"/>
                <w:kern w:val="21"/>
                <w:szCs w:val="21"/>
                <w:highlight w:val="none"/>
              </w:rPr>
            </w:pPr>
          </w:p>
        </w:tc>
        <w:tc>
          <w:tcPr>
            <w:tcW w:w="1427" w:type="dxa"/>
            <w:vAlign w:val="center"/>
          </w:tcPr>
          <w:p w14:paraId="1F75DD0D">
            <w:pPr>
              <w:jc w:val="center"/>
              <w:rPr>
                <w:snapToGrid w:val="0"/>
                <w:color w:val="auto"/>
                <w:kern w:val="21"/>
                <w:szCs w:val="21"/>
                <w:highlight w:val="none"/>
              </w:rPr>
            </w:pPr>
          </w:p>
        </w:tc>
      </w:tr>
      <w:tr w14:paraId="4418079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9" w:hRule="atLeast"/>
        </w:trPr>
        <w:tc>
          <w:tcPr>
            <w:tcW w:w="1588" w:type="dxa"/>
            <w:vMerge w:val="restart"/>
            <w:vAlign w:val="center"/>
          </w:tcPr>
          <w:p w14:paraId="3A4AA055">
            <w:pPr>
              <w:pStyle w:val="88"/>
              <w:spacing w:beforeLines="0" w:afterLines="0" w:line="240" w:lineRule="auto"/>
              <w:rPr>
                <w:rFonts w:ascii="Times New Roman"/>
                <w:snapToGrid w:val="0"/>
                <w:color w:val="auto"/>
                <w:kern w:val="21"/>
                <w:szCs w:val="21"/>
                <w:highlight w:val="none"/>
              </w:rPr>
            </w:pPr>
            <w:r>
              <w:rPr>
                <w:rFonts w:hint="eastAsia" w:ascii="Times New Roman"/>
                <w:snapToGrid w:val="0"/>
                <w:color w:val="auto"/>
                <w:kern w:val="21"/>
                <w:szCs w:val="21"/>
                <w:highlight w:val="none"/>
              </w:rPr>
              <w:t>一般工业固废</w:t>
            </w:r>
          </w:p>
        </w:tc>
        <w:tc>
          <w:tcPr>
            <w:tcW w:w="1586" w:type="dxa"/>
            <w:vAlign w:val="center"/>
          </w:tcPr>
          <w:p w14:paraId="5BF5B85D">
            <w:pPr>
              <w:pStyle w:val="88"/>
              <w:spacing w:beforeLines="0" w:afterLines="0" w:line="240" w:lineRule="auto"/>
              <w:rPr>
                <w:rFonts w:ascii="Times New Roman"/>
                <w:bCs/>
                <w:color w:val="auto"/>
                <w:szCs w:val="21"/>
                <w:highlight w:val="none"/>
              </w:rPr>
            </w:pPr>
            <w:r>
              <w:rPr>
                <w:rFonts w:hint="eastAsia" w:ascii="Times New Roman"/>
                <w:bCs/>
                <w:color w:val="auto"/>
                <w:szCs w:val="21"/>
                <w:highlight w:val="none"/>
                <w:lang w:eastAsia="zh-CN"/>
              </w:rPr>
              <w:t>果蔬皮与不合格品</w:t>
            </w:r>
          </w:p>
        </w:tc>
        <w:tc>
          <w:tcPr>
            <w:tcW w:w="1322" w:type="dxa"/>
            <w:vAlign w:val="center"/>
          </w:tcPr>
          <w:p w14:paraId="7CAEBFAB">
            <w:pPr>
              <w:pStyle w:val="88"/>
              <w:spacing w:beforeLines="0" w:afterLines="0" w:line="240" w:lineRule="auto"/>
              <w:rPr>
                <w:rFonts w:ascii="Times New Roman"/>
                <w:bCs/>
                <w:color w:val="auto"/>
                <w:szCs w:val="21"/>
                <w:highlight w:val="none"/>
              </w:rPr>
            </w:pPr>
          </w:p>
        </w:tc>
        <w:tc>
          <w:tcPr>
            <w:tcW w:w="1486" w:type="dxa"/>
            <w:vAlign w:val="center"/>
          </w:tcPr>
          <w:p w14:paraId="56FBF4F0">
            <w:pPr>
              <w:pStyle w:val="88"/>
              <w:spacing w:beforeLines="0" w:afterLines="0" w:line="240" w:lineRule="auto"/>
              <w:rPr>
                <w:rFonts w:ascii="Times New Roman"/>
                <w:snapToGrid w:val="0"/>
                <w:color w:val="auto"/>
                <w:kern w:val="21"/>
                <w:szCs w:val="21"/>
                <w:highlight w:val="none"/>
              </w:rPr>
            </w:pPr>
          </w:p>
        </w:tc>
        <w:tc>
          <w:tcPr>
            <w:tcW w:w="1446" w:type="dxa"/>
            <w:vAlign w:val="center"/>
          </w:tcPr>
          <w:p w14:paraId="1AF071BB">
            <w:pPr>
              <w:pStyle w:val="88"/>
              <w:spacing w:beforeLines="0" w:afterLines="0" w:line="240" w:lineRule="auto"/>
              <w:rPr>
                <w:rFonts w:ascii="Times New Roman"/>
                <w:snapToGrid w:val="0"/>
                <w:color w:val="auto"/>
                <w:kern w:val="21"/>
                <w:szCs w:val="21"/>
                <w:highlight w:val="none"/>
              </w:rPr>
            </w:pPr>
          </w:p>
        </w:tc>
        <w:tc>
          <w:tcPr>
            <w:tcW w:w="1405" w:type="dxa"/>
            <w:vAlign w:val="center"/>
          </w:tcPr>
          <w:p w14:paraId="1547E4E8">
            <w:pPr>
              <w:jc w:val="center"/>
              <w:rPr>
                <w:rFonts w:eastAsia="等线"/>
                <w:bCs/>
                <w:color w:val="auto"/>
                <w:szCs w:val="21"/>
                <w:highlight w:val="none"/>
              </w:rPr>
            </w:pPr>
            <w:r>
              <w:rPr>
                <w:rFonts w:hint="eastAsia"/>
                <w:color w:val="auto"/>
                <w:szCs w:val="21"/>
                <w:highlight w:val="none"/>
                <w:lang w:val="en-US" w:eastAsia="zh-CN"/>
              </w:rPr>
              <w:t>23.512</w:t>
            </w:r>
            <w:r>
              <w:rPr>
                <w:rFonts w:hint="eastAsia"/>
                <w:color w:val="auto"/>
                <w:szCs w:val="21"/>
                <w:highlight w:val="none"/>
              </w:rPr>
              <w:t>t/a</w:t>
            </w:r>
          </w:p>
        </w:tc>
        <w:tc>
          <w:tcPr>
            <w:tcW w:w="1827" w:type="dxa"/>
            <w:vAlign w:val="center"/>
          </w:tcPr>
          <w:p w14:paraId="0225672F">
            <w:pPr>
              <w:pStyle w:val="88"/>
              <w:spacing w:beforeLines="0" w:afterLines="0" w:line="240" w:lineRule="auto"/>
              <w:rPr>
                <w:rFonts w:ascii="Times New Roman"/>
                <w:bCs/>
                <w:color w:val="auto"/>
                <w:szCs w:val="21"/>
                <w:highlight w:val="none"/>
              </w:rPr>
            </w:pPr>
          </w:p>
        </w:tc>
        <w:tc>
          <w:tcPr>
            <w:tcW w:w="1701" w:type="dxa"/>
            <w:vAlign w:val="center"/>
          </w:tcPr>
          <w:p w14:paraId="6FF433D0">
            <w:pPr>
              <w:jc w:val="center"/>
              <w:rPr>
                <w:bCs/>
                <w:color w:val="auto"/>
                <w:szCs w:val="21"/>
                <w:highlight w:val="none"/>
              </w:rPr>
            </w:pPr>
          </w:p>
        </w:tc>
        <w:tc>
          <w:tcPr>
            <w:tcW w:w="1427" w:type="dxa"/>
            <w:vAlign w:val="center"/>
          </w:tcPr>
          <w:p w14:paraId="0674A62F">
            <w:pPr>
              <w:pStyle w:val="88"/>
              <w:spacing w:beforeLines="0" w:afterLines="0" w:line="240" w:lineRule="auto"/>
              <w:rPr>
                <w:snapToGrid w:val="0"/>
                <w:color w:val="auto"/>
                <w:kern w:val="21"/>
                <w:szCs w:val="21"/>
                <w:highlight w:val="none"/>
              </w:rPr>
            </w:pPr>
          </w:p>
        </w:tc>
      </w:tr>
      <w:tr w14:paraId="4557CD8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88" w:type="dxa"/>
            <w:vMerge w:val="continue"/>
            <w:vAlign w:val="center"/>
          </w:tcPr>
          <w:p w14:paraId="68E8976E">
            <w:pPr>
              <w:pStyle w:val="88"/>
              <w:spacing w:beforeLines="0" w:afterLines="0" w:line="240" w:lineRule="auto"/>
              <w:rPr>
                <w:rFonts w:ascii="Times New Roman"/>
                <w:snapToGrid w:val="0"/>
                <w:color w:val="auto"/>
                <w:kern w:val="21"/>
                <w:szCs w:val="21"/>
                <w:highlight w:val="none"/>
              </w:rPr>
            </w:pPr>
          </w:p>
        </w:tc>
        <w:tc>
          <w:tcPr>
            <w:tcW w:w="1586" w:type="dxa"/>
            <w:vAlign w:val="center"/>
          </w:tcPr>
          <w:p w14:paraId="3E0633CC">
            <w:pPr>
              <w:pStyle w:val="88"/>
              <w:spacing w:beforeLines="0" w:afterLines="0" w:line="240" w:lineRule="auto"/>
              <w:rPr>
                <w:rFonts w:ascii="Times New Roman"/>
                <w:color w:val="auto"/>
                <w:szCs w:val="21"/>
                <w:highlight w:val="none"/>
              </w:rPr>
            </w:pPr>
            <w:r>
              <w:rPr>
                <w:rFonts w:ascii="Times New Roman"/>
                <w:color w:val="auto"/>
                <w:szCs w:val="21"/>
                <w:highlight w:val="none"/>
              </w:rPr>
              <w:t>废油脂</w:t>
            </w:r>
          </w:p>
        </w:tc>
        <w:tc>
          <w:tcPr>
            <w:tcW w:w="1322" w:type="dxa"/>
            <w:vAlign w:val="center"/>
          </w:tcPr>
          <w:p w14:paraId="0EFDF4FA">
            <w:pPr>
              <w:pStyle w:val="88"/>
              <w:spacing w:beforeLines="0" w:afterLines="0" w:line="240" w:lineRule="auto"/>
              <w:rPr>
                <w:rFonts w:ascii="Times New Roman"/>
                <w:bCs/>
                <w:color w:val="auto"/>
                <w:szCs w:val="21"/>
                <w:highlight w:val="none"/>
              </w:rPr>
            </w:pPr>
          </w:p>
        </w:tc>
        <w:tc>
          <w:tcPr>
            <w:tcW w:w="1486" w:type="dxa"/>
            <w:vAlign w:val="center"/>
          </w:tcPr>
          <w:p w14:paraId="3FABC275">
            <w:pPr>
              <w:pStyle w:val="88"/>
              <w:spacing w:beforeLines="0" w:afterLines="0" w:line="240" w:lineRule="auto"/>
              <w:rPr>
                <w:rFonts w:ascii="Times New Roman"/>
                <w:snapToGrid w:val="0"/>
                <w:color w:val="auto"/>
                <w:kern w:val="21"/>
                <w:szCs w:val="21"/>
                <w:highlight w:val="none"/>
              </w:rPr>
            </w:pPr>
          </w:p>
        </w:tc>
        <w:tc>
          <w:tcPr>
            <w:tcW w:w="1446" w:type="dxa"/>
            <w:vAlign w:val="center"/>
          </w:tcPr>
          <w:p w14:paraId="3B4FDFB7">
            <w:pPr>
              <w:pStyle w:val="88"/>
              <w:spacing w:beforeLines="0" w:afterLines="0" w:line="240" w:lineRule="auto"/>
              <w:rPr>
                <w:rFonts w:ascii="Times New Roman"/>
                <w:snapToGrid w:val="0"/>
                <w:color w:val="auto"/>
                <w:kern w:val="21"/>
                <w:szCs w:val="21"/>
                <w:highlight w:val="none"/>
              </w:rPr>
            </w:pPr>
          </w:p>
        </w:tc>
        <w:tc>
          <w:tcPr>
            <w:tcW w:w="1405" w:type="dxa"/>
            <w:vAlign w:val="center"/>
          </w:tcPr>
          <w:p w14:paraId="024647D3">
            <w:pPr>
              <w:jc w:val="center"/>
              <w:rPr>
                <w:bCs/>
                <w:color w:val="auto"/>
                <w:szCs w:val="21"/>
                <w:highlight w:val="none"/>
              </w:rPr>
            </w:pPr>
            <w:r>
              <w:rPr>
                <w:rFonts w:hint="eastAsia"/>
                <w:bCs/>
                <w:color w:val="auto"/>
                <w:szCs w:val="21"/>
                <w:highlight w:val="none"/>
              </w:rPr>
              <w:t>0.13</w:t>
            </w:r>
            <w:r>
              <w:rPr>
                <w:rFonts w:hint="eastAsia"/>
                <w:color w:val="auto"/>
                <w:szCs w:val="21"/>
                <w:highlight w:val="none"/>
              </w:rPr>
              <w:t>t/a</w:t>
            </w:r>
          </w:p>
        </w:tc>
        <w:tc>
          <w:tcPr>
            <w:tcW w:w="1827" w:type="dxa"/>
            <w:vAlign w:val="center"/>
          </w:tcPr>
          <w:p w14:paraId="5D3E230C">
            <w:pPr>
              <w:pStyle w:val="88"/>
              <w:spacing w:beforeLines="0" w:afterLines="0" w:line="240" w:lineRule="auto"/>
              <w:rPr>
                <w:rFonts w:ascii="Times New Roman"/>
                <w:bCs/>
                <w:color w:val="auto"/>
                <w:szCs w:val="21"/>
                <w:highlight w:val="none"/>
              </w:rPr>
            </w:pPr>
          </w:p>
        </w:tc>
        <w:tc>
          <w:tcPr>
            <w:tcW w:w="1701" w:type="dxa"/>
            <w:vAlign w:val="center"/>
          </w:tcPr>
          <w:p w14:paraId="33D36272">
            <w:pPr>
              <w:jc w:val="center"/>
              <w:rPr>
                <w:bCs/>
                <w:color w:val="auto"/>
                <w:szCs w:val="21"/>
                <w:highlight w:val="none"/>
              </w:rPr>
            </w:pPr>
          </w:p>
        </w:tc>
        <w:tc>
          <w:tcPr>
            <w:tcW w:w="1427" w:type="dxa"/>
            <w:vAlign w:val="center"/>
          </w:tcPr>
          <w:p w14:paraId="4F748D26">
            <w:pPr>
              <w:pStyle w:val="88"/>
              <w:spacing w:beforeLines="0" w:afterLines="0" w:line="240" w:lineRule="auto"/>
              <w:rPr>
                <w:snapToGrid w:val="0"/>
                <w:color w:val="auto"/>
                <w:kern w:val="21"/>
                <w:szCs w:val="21"/>
                <w:highlight w:val="none"/>
              </w:rPr>
            </w:pPr>
          </w:p>
        </w:tc>
      </w:tr>
      <w:tr w14:paraId="03BDE04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88" w:type="dxa"/>
            <w:vMerge w:val="continue"/>
            <w:vAlign w:val="center"/>
          </w:tcPr>
          <w:p w14:paraId="5475D039">
            <w:pPr>
              <w:pStyle w:val="88"/>
              <w:spacing w:beforeLines="0" w:afterLines="0" w:line="240" w:lineRule="auto"/>
              <w:rPr>
                <w:rFonts w:ascii="Times New Roman"/>
                <w:snapToGrid w:val="0"/>
                <w:color w:val="auto"/>
                <w:kern w:val="21"/>
                <w:szCs w:val="21"/>
                <w:highlight w:val="none"/>
              </w:rPr>
            </w:pPr>
          </w:p>
        </w:tc>
        <w:tc>
          <w:tcPr>
            <w:tcW w:w="1586" w:type="dxa"/>
            <w:vAlign w:val="center"/>
          </w:tcPr>
          <w:p w14:paraId="46C1FC6A">
            <w:pPr>
              <w:pStyle w:val="88"/>
              <w:spacing w:beforeLines="0" w:afterLines="0" w:line="240" w:lineRule="auto"/>
              <w:rPr>
                <w:rFonts w:ascii="Times New Roman"/>
                <w:bCs/>
                <w:color w:val="auto"/>
                <w:szCs w:val="21"/>
                <w:highlight w:val="none"/>
              </w:rPr>
            </w:pPr>
            <w:r>
              <w:rPr>
                <w:rFonts w:ascii="Times New Roman"/>
                <w:color w:val="auto"/>
                <w:szCs w:val="21"/>
                <w:highlight w:val="none"/>
              </w:rPr>
              <w:t>废</w:t>
            </w:r>
            <w:r>
              <w:rPr>
                <w:rFonts w:hint="eastAsia" w:ascii="Times New Roman"/>
                <w:color w:val="auto"/>
                <w:szCs w:val="21"/>
                <w:highlight w:val="none"/>
              </w:rPr>
              <w:t>弃包装</w:t>
            </w:r>
            <w:r>
              <w:rPr>
                <w:rFonts w:ascii="Times New Roman"/>
                <w:color w:val="auto"/>
                <w:szCs w:val="21"/>
                <w:highlight w:val="none"/>
              </w:rPr>
              <w:t>袋</w:t>
            </w:r>
          </w:p>
        </w:tc>
        <w:tc>
          <w:tcPr>
            <w:tcW w:w="1322" w:type="dxa"/>
            <w:vAlign w:val="center"/>
          </w:tcPr>
          <w:p w14:paraId="1AFD42F4">
            <w:pPr>
              <w:pStyle w:val="88"/>
              <w:spacing w:beforeLines="0" w:afterLines="0" w:line="240" w:lineRule="auto"/>
              <w:rPr>
                <w:rFonts w:ascii="Times New Roman"/>
                <w:bCs/>
                <w:color w:val="auto"/>
                <w:szCs w:val="21"/>
                <w:highlight w:val="none"/>
              </w:rPr>
            </w:pPr>
          </w:p>
        </w:tc>
        <w:tc>
          <w:tcPr>
            <w:tcW w:w="1486" w:type="dxa"/>
            <w:vAlign w:val="center"/>
          </w:tcPr>
          <w:p w14:paraId="00FE5952">
            <w:pPr>
              <w:pStyle w:val="88"/>
              <w:spacing w:beforeLines="0" w:afterLines="0" w:line="240" w:lineRule="auto"/>
              <w:rPr>
                <w:rFonts w:ascii="Times New Roman"/>
                <w:snapToGrid w:val="0"/>
                <w:color w:val="auto"/>
                <w:kern w:val="21"/>
                <w:szCs w:val="21"/>
                <w:highlight w:val="none"/>
              </w:rPr>
            </w:pPr>
          </w:p>
        </w:tc>
        <w:tc>
          <w:tcPr>
            <w:tcW w:w="1446" w:type="dxa"/>
            <w:vAlign w:val="center"/>
          </w:tcPr>
          <w:p w14:paraId="38B547A0">
            <w:pPr>
              <w:pStyle w:val="88"/>
              <w:spacing w:beforeLines="0" w:afterLines="0" w:line="240" w:lineRule="auto"/>
              <w:rPr>
                <w:rFonts w:ascii="Times New Roman"/>
                <w:snapToGrid w:val="0"/>
                <w:color w:val="auto"/>
                <w:kern w:val="21"/>
                <w:szCs w:val="21"/>
                <w:highlight w:val="none"/>
              </w:rPr>
            </w:pPr>
          </w:p>
        </w:tc>
        <w:tc>
          <w:tcPr>
            <w:tcW w:w="1405" w:type="dxa"/>
            <w:vAlign w:val="center"/>
          </w:tcPr>
          <w:p w14:paraId="1D899EBE">
            <w:pPr>
              <w:jc w:val="center"/>
              <w:rPr>
                <w:rFonts w:eastAsia="等线"/>
                <w:bCs/>
                <w:color w:val="auto"/>
                <w:szCs w:val="21"/>
                <w:highlight w:val="none"/>
              </w:rPr>
            </w:pPr>
            <w:r>
              <w:rPr>
                <w:rFonts w:hint="eastAsia"/>
                <w:bCs/>
                <w:color w:val="auto"/>
                <w:szCs w:val="21"/>
                <w:highlight w:val="none"/>
              </w:rPr>
              <w:t>0.05t</w:t>
            </w:r>
            <w:r>
              <w:rPr>
                <w:rFonts w:hint="eastAsia"/>
                <w:color w:val="auto"/>
                <w:szCs w:val="21"/>
                <w:highlight w:val="none"/>
              </w:rPr>
              <w:t>/a</w:t>
            </w:r>
          </w:p>
        </w:tc>
        <w:tc>
          <w:tcPr>
            <w:tcW w:w="1827" w:type="dxa"/>
            <w:vAlign w:val="center"/>
          </w:tcPr>
          <w:p w14:paraId="439BA741">
            <w:pPr>
              <w:pStyle w:val="88"/>
              <w:spacing w:beforeLines="0" w:afterLines="0" w:line="240" w:lineRule="auto"/>
              <w:rPr>
                <w:rFonts w:ascii="Times New Roman"/>
                <w:bCs/>
                <w:color w:val="auto"/>
                <w:szCs w:val="21"/>
                <w:highlight w:val="none"/>
              </w:rPr>
            </w:pPr>
          </w:p>
        </w:tc>
        <w:tc>
          <w:tcPr>
            <w:tcW w:w="1701" w:type="dxa"/>
            <w:vAlign w:val="center"/>
          </w:tcPr>
          <w:p w14:paraId="456C4659">
            <w:pPr>
              <w:jc w:val="center"/>
              <w:rPr>
                <w:bCs/>
                <w:color w:val="auto"/>
                <w:szCs w:val="21"/>
                <w:highlight w:val="none"/>
              </w:rPr>
            </w:pPr>
          </w:p>
        </w:tc>
        <w:tc>
          <w:tcPr>
            <w:tcW w:w="1427" w:type="dxa"/>
            <w:vAlign w:val="center"/>
          </w:tcPr>
          <w:p w14:paraId="65D3A716">
            <w:pPr>
              <w:pStyle w:val="88"/>
              <w:spacing w:beforeLines="0" w:afterLines="0" w:line="240" w:lineRule="auto"/>
              <w:rPr>
                <w:snapToGrid w:val="0"/>
                <w:color w:val="auto"/>
                <w:kern w:val="21"/>
                <w:szCs w:val="21"/>
                <w:highlight w:val="none"/>
              </w:rPr>
            </w:pPr>
          </w:p>
        </w:tc>
      </w:tr>
      <w:tr w14:paraId="472081B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88" w:type="dxa"/>
            <w:vMerge w:val="continue"/>
            <w:vAlign w:val="center"/>
          </w:tcPr>
          <w:p w14:paraId="26517269">
            <w:pPr>
              <w:pStyle w:val="88"/>
              <w:spacing w:beforeLines="0" w:afterLines="0" w:line="240" w:lineRule="auto"/>
              <w:rPr>
                <w:rFonts w:ascii="Times New Roman"/>
                <w:snapToGrid w:val="0"/>
                <w:color w:val="auto"/>
                <w:kern w:val="21"/>
                <w:szCs w:val="21"/>
                <w:highlight w:val="none"/>
              </w:rPr>
            </w:pPr>
          </w:p>
        </w:tc>
        <w:tc>
          <w:tcPr>
            <w:tcW w:w="1586" w:type="dxa"/>
            <w:vAlign w:val="center"/>
          </w:tcPr>
          <w:p w14:paraId="1D9EFA97">
            <w:pPr>
              <w:pStyle w:val="88"/>
              <w:spacing w:beforeLines="0" w:afterLines="0" w:line="240" w:lineRule="auto"/>
              <w:rPr>
                <w:rFonts w:hint="eastAsia" w:ascii="Times New Roman" w:eastAsia="宋体"/>
                <w:color w:val="auto"/>
                <w:szCs w:val="21"/>
                <w:highlight w:val="none"/>
                <w:lang w:eastAsia="zh-CN"/>
              </w:rPr>
            </w:pPr>
            <w:r>
              <w:rPr>
                <w:rFonts w:hint="eastAsia" w:ascii="Times New Roman"/>
                <w:color w:val="auto"/>
                <w:szCs w:val="21"/>
                <w:highlight w:val="none"/>
              </w:rPr>
              <w:t>灰渣</w:t>
            </w:r>
          </w:p>
        </w:tc>
        <w:tc>
          <w:tcPr>
            <w:tcW w:w="1322" w:type="dxa"/>
            <w:vAlign w:val="center"/>
          </w:tcPr>
          <w:p w14:paraId="77004187">
            <w:pPr>
              <w:pStyle w:val="88"/>
              <w:spacing w:beforeLines="0" w:afterLines="0" w:line="240" w:lineRule="auto"/>
              <w:rPr>
                <w:rFonts w:ascii="Times New Roman"/>
                <w:bCs/>
                <w:color w:val="auto"/>
                <w:szCs w:val="21"/>
                <w:highlight w:val="none"/>
              </w:rPr>
            </w:pPr>
          </w:p>
        </w:tc>
        <w:tc>
          <w:tcPr>
            <w:tcW w:w="1486" w:type="dxa"/>
            <w:vAlign w:val="center"/>
          </w:tcPr>
          <w:p w14:paraId="5FDECD9B">
            <w:pPr>
              <w:pStyle w:val="88"/>
              <w:spacing w:beforeLines="0" w:afterLines="0" w:line="240" w:lineRule="auto"/>
              <w:rPr>
                <w:rFonts w:ascii="Times New Roman"/>
                <w:snapToGrid w:val="0"/>
                <w:color w:val="auto"/>
                <w:kern w:val="21"/>
                <w:szCs w:val="21"/>
                <w:highlight w:val="none"/>
              </w:rPr>
            </w:pPr>
          </w:p>
        </w:tc>
        <w:tc>
          <w:tcPr>
            <w:tcW w:w="1446" w:type="dxa"/>
            <w:vAlign w:val="center"/>
          </w:tcPr>
          <w:p w14:paraId="01828D00">
            <w:pPr>
              <w:pStyle w:val="88"/>
              <w:spacing w:beforeLines="0" w:afterLines="0" w:line="240" w:lineRule="auto"/>
              <w:rPr>
                <w:rFonts w:ascii="Times New Roman"/>
                <w:snapToGrid w:val="0"/>
                <w:color w:val="auto"/>
                <w:kern w:val="21"/>
                <w:szCs w:val="21"/>
                <w:highlight w:val="none"/>
              </w:rPr>
            </w:pPr>
          </w:p>
        </w:tc>
        <w:tc>
          <w:tcPr>
            <w:tcW w:w="1405" w:type="dxa"/>
            <w:vAlign w:val="center"/>
          </w:tcPr>
          <w:p w14:paraId="0867FCBD">
            <w:pPr>
              <w:jc w:val="center"/>
              <w:rPr>
                <w:bCs/>
                <w:color w:val="auto"/>
                <w:szCs w:val="21"/>
                <w:highlight w:val="none"/>
              </w:rPr>
            </w:pPr>
            <w:r>
              <w:rPr>
                <w:rFonts w:hint="eastAsia"/>
                <w:bCs/>
                <w:color w:val="auto"/>
                <w:szCs w:val="21"/>
                <w:highlight w:val="none"/>
              </w:rPr>
              <w:t>0.</w:t>
            </w:r>
            <w:r>
              <w:rPr>
                <w:rFonts w:hint="eastAsia"/>
                <w:bCs/>
                <w:color w:val="auto"/>
                <w:szCs w:val="21"/>
                <w:highlight w:val="none"/>
                <w:lang w:val="en-US" w:eastAsia="zh-CN"/>
              </w:rPr>
              <w:t>525</w:t>
            </w:r>
            <w:r>
              <w:rPr>
                <w:rFonts w:hint="eastAsia"/>
                <w:bCs/>
                <w:color w:val="auto"/>
                <w:szCs w:val="21"/>
                <w:highlight w:val="none"/>
              </w:rPr>
              <w:t>t</w:t>
            </w:r>
            <w:r>
              <w:rPr>
                <w:rFonts w:hint="eastAsia"/>
                <w:color w:val="auto"/>
                <w:szCs w:val="21"/>
                <w:highlight w:val="none"/>
              </w:rPr>
              <w:t>/a</w:t>
            </w:r>
          </w:p>
        </w:tc>
        <w:tc>
          <w:tcPr>
            <w:tcW w:w="1827" w:type="dxa"/>
            <w:vAlign w:val="center"/>
          </w:tcPr>
          <w:p w14:paraId="185799EF">
            <w:pPr>
              <w:pStyle w:val="88"/>
              <w:spacing w:beforeLines="0" w:afterLines="0" w:line="240" w:lineRule="auto"/>
              <w:rPr>
                <w:rFonts w:ascii="Times New Roman"/>
                <w:bCs/>
                <w:color w:val="auto"/>
                <w:szCs w:val="21"/>
                <w:highlight w:val="none"/>
              </w:rPr>
            </w:pPr>
          </w:p>
        </w:tc>
        <w:tc>
          <w:tcPr>
            <w:tcW w:w="1701" w:type="dxa"/>
            <w:vAlign w:val="center"/>
          </w:tcPr>
          <w:p w14:paraId="73B9186F">
            <w:pPr>
              <w:jc w:val="center"/>
              <w:rPr>
                <w:bCs/>
                <w:color w:val="auto"/>
                <w:szCs w:val="21"/>
                <w:highlight w:val="none"/>
              </w:rPr>
            </w:pPr>
          </w:p>
        </w:tc>
        <w:tc>
          <w:tcPr>
            <w:tcW w:w="1427" w:type="dxa"/>
            <w:vAlign w:val="center"/>
          </w:tcPr>
          <w:p w14:paraId="1EEB6222">
            <w:pPr>
              <w:pStyle w:val="88"/>
              <w:spacing w:beforeLines="0" w:afterLines="0" w:line="240" w:lineRule="auto"/>
              <w:rPr>
                <w:snapToGrid w:val="0"/>
                <w:color w:val="auto"/>
                <w:kern w:val="21"/>
                <w:szCs w:val="21"/>
                <w:highlight w:val="none"/>
              </w:rPr>
            </w:pPr>
          </w:p>
        </w:tc>
      </w:tr>
      <w:tr w14:paraId="4212A13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88" w:type="dxa"/>
            <w:vMerge w:val="continue"/>
            <w:vAlign w:val="center"/>
          </w:tcPr>
          <w:p w14:paraId="451C9794">
            <w:pPr>
              <w:pStyle w:val="88"/>
              <w:spacing w:beforeLines="0" w:afterLines="0" w:line="240" w:lineRule="auto"/>
              <w:rPr>
                <w:rFonts w:ascii="Times New Roman"/>
                <w:snapToGrid w:val="0"/>
                <w:color w:val="auto"/>
                <w:kern w:val="21"/>
                <w:szCs w:val="21"/>
                <w:highlight w:val="none"/>
              </w:rPr>
            </w:pPr>
          </w:p>
        </w:tc>
        <w:tc>
          <w:tcPr>
            <w:tcW w:w="1586" w:type="dxa"/>
            <w:vAlign w:val="center"/>
          </w:tcPr>
          <w:p w14:paraId="74EFE3A7">
            <w:pPr>
              <w:pStyle w:val="88"/>
              <w:spacing w:beforeLines="0" w:afterLines="0" w:line="240" w:lineRule="auto"/>
              <w:rPr>
                <w:rFonts w:ascii="Times New Roman"/>
                <w:color w:val="auto"/>
                <w:szCs w:val="21"/>
                <w:highlight w:val="none"/>
              </w:rPr>
            </w:pPr>
            <w:r>
              <w:rPr>
                <w:rFonts w:hint="eastAsia" w:ascii="Times New Roman"/>
                <w:color w:val="auto"/>
                <w:szCs w:val="21"/>
                <w:highlight w:val="none"/>
              </w:rPr>
              <w:t>污泥</w:t>
            </w:r>
          </w:p>
        </w:tc>
        <w:tc>
          <w:tcPr>
            <w:tcW w:w="1322" w:type="dxa"/>
            <w:vAlign w:val="center"/>
          </w:tcPr>
          <w:p w14:paraId="31FD642C">
            <w:pPr>
              <w:pStyle w:val="88"/>
              <w:spacing w:beforeLines="0" w:afterLines="0" w:line="240" w:lineRule="auto"/>
              <w:rPr>
                <w:rFonts w:ascii="Times New Roman"/>
                <w:bCs/>
                <w:color w:val="auto"/>
                <w:szCs w:val="21"/>
                <w:highlight w:val="none"/>
              </w:rPr>
            </w:pPr>
          </w:p>
        </w:tc>
        <w:tc>
          <w:tcPr>
            <w:tcW w:w="1486" w:type="dxa"/>
            <w:vAlign w:val="center"/>
          </w:tcPr>
          <w:p w14:paraId="60F8B20A">
            <w:pPr>
              <w:pStyle w:val="88"/>
              <w:spacing w:beforeLines="0" w:afterLines="0" w:line="240" w:lineRule="auto"/>
              <w:rPr>
                <w:rFonts w:ascii="Times New Roman"/>
                <w:snapToGrid w:val="0"/>
                <w:color w:val="auto"/>
                <w:kern w:val="21"/>
                <w:szCs w:val="21"/>
                <w:highlight w:val="none"/>
              </w:rPr>
            </w:pPr>
          </w:p>
        </w:tc>
        <w:tc>
          <w:tcPr>
            <w:tcW w:w="1446" w:type="dxa"/>
            <w:vAlign w:val="center"/>
          </w:tcPr>
          <w:p w14:paraId="3FD32377">
            <w:pPr>
              <w:pStyle w:val="88"/>
              <w:spacing w:beforeLines="0" w:afterLines="0" w:line="240" w:lineRule="auto"/>
              <w:rPr>
                <w:rFonts w:ascii="Times New Roman"/>
                <w:snapToGrid w:val="0"/>
                <w:color w:val="auto"/>
                <w:kern w:val="21"/>
                <w:szCs w:val="21"/>
                <w:highlight w:val="none"/>
              </w:rPr>
            </w:pPr>
          </w:p>
        </w:tc>
        <w:tc>
          <w:tcPr>
            <w:tcW w:w="1405" w:type="dxa"/>
            <w:vAlign w:val="center"/>
          </w:tcPr>
          <w:p w14:paraId="22047369">
            <w:pPr>
              <w:jc w:val="center"/>
              <w:rPr>
                <w:bCs/>
                <w:color w:val="auto"/>
                <w:szCs w:val="21"/>
                <w:highlight w:val="none"/>
              </w:rPr>
            </w:pPr>
            <w:r>
              <w:rPr>
                <w:rFonts w:hint="eastAsia"/>
                <w:bCs/>
                <w:color w:val="auto"/>
                <w:szCs w:val="21"/>
                <w:highlight w:val="none"/>
              </w:rPr>
              <w:t>0.5t</w:t>
            </w:r>
            <w:r>
              <w:rPr>
                <w:rFonts w:hint="eastAsia"/>
                <w:color w:val="auto"/>
                <w:szCs w:val="21"/>
                <w:highlight w:val="none"/>
              </w:rPr>
              <w:t>/a</w:t>
            </w:r>
          </w:p>
        </w:tc>
        <w:tc>
          <w:tcPr>
            <w:tcW w:w="1827" w:type="dxa"/>
            <w:vAlign w:val="center"/>
          </w:tcPr>
          <w:p w14:paraId="1FCC3B31">
            <w:pPr>
              <w:pStyle w:val="88"/>
              <w:spacing w:beforeLines="0" w:afterLines="0" w:line="240" w:lineRule="auto"/>
              <w:rPr>
                <w:rFonts w:ascii="Times New Roman"/>
                <w:bCs/>
                <w:color w:val="auto"/>
                <w:szCs w:val="21"/>
                <w:highlight w:val="none"/>
              </w:rPr>
            </w:pPr>
          </w:p>
        </w:tc>
        <w:tc>
          <w:tcPr>
            <w:tcW w:w="1701" w:type="dxa"/>
            <w:vAlign w:val="center"/>
          </w:tcPr>
          <w:p w14:paraId="79079B8B">
            <w:pPr>
              <w:jc w:val="center"/>
              <w:rPr>
                <w:bCs/>
                <w:color w:val="auto"/>
                <w:szCs w:val="21"/>
                <w:highlight w:val="none"/>
              </w:rPr>
            </w:pPr>
          </w:p>
        </w:tc>
        <w:tc>
          <w:tcPr>
            <w:tcW w:w="1427" w:type="dxa"/>
            <w:vAlign w:val="center"/>
          </w:tcPr>
          <w:p w14:paraId="33E70E0C">
            <w:pPr>
              <w:pStyle w:val="88"/>
              <w:spacing w:beforeLines="0" w:afterLines="0" w:line="240" w:lineRule="auto"/>
              <w:rPr>
                <w:snapToGrid w:val="0"/>
                <w:color w:val="auto"/>
                <w:kern w:val="21"/>
                <w:szCs w:val="21"/>
                <w:highlight w:val="none"/>
              </w:rPr>
            </w:pPr>
          </w:p>
        </w:tc>
      </w:tr>
    </w:tbl>
    <w:p w14:paraId="5FBFF0C1">
      <w:pPr>
        <w:pStyle w:val="88"/>
        <w:spacing w:before="192" w:beforeLines="80" w:after="24"/>
        <w:jc w:val="left"/>
        <w:rPr>
          <w:color w:val="auto"/>
          <w:highlight w:val="none"/>
        </w:rPr>
        <w:sectPr>
          <w:footerReference r:id="rId6" w:type="default"/>
          <w:pgSz w:w="16838" w:h="11906" w:orient="landscape"/>
          <w:pgMar w:top="1701" w:right="1531" w:bottom="1701" w:left="1531" w:header="851" w:footer="851" w:gutter="0"/>
          <w:cols w:space="720" w:num="1"/>
          <w:docGrid w:linePitch="312" w:charSpace="0"/>
        </w:sectPr>
      </w:pPr>
      <w:r>
        <w:rPr>
          <w:rFonts w:hAnsi="宋体"/>
          <w:snapToGrid w:val="0"/>
          <w:color w:val="auto"/>
          <w:kern w:val="21"/>
          <w:szCs w:val="21"/>
          <w:highlight w:val="none"/>
        </w:rPr>
        <w:t>注：</w:t>
      </w:r>
      <w:r>
        <w:rPr>
          <w:rFonts w:hAnsi="宋体"/>
          <w:snapToGrid w:val="0"/>
          <w:color w:val="auto"/>
          <w:spacing w:val="-16"/>
          <w:kern w:val="21"/>
          <w:szCs w:val="21"/>
          <w:highlight w:val="none"/>
        </w:rPr>
        <w:fldChar w:fldCharType="begin"/>
      </w:r>
      <w:r>
        <w:rPr>
          <w:rFonts w:hAnsi="宋体"/>
          <w:snapToGrid w:val="0"/>
          <w:color w:val="auto"/>
          <w:spacing w:val="-16"/>
          <w:kern w:val="21"/>
          <w:szCs w:val="21"/>
          <w:highlight w:val="none"/>
        </w:rPr>
        <w:instrText xml:space="preserve"> = 6 \* GB3 \* MERGEFORMAT </w:instrText>
      </w:r>
      <w:r>
        <w:rPr>
          <w:rFonts w:hAnsi="宋体"/>
          <w:snapToGrid w:val="0"/>
          <w:color w:val="auto"/>
          <w:spacing w:val="-16"/>
          <w:kern w:val="21"/>
          <w:szCs w:val="21"/>
          <w:highlight w:val="none"/>
        </w:rPr>
        <w:fldChar w:fldCharType="separate"/>
      </w:r>
      <w:r>
        <w:rPr>
          <w:rFonts w:hint="eastAsia" w:hAnsi="宋体"/>
          <w:color w:val="auto"/>
          <w:szCs w:val="21"/>
          <w:highlight w:val="none"/>
        </w:rPr>
        <w:t>⑥</w:t>
      </w:r>
      <w:r>
        <w:rPr>
          <w:rFonts w:hAnsi="宋体"/>
          <w:snapToGrid w:val="0"/>
          <w:color w:val="auto"/>
          <w:spacing w:val="-16"/>
          <w:kern w:val="21"/>
          <w:szCs w:val="21"/>
          <w:highlight w:val="none"/>
        </w:rPr>
        <w:fldChar w:fldCharType="end"/>
      </w:r>
      <w:r>
        <w:rPr>
          <w:rFonts w:hAnsi="宋体"/>
          <w:snapToGrid w:val="0"/>
          <w:color w:val="auto"/>
          <w:spacing w:val="-16"/>
          <w:kern w:val="21"/>
          <w:szCs w:val="21"/>
          <w:highlight w:val="none"/>
        </w:rPr>
        <w:t>=</w:t>
      </w:r>
      <w:r>
        <w:rPr>
          <w:rFonts w:hAnsi="宋体"/>
          <w:snapToGrid w:val="0"/>
          <w:color w:val="auto"/>
          <w:spacing w:val="-6"/>
          <w:kern w:val="21"/>
          <w:szCs w:val="21"/>
          <w:highlight w:val="none"/>
        </w:rPr>
        <w:fldChar w:fldCharType="begin"/>
      </w:r>
      <w:r>
        <w:rPr>
          <w:rFonts w:hAnsi="宋体"/>
          <w:snapToGrid w:val="0"/>
          <w:color w:val="auto"/>
          <w:spacing w:val="-6"/>
          <w:kern w:val="21"/>
          <w:szCs w:val="21"/>
          <w:highlight w:val="none"/>
        </w:rPr>
        <w:instrText xml:space="preserve"> = 1 \* GB3 \* MERGEFORMAT </w:instrText>
      </w:r>
      <w:r>
        <w:rPr>
          <w:rFonts w:hAnsi="宋体"/>
          <w:snapToGrid w:val="0"/>
          <w:color w:val="auto"/>
          <w:spacing w:val="-6"/>
          <w:kern w:val="21"/>
          <w:szCs w:val="21"/>
          <w:highlight w:val="none"/>
        </w:rPr>
        <w:fldChar w:fldCharType="separate"/>
      </w:r>
      <w:r>
        <w:rPr>
          <w:rFonts w:hint="eastAsia" w:hAnsi="宋体"/>
          <w:color w:val="auto"/>
          <w:szCs w:val="21"/>
          <w:highlight w:val="none"/>
        </w:rPr>
        <w:t>①</w:t>
      </w:r>
      <w:r>
        <w:rPr>
          <w:rFonts w:hAnsi="宋体"/>
          <w:snapToGrid w:val="0"/>
          <w:color w:val="auto"/>
          <w:spacing w:val="-6"/>
          <w:kern w:val="21"/>
          <w:szCs w:val="21"/>
          <w:highlight w:val="none"/>
        </w:rPr>
        <w:fldChar w:fldCharType="end"/>
      </w:r>
      <w:r>
        <w:rPr>
          <w:rFonts w:hAnsi="宋体"/>
          <w:snapToGrid w:val="0"/>
          <w:color w:val="auto"/>
          <w:spacing w:val="-6"/>
          <w:kern w:val="21"/>
          <w:szCs w:val="21"/>
          <w:highlight w:val="none"/>
        </w:rPr>
        <w:t>+</w:t>
      </w:r>
      <w:r>
        <w:rPr>
          <w:rFonts w:hAnsi="宋体"/>
          <w:snapToGrid w:val="0"/>
          <w:color w:val="auto"/>
          <w:spacing w:val="-6"/>
          <w:kern w:val="21"/>
          <w:szCs w:val="21"/>
          <w:highlight w:val="none"/>
        </w:rPr>
        <w:fldChar w:fldCharType="begin"/>
      </w:r>
      <w:r>
        <w:rPr>
          <w:rFonts w:hAnsi="宋体"/>
          <w:snapToGrid w:val="0"/>
          <w:color w:val="auto"/>
          <w:spacing w:val="-6"/>
          <w:kern w:val="21"/>
          <w:szCs w:val="21"/>
          <w:highlight w:val="none"/>
        </w:rPr>
        <w:instrText xml:space="preserve"> = 3 \* GB3 \* MERGEFORMAT </w:instrText>
      </w:r>
      <w:r>
        <w:rPr>
          <w:rFonts w:hAnsi="宋体"/>
          <w:snapToGrid w:val="0"/>
          <w:color w:val="auto"/>
          <w:spacing w:val="-6"/>
          <w:kern w:val="21"/>
          <w:szCs w:val="21"/>
          <w:highlight w:val="none"/>
        </w:rPr>
        <w:fldChar w:fldCharType="separate"/>
      </w:r>
      <w:r>
        <w:rPr>
          <w:rFonts w:hint="eastAsia" w:hAnsi="宋体"/>
          <w:color w:val="auto"/>
          <w:szCs w:val="21"/>
          <w:highlight w:val="none"/>
        </w:rPr>
        <w:t>③</w:t>
      </w:r>
      <w:r>
        <w:rPr>
          <w:rFonts w:hAnsi="宋体"/>
          <w:snapToGrid w:val="0"/>
          <w:color w:val="auto"/>
          <w:spacing w:val="-6"/>
          <w:kern w:val="21"/>
          <w:szCs w:val="21"/>
          <w:highlight w:val="none"/>
        </w:rPr>
        <w:fldChar w:fldCharType="end"/>
      </w:r>
      <w:r>
        <w:rPr>
          <w:rFonts w:hAnsi="宋体"/>
          <w:snapToGrid w:val="0"/>
          <w:color w:val="auto"/>
          <w:spacing w:val="-6"/>
          <w:kern w:val="21"/>
          <w:szCs w:val="21"/>
          <w:highlight w:val="none"/>
        </w:rPr>
        <w:t>+</w:t>
      </w:r>
      <w:r>
        <w:rPr>
          <w:rFonts w:hAnsi="宋体"/>
          <w:snapToGrid w:val="0"/>
          <w:color w:val="auto"/>
          <w:spacing w:val="-6"/>
          <w:kern w:val="21"/>
          <w:szCs w:val="21"/>
          <w:highlight w:val="none"/>
        </w:rPr>
        <w:fldChar w:fldCharType="begin"/>
      </w:r>
      <w:r>
        <w:rPr>
          <w:rFonts w:hAnsi="宋体"/>
          <w:snapToGrid w:val="0"/>
          <w:color w:val="auto"/>
          <w:spacing w:val="-6"/>
          <w:kern w:val="21"/>
          <w:szCs w:val="21"/>
          <w:highlight w:val="none"/>
        </w:rPr>
        <w:instrText xml:space="preserve"> = 4 \* GB3 \* MERGEFORMAT </w:instrText>
      </w:r>
      <w:r>
        <w:rPr>
          <w:rFonts w:hAnsi="宋体"/>
          <w:snapToGrid w:val="0"/>
          <w:color w:val="auto"/>
          <w:spacing w:val="-6"/>
          <w:kern w:val="21"/>
          <w:szCs w:val="21"/>
          <w:highlight w:val="none"/>
        </w:rPr>
        <w:fldChar w:fldCharType="separate"/>
      </w:r>
      <w:r>
        <w:rPr>
          <w:rFonts w:hint="eastAsia" w:hAnsi="宋体"/>
          <w:color w:val="auto"/>
          <w:szCs w:val="21"/>
          <w:highlight w:val="none"/>
        </w:rPr>
        <w:t>④</w:t>
      </w:r>
      <w:r>
        <w:rPr>
          <w:rFonts w:hAnsi="宋体"/>
          <w:snapToGrid w:val="0"/>
          <w:color w:val="auto"/>
          <w:spacing w:val="-6"/>
          <w:kern w:val="21"/>
          <w:szCs w:val="21"/>
          <w:highlight w:val="none"/>
        </w:rPr>
        <w:fldChar w:fldCharType="end"/>
      </w:r>
      <w:r>
        <w:rPr>
          <w:rFonts w:hAnsi="宋体"/>
          <w:snapToGrid w:val="0"/>
          <w:color w:val="auto"/>
          <w:spacing w:val="-6"/>
          <w:kern w:val="21"/>
          <w:szCs w:val="21"/>
          <w:highlight w:val="none"/>
        </w:rPr>
        <w:t>-</w:t>
      </w:r>
      <w:r>
        <w:rPr>
          <w:rFonts w:hAnsi="宋体"/>
          <w:snapToGrid w:val="0"/>
          <w:color w:val="auto"/>
          <w:spacing w:val="-16"/>
          <w:kern w:val="21"/>
          <w:szCs w:val="21"/>
          <w:highlight w:val="none"/>
        </w:rPr>
        <w:fldChar w:fldCharType="begin"/>
      </w:r>
      <w:r>
        <w:rPr>
          <w:rFonts w:hAnsi="宋体"/>
          <w:snapToGrid w:val="0"/>
          <w:color w:val="auto"/>
          <w:spacing w:val="-16"/>
          <w:kern w:val="21"/>
          <w:szCs w:val="21"/>
          <w:highlight w:val="none"/>
        </w:rPr>
        <w:instrText xml:space="preserve"> = 5 \* GB3 \* MERGEFORMAT </w:instrText>
      </w:r>
      <w:r>
        <w:rPr>
          <w:rFonts w:hAnsi="宋体"/>
          <w:snapToGrid w:val="0"/>
          <w:color w:val="auto"/>
          <w:spacing w:val="-16"/>
          <w:kern w:val="21"/>
          <w:szCs w:val="21"/>
          <w:highlight w:val="none"/>
        </w:rPr>
        <w:fldChar w:fldCharType="separate"/>
      </w:r>
      <w:r>
        <w:rPr>
          <w:rFonts w:hint="eastAsia" w:hAnsi="宋体"/>
          <w:color w:val="auto"/>
          <w:szCs w:val="21"/>
          <w:highlight w:val="none"/>
        </w:rPr>
        <w:t>⑤</w:t>
      </w:r>
      <w:r>
        <w:rPr>
          <w:rFonts w:hAnsi="宋体"/>
          <w:snapToGrid w:val="0"/>
          <w:color w:val="auto"/>
          <w:spacing w:val="-16"/>
          <w:kern w:val="21"/>
          <w:szCs w:val="21"/>
          <w:highlight w:val="none"/>
        </w:rPr>
        <w:fldChar w:fldCharType="end"/>
      </w:r>
      <w:r>
        <w:rPr>
          <w:rFonts w:hAnsi="宋体"/>
          <w:snapToGrid w:val="0"/>
          <w:color w:val="auto"/>
          <w:spacing w:val="-16"/>
          <w:kern w:val="21"/>
          <w:szCs w:val="21"/>
          <w:highlight w:val="none"/>
        </w:rPr>
        <w:t>；</w:t>
      </w:r>
      <w:r>
        <w:rPr>
          <w:rFonts w:hAnsi="宋体"/>
          <w:snapToGrid w:val="0"/>
          <w:color w:val="auto"/>
          <w:spacing w:val="-6"/>
          <w:kern w:val="21"/>
          <w:szCs w:val="21"/>
          <w:highlight w:val="none"/>
        </w:rPr>
        <w:fldChar w:fldCharType="begin"/>
      </w:r>
      <w:r>
        <w:rPr>
          <w:rFonts w:hAnsi="宋体"/>
          <w:snapToGrid w:val="0"/>
          <w:color w:val="auto"/>
          <w:spacing w:val="-6"/>
          <w:kern w:val="21"/>
          <w:szCs w:val="21"/>
          <w:highlight w:val="none"/>
        </w:rPr>
        <w:instrText xml:space="preserve"> = 7 \* GB3 \* MERGEFORMAT </w:instrText>
      </w:r>
      <w:r>
        <w:rPr>
          <w:rFonts w:hAnsi="宋体"/>
          <w:snapToGrid w:val="0"/>
          <w:color w:val="auto"/>
          <w:spacing w:val="-6"/>
          <w:kern w:val="21"/>
          <w:szCs w:val="21"/>
          <w:highlight w:val="none"/>
        </w:rPr>
        <w:fldChar w:fldCharType="separate"/>
      </w:r>
      <w:r>
        <w:rPr>
          <w:rFonts w:hint="eastAsia" w:hAnsi="宋体"/>
          <w:color w:val="auto"/>
          <w:szCs w:val="21"/>
          <w:highlight w:val="none"/>
        </w:rPr>
        <w:t>⑦</w:t>
      </w:r>
      <w:r>
        <w:rPr>
          <w:rFonts w:hAnsi="宋体"/>
          <w:snapToGrid w:val="0"/>
          <w:color w:val="auto"/>
          <w:spacing w:val="-6"/>
          <w:kern w:val="21"/>
          <w:szCs w:val="21"/>
          <w:highlight w:val="none"/>
        </w:rPr>
        <w:fldChar w:fldCharType="end"/>
      </w:r>
      <w:r>
        <w:rPr>
          <w:rFonts w:hAnsi="宋体"/>
          <w:snapToGrid w:val="0"/>
          <w:color w:val="auto"/>
          <w:spacing w:val="-6"/>
          <w:kern w:val="21"/>
          <w:szCs w:val="21"/>
          <w:highlight w:val="none"/>
        </w:rPr>
        <w:t>=</w:t>
      </w:r>
      <w:r>
        <w:rPr>
          <w:rFonts w:hAnsi="宋体"/>
          <w:snapToGrid w:val="0"/>
          <w:color w:val="auto"/>
          <w:spacing w:val="-16"/>
          <w:kern w:val="21"/>
          <w:szCs w:val="21"/>
          <w:highlight w:val="none"/>
        </w:rPr>
        <w:fldChar w:fldCharType="begin"/>
      </w:r>
      <w:r>
        <w:rPr>
          <w:rFonts w:hAnsi="宋体"/>
          <w:snapToGrid w:val="0"/>
          <w:color w:val="auto"/>
          <w:spacing w:val="-16"/>
          <w:kern w:val="21"/>
          <w:szCs w:val="21"/>
          <w:highlight w:val="none"/>
        </w:rPr>
        <w:instrText xml:space="preserve"> = 6 \* GB3 \* MERGEFORMAT </w:instrText>
      </w:r>
      <w:r>
        <w:rPr>
          <w:rFonts w:hAnsi="宋体"/>
          <w:snapToGrid w:val="0"/>
          <w:color w:val="auto"/>
          <w:spacing w:val="-16"/>
          <w:kern w:val="21"/>
          <w:szCs w:val="21"/>
          <w:highlight w:val="none"/>
        </w:rPr>
        <w:fldChar w:fldCharType="separate"/>
      </w:r>
      <w:r>
        <w:rPr>
          <w:rFonts w:hint="eastAsia" w:hAnsi="宋体"/>
          <w:color w:val="auto"/>
          <w:szCs w:val="21"/>
          <w:highlight w:val="none"/>
        </w:rPr>
        <w:t>⑥</w:t>
      </w:r>
      <w:r>
        <w:rPr>
          <w:rFonts w:hAnsi="宋体"/>
          <w:snapToGrid w:val="0"/>
          <w:color w:val="auto"/>
          <w:spacing w:val="-16"/>
          <w:kern w:val="21"/>
          <w:szCs w:val="21"/>
          <w:highlight w:val="none"/>
        </w:rPr>
        <w:fldChar w:fldCharType="end"/>
      </w:r>
      <w:r>
        <w:rPr>
          <w:rFonts w:hAnsi="宋体"/>
          <w:snapToGrid w:val="0"/>
          <w:color w:val="auto"/>
          <w:spacing w:val="-16"/>
          <w:kern w:val="21"/>
          <w:szCs w:val="21"/>
          <w:highlight w:val="none"/>
        </w:rPr>
        <w:t>-</w:t>
      </w:r>
      <w:r>
        <w:rPr>
          <w:rFonts w:hAnsi="宋体"/>
          <w:snapToGrid w:val="0"/>
          <w:color w:val="auto"/>
          <w:spacing w:val="-6"/>
          <w:kern w:val="21"/>
          <w:szCs w:val="21"/>
          <w:highlight w:val="none"/>
        </w:rPr>
        <w:fldChar w:fldCharType="begin"/>
      </w:r>
      <w:r>
        <w:rPr>
          <w:rFonts w:hAnsi="宋体"/>
          <w:snapToGrid w:val="0"/>
          <w:color w:val="auto"/>
          <w:spacing w:val="-6"/>
          <w:kern w:val="21"/>
          <w:szCs w:val="21"/>
          <w:highlight w:val="none"/>
        </w:rPr>
        <w:instrText xml:space="preserve"> = 1 \* GB3 \* MERGEFORMAT </w:instrText>
      </w:r>
      <w:r>
        <w:rPr>
          <w:rFonts w:hAnsi="宋体"/>
          <w:snapToGrid w:val="0"/>
          <w:color w:val="auto"/>
          <w:spacing w:val="-6"/>
          <w:kern w:val="21"/>
          <w:szCs w:val="21"/>
          <w:highlight w:val="none"/>
        </w:rPr>
        <w:fldChar w:fldCharType="separate"/>
      </w:r>
      <w:r>
        <w:rPr>
          <w:rFonts w:hint="eastAsia" w:hAnsi="宋体"/>
          <w:color w:val="auto"/>
          <w:szCs w:val="21"/>
          <w:highlight w:val="none"/>
        </w:rPr>
        <w:t>①</w:t>
      </w:r>
      <w:r>
        <w:rPr>
          <w:rFonts w:hAnsi="宋体"/>
          <w:snapToGrid w:val="0"/>
          <w:color w:val="auto"/>
          <w:spacing w:val="-6"/>
          <w:kern w:val="21"/>
          <w:szCs w:val="21"/>
          <w:highlight w:val="none"/>
        </w:rPr>
        <w:fldChar w:fldCharType="end"/>
      </w:r>
      <w:r>
        <w:rPr>
          <w:rFonts w:hint="eastAsia" w:hAnsi="宋体"/>
          <w:snapToGrid w:val="0"/>
          <w:color w:val="auto"/>
          <w:spacing w:val="-6"/>
          <w:kern w:val="21"/>
          <w:szCs w:val="21"/>
          <w:highlight w:val="none"/>
        </w:rPr>
        <w:t>。</w:t>
      </w:r>
    </w:p>
    <w:p w14:paraId="61840F47">
      <w:pPr>
        <w:jc w:val="left"/>
      </w:pPr>
    </w:p>
    <w:p w14:paraId="224AF79A"/>
    <w:p w14:paraId="6508C331"/>
    <w:sectPr>
      <w:footerReference r:id="rId7" w:type="default"/>
      <w:pgSz w:w="11906" w:h="16838"/>
      <w:pgMar w:top="1701" w:right="1531" w:bottom="1701" w:left="1531" w:header="851" w:footer="851"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roman"/>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embedRegular r:id="rId1" w:fontKey="{6AEF5F2A-5C12-4319-8B01-89CCE1835179}"/>
  </w:font>
  <w:font w:name="黑体">
    <w:panose1 w:val="02010609060101010101"/>
    <w:charset w:val="86"/>
    <w:family w:val="auto"/>
    <w:pitch w:val="default"/>
    <w:sig w:usb0="800002BF" w:usb1="38CF7CFA" w:usb2="00000016" w:usb3="00000000" w:csb0="00040001" w:csb1="00000000"/>
    <w:embedRegular r:id="rId2" w:fontKey="{BF391A8D-ABDB-453C-B2D9-ADA528109104}"/>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embedRegular r:id="rId3" w:fontKey="{1C8B0F7C-61FA-4CAA-AA88-D97D72EB920A}"/>
  </w:font>
  <w:font w:name="等线 Light">
    <w:altName w:val="宋体"/>
    <w:panose1 w:val="02010600030101010101"/>
    <w:charset w:val="86"/>
    <w:family w:val="auto"/>
    <w:pitch w:val="default"/>
    <w:sig w:usb0="00000000" w:usb1="00000000" w:usb2="00000016" w:usb3="00000000" w:csb0="0004000F" w:csb1="00000000"/>
  </w:font>
  <w:font w:name="仿宋_GB2312">
    <w:altName w:val="仿宋"/>
    <w:panose1 w:val="00000000000000000000"/>
    <w:charset w:val="00"/>
    <w:family w:val="modern"/>
    <w:pitch w:val="default"/>
    <w:sig w:usb0="00000000" w:usb1="00000000" w:usb2="00000000" w:usb3="00000000" w:csb0="00040000" w:csb1="00000000"/>
    <w:embedRegular r:id="rId4" w:fontKey="{8220D5D7-103C-4895-B488-966E4EA12267}"/>
  </w:font>
  <w:font w:name="仿宋">
    <w:panose1 w:val="02010609060101010101"/>
    <w:charset w:val="86"/>
    <w:family w:val="modern"/>
    <w:pitch w:val="default"/>
    <w:sig w:usb0="800002BF" w:usb1="38CF7CFA" w:usb2="00000016" w:usb3="00000000" w:csb0="00040001" w:csb1="00000000"/>
    <w:embedRegular r:id="rId5" w:fontKey="{D3CD1DBF-CAF3-4BEE-9213-D8248263405B}"/>
  </w:font>
  <w:font w:name="Cambria">
    <w:panose1 w:val="02040503050406030204"/>
    <w:charset w:val="00"/>
    <w:family w:val="roman"/>
    <w:pitch w:val="default"/>
    <w:sig w:usb0="E00002FF" w:usb1="400004FF" w:usb2="00000000" w:usb3="00000000" w:csb0="2000019F" w:csb1="00000000"/>
  </w:font>
  <w:font w:name="MingLiU">
    <w:panose1 w:val="02020509000000000000"/>
    <w:charset w:val="88"/>
    <w:family w:val="modern"/>
    <w:pitch w:val="default"/>
    <w:sig w:usb0="A00002FF" w:usb1="28CFFCFA" w:usb2="00000016" w:usb3="00000000" w:csb0="00100001" w:csb1="00000000"/>
  </w:font>
  <w:font w:name="新宋体">
    <w:panose1 w:val="02010609030101010101"/>
    <w:charset w:val="86"/>
    <w:family w:val="modern"/>
    <w:pitch w:val="default"/>
    <w:sig w:usb0="00000003" w:usb1="288F0000" w:usb2="00000006" w:usb3="00000000" w:csb0="00040001" w:csb1="00000000"/>
    <w:embedRegular r:id="rId6" w:fontKey="{3C0E5C81-CD5C-42C7-A6E1-E0DA441F5CF3}"/>
  </w:font>
  <w:font w:name="Gloucester MT Extra Condensed">
    <w:altName w:val="MT Extra"/>
    <w:panose1 w:val="02030808020601010101"/>
    <w:charset w:val="00"/>
    <w:family w:val="roman"/>
    <w:pitch w:val="default"/>
    <w:sig w:usb0="00000000" w:usb1="00000000" w:usb2="00000000" w:usb3="00000000" w:csb0="20000001" w:csb1="00000000"/>
  </w:font>
  <w:font w:name="MT Extra">
    <w:panose1 w:val="05050102010205020202"/>
    <w:charset w:val="00"/>
    <w:family w:val="auto"/>
    <w:pitch w:val="default"/>
    <w:sig w:usb0="00000000" w:usb1="00000000" w:usb2="00000000" w:usb3="00000000" w:csb0="00000000" w:csb1="00000000"/>
  </w:font>
  <w:font w:name="等线">
    <w:panose1 w:val="02010600030101010101"/>
    <w:charset w:val="86"/>
    <w:family w:val="auto"/>
    <w:pitch w:val="default"/>
    <w:sig w:usb0="A00002BF" w:usb1="38CF7CFA" w:usb2="00000016" w:usb3="00000000" w:csb0="0004000F" w:csb1="00000000"/>
    <w:embedRegular r:id="rId7" w:fontKey="{02C2C738-6E2A-47A7-B73A-0E37AC41B175}"/>
  </w:font>
  <w:font w:name="PMingLiU">
    <w:panose1 w:val="02020500000000000000"/>
    <w:charset w:val="88"/>
    <w:family w:val="auto"/>
    <w:pitch w:val="default"/>
    <w:sig w:usb0="A00002FF" w:usb1="28CFFCFA" w:usb2="00000016" w:usb3="00000000" w:csb0="00100001" w:csb1="00000000"/>
  </w:font>
  <w:font w:name="方正小标宋_GBK">
    <w:panose1 w:val="02000000000000000000"/>
    <w:charset w:val="86"/>
    <w:family w:val="auto"/>
    <w:pitch w:val="default"/>
    <w:sig w:usb0="A00002BF" w:usb1="38CF7CFA" w:usb2="00082016" w:usb3="00000000" w:csb0="00040001" w:csb1="00000000"/>
    <w:embedRegular r:id="rId8" w:fontKey="{D70CB118-6530-427C-B570-CD7012CC94DE}"/>
  </w:font>
  <w:font w:name="楷体_GB2312">
    <w:altName w:val="楷体"/>
    <w:panose1 w:val="00000000000000000000"/>
    <w:charset w:val="86"/>
    <w:family w:val="modern"/>
    <w:pitch w:val="default"/>
    <w:sig w:usb0="00000000" w:usb1="00000000" w:usb2="00000010" w:usb3="00000000" w:csb0="00040000" w:csb1="00000000"/>
    <w:embedRegular r:id="rId9" w:fontKey="{BA471B9E-3194-4AA7-9DE6-B5434C68F8D4}"/>
  </w:font>
  <w:font w:name="楷体">
    <w:panose1 w:val="02010609060101010101"/>
    <w:charset w:val="86"/>
    <w:family w:val="auto"/>
    <w:pitch w:val="default"/>
    <w:sig w:usb0="800002BF" w:usb1="38CF7CFA" w:usb2="00000016" w:usb3="00000000" w:csb0="00040001" w:csb1="00000000"/>
  </w:font>
  <w:font w:name="华文仿宋">
    <w:panose1 w:val="02010600040101010101"/>
    <w:charset w:val="86"/>
    <w:family w:val="auto"/>
    <w:pitch w:val="default"/>
    <w:sig w:usb0="00000287" w:usb1="080F0000" w:usb2="00000000" w:usb3="00000000" w:csb0="0004009F" w:csb1="DFD70000"/>
    <w:embedRegular r:id="rId10" w:fontKey="{A31D4F19-C46A-4286-A4E1-99D7625B3D1D}"/>
  </w:font>
  <w:font w:name="Wingdings 2">
    <w:panose1 w:val="05020102010507070707"/>
    <w:charset w:val="02"/>
    <w:family w:val="roman"/>
    <w:pitch w:val="default"/>
    <w:sig w:usb0="00000000" w:usb1="00000000" w:usb2="00000000" w:usb3="00000000" w:csb0="80000000" w:csb1="00000000"/>
    <w:embedRegular r:id="rId11" w:fontKey="{16BBE230-68B4-4AED-84B3-2B7ADA340FB2}"/>
  </w:font>
  <w:font w:name="华文新魏">
    <w:panose1 w:val="02010800040101010101"/>
    <w:charset w:val="86"/>
    <w:family w:val="auto"/>
    <w:pitch w:val="default"/>
    <w:sig w:usb0="00000001" w:usb1="080F0000" w:usb2="00000000" w:usb3="00000000" w:csb0="00040000" w:csb1="00000000"/>
    <w:embedRegular r:id="rId12" w:fontKey="{87DFF690-AC17-4D9E-AE75-74B4E20560E6}"/>
  </w:font>
  <w:font w:name="Cambria Math">
    <w:panose1 w:val="02040503050406030204"/>
    <w:charset w:val="00"/>
    <w:family w:val="roman"/>
    <w:pitch w:val="default"/>
    <w:sig w:usb0="E00002FF" w:usb1="420024FF" w:usb2="00000000" w:usb3="00000000" w:csb0="2000019F" w:csb1="00000000"/>
    <w:embedRegular r:id="rId13" w:fontKey="{60CF880B-2821-4F78-95AB-25E331E163D7}"/>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84E6F5">
    <w:pPr>
      <w:pStyle w:val="22"/>
      <w:ind w:right="360" w:firstLine="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DD1B47">
    <w:pPr>
      <w:pStyle w:val="22"/>
      <w:framePr w:wrap="around" w:vAnchor="text" w:hAnchor="margin" w:xAlign="center" w:y="1"/>
      <w:rPr>
        <w:rStyle w:val="38"/>
      </w:rPr>
    </w:pPr>
    <w:r>
      <w:fldChar w:fldCharType="begin"/>
    </w:r>
    <w:r>
      <w:rPr>
        <w:rStyle w:val="38"/>
      </w:rPr>
      <w:instrText xml:space="preserve">PAGE  </w:instrText>
    </w:r>
    <w:r>
      <w:fldChar w:fldCharType="end"/>
    </w:r>
  </w:p>
  <w:p w14:paraId="2B6C5F37">
    <w:pPr>
      <w:pStyle w:val="22"/>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A79057">
    <w:pPr>
      <w:pStyle w:val="22"/>
      <w:jc w:val="center"/>
    </w:pPr>
    <w:r>
      <w:fldChar w:fldCharType="begin"/>
    </w:r>
    <w:r>
      <w:instrText xml:space="preserve">PAGE   \* MERGEFORMAT</w:instrText>
    </w:r>
    <w:r>
      <w:fldChar w:fldCharType="separate"/>
    </w:r>
    <w:r>
      <w:rPr>
        <w:lang w:val="zh-CN"/>
      </w:rPr>
      <w:t>3</w:t>
    </w:r>
    <w:r>
      <w:rPr>
        <w:lang w:val="zh-CN"/>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3A9A94">
    <w:pPr>
      <w:pStyle w:val="22"/>
      <w:jc w:val="center"/>
    </w:pPr>
    <w:r>
      <w:fldChar w:fldCharType="begin"/>
    </w:r>
    <w:r>
      <w:instrText xml:space="preserve">PAGE   \* MERGEFORMAT</w:instrText>
    </w:r>
    <w:r>
      <w:fldChar w:fldCharType="separate"/>
    </w:r>
    <w:r>
      <w:rPr>
        <w:lang w:val="zh-CN"/>
      </w:rPr>
      <w:t>39</w:t>
    </w:r>
    <w:r>
      <w:rPr>
        <w:lang w:val="zh-CN"/>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868713">
    <w:pPr>
      <w:pStyle w:val="22"/>
      <w:jc w:val="center"/>
    </w:pPr>
    <w:r>
      <w:fldChar w:fldCharType="begin"/>
    </w:r>
    <w:r>
      <w:instrText xml:space="preserve">PAGE   \* MERGEFORMAT</w:instrText>
    </w:r>
    <w:r>
      <w:fldChar w:fldCharType="separate"/>
    </w:r>
    <w:r>
      <w:rPr>
        <w:lang w:val="zh-CN"/>
      </w:rPr>
      <w:t>40</w:t>
    </w:r>
    <w:r>
      <w:rPr>
        <w:lang w:val="zh-CN"/>
      </w:rPr>
      <w:fldChar w:fldCharType="end"/>
    </w:r>
  </w:p>
  <w:p w14:paraId="5082367E"/>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5D5279B"/>
    <w:multiLevelType w:val="singleLevel"/>
    <w:tmpl w:val="A5D5279B"/>
    <w:lvl w:ilvl="0" w:tentative="0">
      <w:start w:val="3"/>
      <w:numFmt w:val="decimal"/>
      <w:suff w:val="nothing"/>
      <w:lvlText w:val="（%1）"/>
      <w:lvlJc w:val="left"/>
    </w:lvl>
  </w:abstractNum>
  <w:abstractNum w:abstractNumId="1">
    <w:nsid w:val="BB93E30A"/>
    <w:multiLevelType w:val="singleLevel"/>
    <w:tmpl w:val="BB93E30A"/>
    <w:lvl w:ilvl="0" w:tentative="0">
      <w:start w:val="2"/>
      <w:numFmt w:val="decimal"/>
      <w:suff w:val="nothing"/>
      <w:lvlText w:val="%1、"/>
      <w:lvlJc w:val="left"/>
    </w:lvl>
  </w:abstractNum>
  <w:abstractNum w:abstractNumId="2">
    <w:nsid w:val="F4FB656E"/>
    <w:multiLevelType w:val="singleLevel"/>
    <w:tmpl w:val="F4FB656E"/>
    <w:lvl w:ilvl="0" w:tentative="0">
      <w:start w:val="3"/>
      <w:numFmt w:val="decimal"/>
      <w:suff w:val="nothing"/>
      <w:lvlText w:val="%1、"/>
      <w:lvlJc w:val="left"/>
      <w:pPr>
        <w:ind w:left="-52"/>
      </w:pPr>
    </w:lvl>
  </w:abstractNum>
  <w:abstractNum w:abstractNumId="3">
    <w:nsid w:val="30606C30"/>
    <w:multiLevelType w:val="singleLevel"/>
    <w:tmpl w:val="30606C30"/>
    <w:lvl w:ilvl="0" w:tentative="0">
      <w:start w:val="1"/>
      <w:numFmt w:val="decimal"/>
      <w:suff w:val="nothing"/>
      <w:lvlText w:val="%1、"/>
      <w:lvlJc w:val="left"/>
    </w:lvl>
  </w:abstractNum>
  <w:abstractNum w:abstractNumId="4">
    <w:nsid w:val="4245316C"/>
    <w:multiLevelType w:val="singleLevel"/>
    <w:tmpl w:val="4245316C"/>
    <w:lvl w:ilvl="0" w:tentative="0">
      <w:start w:val="6"/>
      <w:numFmt w:val="chineseCounting"/>
      <w:suff w:val="nothing"/>
      <w:lvlText w:val="（%1）"/>
      <w:lvlJc w:val="left"/>
      <w:rPr>
        <w:rFonts w:hint="eastAsia"/>
      </w:rPr>
    </w:lvl>
  </w:abstractNum>
  <w:abstractNum w:abstractNumId="5">
    <w:nsid w:val="5004BB35"/>
    <w:multiLevelType w:val="singleLevel"/>
    <w:tmpl w:val="5004BB35"/>
    <w:lvl w:ilvl="0" w:tentative="0">
      <w:start w:val="1"/>
      <w:numFmt w:val="decimal"/>
      <w:suff w:val="nothing"/>
      <w:lvlText w:val="（%1）"/>
      <w:lvlJc w:val="left"/>
    </w:lvl>
  </w:abstractNum>
  <w:num w:numId="1">
    <w:abstractNumId w:val="1"/>
  </w:num>
  <w:num w:numId="2">
    <w:abstractNumId w:val="3"/>
  </w:num>
  <w:num w:numId="3">
    <w:abstractNumId w:val="2"/>
  </w:num>
  <w:num w:numId="4">
    <w:abstractNumId w:val="5"/>
  </w:num>
  <w:num w:numId="5">
    <w:abstractNumId w:val="4"/>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TrueTypeFonts/>
  <w:saveSubsetFonts/>
  <w:bordersDoNotSurroundHeader w:val="0"/>
  <w:bordersDoNotSurroundFooter w:val="0"/>
  <w:documentProtection w:edit="trackedChanges" w:enforcement="0"/>
  <w:defaultTabStop w:val="420"/>
  <w:doNotHyphenateCaps/>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
  <w:docVars>
    <w:docVar w:name="commondata" w:val="eyJoZGlkIjoiNGMwYzEwOWI2Yjc4NDVkNjk2YzU5M2Q5NzRhZTcxNWEifQ=="/>
  </w:docVars>
  <w:rsids>
    <w:rsidRoot w:val="00341DD4"/>
    <w:rsid w:val="00034671"/>
    <w:rsid w:val="000512E1"/>
    <w:rsid w:val="000A1431"/>
    <w:rsid w:val="000D2532"/>
    <w:rsid w:val="001A2968"/>
    <w:rsid w:val="001B2D45"/>
    <w:rsid w:val="001C4A74"/>
    <w:rsid w:val="001D4206"/>
    <w:rsid w:val="00220A90"/>
    <w:rsid w:val="00310AA2"/>
    <w:rsid w:val="00341DD4"/>
    <w:rsid w:val="00454D77"/>
    <w:rsid w:val="00462C41"/>
    <w:rsid w:val="004F6949"/>
    <w:rsid w:val="00500138"/>
    <w:rsid w:val="00537C28"/>
    <w:rsid w:val="00553601"/>
    <w:rsid w:val="0058541D"/>
    <w:rsid w:val="005C6E8C"/>
    <w:rsid w:val="00641EF6"/>
    <w:rsid w:val="006E3B9C"/>
    <w:rsid w:val="00775038"/>
    <w:rsid w:val="00785895"/>
    <w:rsid w:val="00802C71"/>
    <w:rsid w:val="008579B3"/>
    <w:rsid w:val="008674F4"/>
    <w:rsid w:val="00867978"/>
    <w:rsid w:val="00902DE5"/>
    <w:rsid w:val="009049D8"/>
    <w:rsid w:val="009568FE"/>
    <w:rsid w:val="009A2A46"/>
    <w:rsid w:val="009B325D"/>
    <w:rsid w:val="009C2247"/>
    <w:rsid w:val="009E4EB2"/>
    <w:rsid w:val="009F6DD9"/>
    <w:rsid w:val="00A238CC"/>
    <w:rsid w:val="00A24666"/>
    <w:rsid w:val="00B17E5F"/>
    <w:rsid w:val="00B27D00"/>
    <w:rsid w:val="00BA1CF6"/>
    <w:rsid w:val="00BA61DE"/>
    <w:rsid w:val="00BA7A86"/>
    <w:rsid w:val="00BB03CF"/>
    <w:rsid w:val="00BF3FF1"/>
    <w:rsid w:val="00C341F1"/>
    <w:rsid w:val="00C606E6"/>
    <w:rsid w:val="00C71418"/>
    <w:rsid w:val="00C8417E"/>
    <w:rsid w:val="00CD2DA2"/>
    <w:rsid w:val="00E05F53"/>
    <w:rsid w:val="00E60140"/>
    <w:rsid w:val="00E972B6"/>
    <w:rsid w:val="00EE7FCE"/>
    <w:rsid w:val="00F61630"/>
    <w:rsid w:val="00FB1434"/>
    <w:rsid w:val="00FD2F8F"/>
    <w:rsid w:val="00FE1FDF"/>
    <w:rsid w:val="010130B2"/>
    <w:rsid w:val="01141165"/>
    <w:rsid w:val="01213C11"/>
    <w:rsid w:val="012375FA"/>
    <w:rsid w:val="012564EB"/>
    <w:rsid w:val="01276727"/>
    <w:rsid w:val="0130565F"/>
    <w:rsid w:val="013663B1"/>
    <w:rsid w:val="013F11A9"/>
    <w:rsid w:val="014B07F6"/>
    <w:rsid w:val="01655E65"/>
    <w:rsid w:val="01687703"/>
    <w:rsid w:val="016F283F"/>
    <w:rsid w:val="01760231"/>
    <w:rsid w:val="01772A16"/>
    <w:rsid w:val="017D59D9"/>
    <w:rsid w:val="0193608E"/>
    <w:rsid w:val="01975ACC"/>
    <w:rsid w:val="01987FE8"/>
    <w:rsid w:val="01A36CAD"/>
    <w:rsid w:val="01B21B90"/>
    <w:rsid w:val="01B97F5E"/>
    <w:rsid w:val="01BC7971"/>
    <w:rsid w:val="01BF6322"/>
    <w:rsid w:val="01C17A5F"/>
    <w:rsid w:val="01E27317"/>
    <w:rsid w:val="01E36FD6"/>
    <w:rsid w:val="01F30BBC"/>
    <w:rsid w:val="01FD4C7C"/>
    <w:rsid w:val="01FD609D"/>
    <w:rsid w:val="023E2B96"/>
    <w:rsid w:val="023E38D3"/>
    <w:rsid w:val="02433235"/>
    <w:rsid w:val="024A0090"/>
    <w:rsid w:val="025B354B"/>
    <w:rsid w:val="025C6398"/>
    <w:rsid w:val="02693149"/>
    <w:rsid w:val="0281282A"/>
    <w:rsid w:val="028E3199"/>
    <w:rsid w:val="02992DA6"/>
    <w:rsid w:val="029F2E1F"/>
    <w:rsid w:val="02A12ECC"/>
    <w:rsid w:val="02A83C84"/>
    <w:rsid w:val="02A850CA"/>
    <w:rsid w:val="02B01E88"/>
    <w:rsid w:val="02B24C55"/>
    <w:rsid w:val="02B80216"/>
    <w:rsid w:val="02BA37D8"/>
    <w:rsid w:val="02CD3CC1"/>
    <w:rsid w:val="02CD5A6F"/>
    <w:rsid w:val="02D275AC"/>
    <w:rsid w:val="02D45050"/>
    <w:rsid w:val="02D5292F"/>
    <w:rsid w:val="02D92666"/>
    <w:rsid w:val="02EE5188"/>
    <w:rsid w:val="02FC38B0"/>
    <w:rsid w:val="02FC7EA1"/>
    <w:rsid w:val="03003336"/>
    <w:rsid w:val="03045209"/>
    <w:rsid w:val="030663D5"/>
    <w:rsid w:val="03082CC9"/>
    <w:rsid w:val="030E0896"/>
    <w:rsid w:val="03160F08"/>
    <w:rsid w:val="03276F2B"/>
    <w:rsid w:val="03333611"/>
    <w:rsid w:val="034B11BF"/>
    <w:rsid w:val="036E68CF"/>
    <w:rsid w:val="03762364"/>
    <w:rsid w:val="0376513B"/>
    <w:rsid w:val="037A0E7B"/>
    <w:rsid w:val="037C672A"/>
    <w:rsid w:val="0386106D"/>
    <w:rsid w:val="038B058F"/>
    <w:rsid w:val="039260E0"/>
    <w:rsid w:val="03975088"/>
    <w:rsid w:val="039F0BB6"/>
    <w:rsid w:val="03A67A1B"/>
    <w:rsid w:val="03B00C66"/>
    <w:rsid w:val="03C2759E"/>
    <w:rsid w:val="03C9092D"/>
    <w:rsid w:val="03D71DDD"/>
    <w:rsid w:val="03DD583A"/>
    <w:rsid w:val="04123E86"/>
    <w:rsid w:val="04166B3C"/>
    <w:rsid w:val="041C3581"/>
    <w:rsid w:val="04265DAB"/>
    <w:rsid w:val="042D199D"/>
    <w:rsid w:val="04437768"/>
    <w:rsid w:val="0451447E"/>
    <w:rsid w:val="045B2258"/>
    <w:rsid w:val="045C354F"/>
    <w:rsid w:val="046039B6"/>
    <w:rsid w:val="04620439"/>
    <w:rsid w:val="04625C1B"/>
    <w:rsid w:val="04777509"/>
    <w:rsid w:val="047F0663"/>
    <w:rsid w:val="049327EB"/>
    <w:rsid w:val="04C35304"/>
    <w:rsid w:val="04D20441"/>
    <w:rsid w:val="04E71A2F"/>
    <w:rsid w:val="04EB147D"/>
    <w:rsid w:val="04FC6AE0"/>
    <w:rsid w:val="0510665E"/>
    <w:rsid w:val="051200B1"/>
    <w:rsid w:val="051B69A4"/>
    <w:rsid w:val="05212BF6"/>
    <w:rsid w:val="05487A70"/>
    <w:rsid w:val="054E09BE"/>
    <w:rsid w:val="05502988"/>
    <w:rsid w:val="05534A0F"/>
    <w:rsid w:val="056A63E5"/>
    <w:rsid w:val="058A5E9A"/>
    <w:rsid w:val="058C1C12"/>
    <w:rsid w:val="059138AB"/>
    <w:rsid w:val="05A15C51"/>
    <w:rsid w:val="05AD3936"/>
    <w:rsid w:val="05B3687C"/>
    <w:rsid w:val="05BD0623"/>
    <w:rsid w:val="05C13E91"/>
    <w:rsid w:val="05D05F97"/>
    <w:rsid w:val="05D977C6"/>
    <w:rsid w:val="05DB21FA"/>
    <w:rsid w:val="05E25CD6"/>
    <w:rsid w:val="06053772"/>
    <w:rsid w:val="06112117"/>
    <w:rsid w:val="06244E71"/>
    <w:rsid w:val="062956B3"/>
    <w:rsid w:val="062C436A"/>
    <w:rsid w:val="06386C91"/>
    <w:rsid w:val="06422A77"/>
    <w:rsid w:val="065E2E82"/>
    <w:rsid w:val="066071A5"/>
    <w:rsid w:val="067E2CDC"/>
    <w:rsid w:val="069C6D34"/>
    <w:rsid w:val="06A34AE8"/>
    <w:rsid w:val="06A55BB0"/>
    <w:rsid w:val="06C62F02"/>
    <w:rsid w:val="06CC603E"/>
    <w:rsid w:val="06D679DB"/>
    <w:rsid w:val="06E122C4"/>
    <w:rsid w:val="06F3462A"/>
    <w:rsid w:val="06FF01C2"/>
    <w:rsid w:val="07000B16"/>
    <w:rsid w:val="07163C30"/>
    <w:rsid w:val="071866D7"/>
    <w:rsid w:val="07265B89"/>
    <w:rsid w:val="072B7BD7"/>
    <w:rsid w:val="073621AB"/>
    <w:rsid w:val="0739271F"/>
    <w:rsid w:val="073B743D"/>
    <w:rsid w:val="073C7FDB"/>
    <w:rsid w:val="074402CA"/>
    <w:rsid w:val="07493558"/>
    <w:rsid w:val="074D3A0C"/>
    <w:rsid w:val="075E7367"/>
    <w:rsid w:val="0765560B"/>
    <w:rsid w:val="0778792B"/>
    <w:rsid w:val="07830C87"/>
    <w:rsid w:val="078D2CAE"/>
    <w:rsid w:val="078D7271"/>
    <w:rsid w:val="0792741E"/>
    <w:rsid w:val="07996296"/>
    <w:rsid w:val="07A01890"/>
    <w:rsid w:val="07CC5123"/>
    <w:rsid w:val="07D57174"/>
    <w:rsid w:val="07FD6DF7"/>
    <w:rsid w:val="08061963"/>
    <w:rsid w:val="080816BD"/>
    <w:rsid w:val="08114650"/>
    <w:rsid w:val="0820721F"/>
    <w:rsid w:val="0822221C"/>
    <w:rsid w:val="08373FCF"/>
    <w:rsid w:val="08452820"/>
    <w:rsid w:val="084A7B62"/>
    <w:rsid w:val="085911F2"/>
    <w:rsid w:val="085E716A"/>
    <w:rsid w:val="086F2694"/>
    <w:rsid w:val="087A1BF2"/>
    <w:rsid w:val="08805F77"/>
    <w:rsid w:val="08875F7E"/>
    <w:rsid w:val="08A26031"/>
    <w:rsid w:val="08B374B6"/>
    <w:rsid w:val="08C031CE"/>
    <w:rsid w:val="08C15085"/>
    <w:rsid w:val="08C83852"/>
    <w:rsid w:val="08C938CC"/>
    <w:rsid w:val="08D12DD6"/>
    <w:rsid w:val="08DD2B3F"/>
    <w:rsid w:val="08E024AA"/>
    <w:rsid w:val="08E458C1"/>
    <w:rsid w:val="08FD7BF9"/>
    <w:rsid w:val="09111561"/>
    <w:rsid w:val="09114A79"/>
    <w:rsid w:val="09303FED"/>
    <w:rsid w:val="094B56AF"/>
    <w:rsid w:val="095104FE"/>
    <w:rsid w:val="096156B5"/>
    <w:rsid w:val="09687D86"/>
    <w:rsid w:val="097F1A8E"/>
    <w:rsid w:val="09823FA4"/>
    <w:rsid w:val="09866978"/>
    <w:rsid w:val="09873586"/>
    <w:rsid w:val="098C352A"/>
    <w:rsid w:val="09954E0D"/>
    <w:rsid w:val="09A129E2"/>
    <w:rsid w:val="09A73712"/>
    <w:rsid w:val="09B71227"/>
    <w:rsid w:val="09BB6C68"/>
    <w:rsid w:val="09CE4371"/>
    <w:rsid w:val="09D50F2E"/>
    <w:rsid w:val="09D642FE"/>
    <w:rsid w:val="09D75426"/>
    <w:rsid w:val="09E07A3D"/>
    <w:rsid w:val="09E10052"/>
    <w:rsid w:val="09E518F1"/>
    <w:rsid w:val="09F409A0"/>
    <w:rsid w:val="09FB5160"/>
    <w:rsid w:val="09FB55B8"/>
    <w:rsid w:val="0A0C3321"/>
    <w:rsid w:val="0A0D0E47"/>
    <w:rsid w:val="0A115D4C"/>
    <w:rsid w:val="0A336560"/>
    <w:rsid w:val="0A410AF1"/>
    <w:rsid w:val="0A4A209B"/>
    <w:rsid w:val="0A4C4192"/>
    <w:rsid w:val="0A557AA3"/>
    <w:rsid w:val="0A726EFC"/>
    <w:rsid w:val="0A742C74"/>
    <w:rsid w:val="0A902C02"/>
    <w:rsid w:val="0A93381B"/>
    <w:rsid w:val="0A974405"/>
    <w:rsid w:val="0ACC1AF3"/>
    <w:rsid w:val="0ACF3DEB"/>
    <w:rsid w:val="0AE1033E"/>
    <w:rsid w:val="0AE53B72"/>
    <w:rsid w:val="0AEC3153"/>
    <w:rsid w:val="0AEF587D"/>
    <w:rsid w:val="0AF52979"/>
    <w:rsid w:val="0AF72BA2"/>
    <w:rsid w:val="0AF94022"/>
    <w:rsid w:val="0AF97AFD"/>
    <w:rsid w:val="0AFB1BDE"/>
    <w:rsid w:val="0B1F3CE3"/>
    <w:rsid w:val="0B1F4319"/>
    <w:rsid w:val="0B210838"/>
    <w:rsid w:val="0B220A87"/>
    <w:rsid w:val="0B263020"/>
    <w:rsid w:val="0B3B6339"/>
    <w:rsid w:val="0B814335"/>
    <w:rsid w:val="0B8D0A07"/>
    <w:rsid w:val="0B951A25"/>
    <w:rsid w:val="0B974E6D"/>
    <w:rsid w:val="0B9E02A3"/>
    <w:rsid w:val="0BA457DB"/>
    <w:rsid w:val="0BB91287"/>
    <w:rsid w:val="0BBA5F4B"/>
    <w:rsid w:val="0BC314C6"/>
    <w:rsid w:val="0BCA0DFC"/>
    <w:rsid w:val="0BD50FC3"/>
    <w:rsid w:val="0BEF6A57"/>
    <w:rsid w:val="0BF518FA"/>
    <w:rsid w:val="0C04484A"/>
    <w:rsid w:val="0C1C35C4"/>
    <w:rsid w:val="0C233DA4"/>
    <w:rsid w:val="0C2B7821"/>
    <w:rsid w:val="0C34090D"/>
    <w:rsid w:val="0C35268A"/>
    <w:rsid w:val="0C3A46E4"/>
    <w:rsid w:val="0C450D6C"/>
    <w:rsid w:val="0C4843B9"/>
    <w:rsid w:val="0C4C20FB"/>
    <w:rsid w:val="0C6B3626"/>
    <w:rsid w:val="0C6F6E83"/>
    <w:rsid w:val="0C7B3F1F"/>
    <w:rsid w:val="0C7D1487"/>
    <w:rsid w:val="0CBA0C99"/>
    <w:rsid w:val="0CBB42C5"/>
    <w:rsid w:val="0CDD71F7"/>
    <w:rsid w:val="0CDE7D84"/>
    <w:rsid w:val="0CE51C08"/>
    <w:rsid w:val="0CEC768D"/>
    <w:rsid w:val="0CF431DD"/>
    <w:rsid w:val="0D08498F"/>
    <w:rsid w:val="0D0C7DC3"/>
    <w:rsid w:val="0D174253"/>
    <w:rsid w:val="0D2A1D10"/>
    <w:rsid w:val="0D493385"/>
    <w:rsid w:val="0D4A1048"/>
    <w:rsid w:val="0D7203A2"/>
    <w:rsid w:val="0D722646"/>
    <w:rsid w:val="0D7B1681"/>
    <w:rsid w:val="0D9D24E2"/>
    <w:rsid w:val="0DB6186B"/>
    <w:rsid w:val="0DC43625"/>
    <w:rsid w:val="0DD407C3"/>
    <w:rsid w:val="0DD95C93"/>
    <w:rsid w:val="0DE45DFB"/>
    <w:rsid w:val="0DE67374"/>
    <w:rsid w:val="0E0152B0"/>
    <w:rsid w:val="0E030B41"/>
    <w:rsid w:val="0E0802A4"/>
    <w:rsid w:val="0E0908A4"/>
    <w:rsid w:val="0E0C6A25"/>
    <w:rsid w:val="0E111E81"/>
    <w:rsid w:val="0E3270CE"/>
    <w:rsid w:val="0E3E79DA"/>
    <w:rsid w:val="0E46217D"/>
    <w:rsid w:val="0E562603"/>
    <w:rsid w:val="0E5721EA"/>
    <w:rsid w:val="0E5D71F2"/>
    <w:rsid w:val="0E720628"/>
    <w:rsid w:val="0E7705ED"/>
    <w:rsid w:val="0E8266C5"/>
    <w:rsid w:val="0E8A515C"/>
    <w:rsid w:val="0E906A84"/>
    <w:rsid w:val="0EA21DA1"/>
    <w:rsid w:val="0EA30C46"/>
    <w:rsid w:val="0EA92D41"/>
    <w:rsid w:val="0EAD2BF9"/>
    <w:rsid w:val="0EAE1581"/>
    <w:rsid w:val="0EBA4ABC"/>
    <w:rsid w:val="0ED8043D"/>
    <w:rsid w:val="0F11271D"/>
    <w:rsid w:val="0F172BED"/>
    <w:rsid w:val="0F184297"/>
    <w:rsid w:val="0F1E557C"/>
    <w:rsid w:val="0F2316C8"/>
    <w:rsid w:val="0F242EBB"/>
    <w:rsid w:val="0F2509E1"/>
    <w:rsid w:val="0F380715"/>
    <w:rsid w:val="0F5660FF"/>
    <w:rsid w:val="0F671CCB"/>
    <w:rsid w:val="0F6B3CF4"/>
    <w:rsid w:val="0F737075"/>
    <w:rsid w:val="0F7D25CB"/>
    <w:rsid w:val="0F930041"/>
    <w:rsid w:val="0F9763F7"/>
    <w:rsid w:val="0F9C6E80"/>
    <w:rsid w:val="0FA062BA"/>
    <w:rsid w:val="0FB96D88"/>
    <w:rsid w:val="0FC521D5"/>
    <w:rsid w:val="0FC548D4"/>
    <w:rsid w:val="0FD85DE8"/>
    <w:rsid w:val="0FD9422B"/>
    <w:rsid w:val="100A29AA"/>
    <w:rsid w:val="10106A15"/>
    <w:rsid w:val="10182E93"/>
    <w:rsid w:val="102034A1"/>
    <w:rsid w:val="10256AF3"/>
    <w:rsid w:val="10352832"/>
    <w:rsid w:val="1037379A"/>
    <w:rsid w:val="104042F4"/>
    <w:rsid w:val="104917B9"/>
    <w:rsid w:val="10666866"/>
    <w:rsid w:val="107517B6"/>
    <w:rsid w:val="107838CD"/>
    <w:rsid w:val="10AC13BA"/>
    <w:rsid w:val="10AF6B3A"/>
    <w:rsid w:val="10B12083"/>
    <w:rsid w:val="10B8464E"/>
    <w:rsid w:val="10C7369F"/>
    <w:rsid w:val="10F0323E"/>
    <w:rsid w:val="10FC5772"/>
    <w:rsid w:val="10FE14EA"/>
    <w:rsid w:val="110F2EA6"/>
    <w:rsid w:val="110F7B9B"/>
    <w:rsid w:val="1111121D"/>
    <w:rsid w:val="111F5A73"/>
    <w:rsid w:val="112D69DD"/>
    <w:rsid w:val="113D0264"/>
    <w:rsid w:val="11431086"/>
    <w:rsid w:val="114E117A"/>
    <w:rsid w:val="114E421F"/>
    <w:rsid w:val="11586174"/>
    <w:rsid w:val="11643A43"/>
    <w:rsid w:val="11651569"/>
    <w:rsid w:val="118653FD"/>
    <w:rsid w:val="1190478E"/>
    <w:rsid w:val="11980F64"/>
    <w:rsid w:val="11B147AE"/>
    <w:rsid w:val="11B30526"/>
    <w:rsid w:val="11C37235"/>
    <w:rsid w:val="11CE7580"/>
    <w:rsid w:val="11DE6E1F"/>
    <w:rsid w:val="11E15093"/>
    <w:rsid w:val="11EA5152"/>
    <w:rsid w:val="120476A6"/>
    <w:rsid w:val="120D40DA"/>
    <w:rsid w:val="121710A5"/>
    <w:rsid w:val="121C519E"/>
    <w:rsid w:val="122361EE"/>
    <w:rsid w:val="123020F0"/>
    <w:rsid w:val="1233026B"/>
    <w:rsid w:val="124E2555"/>
    <w:rsid w:val="12550D18"/>
    <w:rsid w:val="12593FDB"/>
    <w:rsid w:val="12601E40"/>
    <w:rsid w:val="126637EB"/>
    <w:rsid w:val="12687B8A"/>
    <w:rsid w:val="12781E38"/>
    <w:rsid w:val="12A64675"/>
    <w:rsid w:val="12B46931"/>
    <w:rsid w:val="12D419D9"/>
    <w:rsid w:val="12FF077C"/>
    <w:rsid w:val="130324BB"/>
    <w:rsid w:val="130D399B"/>
    <w:rsid w:val="13390F81"/>
    <w:rsid w:val="133920CC"/>
    <w:rsid w:val="133A279F"/>
    <w:rsid w:val="13517FF7"/>
    <w:rsid w:val="13606F15"/>
    <w:rsid w:val="1362539D"/>
    <w:rsid w:val="13642DDD"/>
    <w:rsid w:val="13693592"/>
    <w:rsid w:val="13712452"/>
    <w:rsid w:val="13743CE5"/>
    <w:rsid w:val="138C4515"/>
    <w:rsid w:val="13A12DDD"/>
    <w:rsid w:val="13A91BE1"/>
    <w:rsid w:val="13B67DBD"/>
    <w:rsid w:val="13BF6C92"/>
    <w:rsid w:val="13C4295E"/>
    <w:rsid w:val="13CA59F7"/>
    <w:rsid w:val="13CD7229"/>
    <w:rsid w:val="13D75179"/>
    <w:rsid w:val="14031631"/>
    <w:rsid w:val="140A3B78"/>
    <w:rsid w:val="14131750"/>
    <w:rsid w:val="141D612B"/>
    <w:rsid w:val="14432784"/>
    <w:rsid w:val="145834F3"/>
    <w:rsid w:val="147B6246"/>
    <w:rsid w:val="148F0494"/>
    <w:rsid w:val="14900FF3"/>
    <w:rsid w:val="149A777C"/>
    <w:rsid w:val="149E479D"/>
    <w:rsid w:val="14AA6670"/>
    <w:rsid w:val="14BC5944"/>
    <w:rsid w:val="14C64A14"/>
    <w:rsid w:val="14D25167"/>
    <w:rsid w:val="14EA104F"/>
    <w:rsid w:val="14F165F1"/>
    <w:rsid w:val="14F9199B"/>
    <w:rsid w:val="15095E33"/>
    <w:rsid w:val="15235DBF"/>
    <w:rsid w:val="152E3299"/>
    <w:rsid w:val="15396F94"/>
    <w:rsid w:val="15537304"/>
    <w:rsid w:val="15595889"/>
    <w:rsid w:val="15597A58"/>
    <w:rsid w:val="156D65B9"/>
    <w:rsid w:val="15AA1C40"/>
    <w:rsid w:val="15AA6325"/>
    <w:rsid w:val="15B025D8"/>
    <w:rsid w:val="15B23E23"/>
    <w:rsid w:val="15B45E45"/>
    <w:rsid w:val="15BA1E98"/>
    <w:rsid w:val="15C34AB0"/>
    <w:rsid w:val="15CC4C65"/>
    <w:rsid w:val="15D53161"/>
    <w:rsid w:val="15F07F9B"/>
    <w:rsid w:val="15FD0B16"/>
    <w:rsid w:val="160F7356"/>
    <w:rsid w:val="16135A37"/>
    <w:rsid w:val="162437A1"/>
    <w:rsid w:val="162D3043"/>
    <w:rsid w:val="163F05DA"/>
    <w:rsid w:val="164E0668"/>
    <w:rsid w:val="166E2C6E"/>
    <w:rsid w:val="16801192"/>
    <w:rsid w:val="16831DBB"/>
    <w:rsid w:val="168D57EA"/>
    <w:rsid w:val="168E11C7"/>
    <w:rsid w:val="169326D4"/>
    <w:rsid w:val="16B05428"/>
    <w:rsid w:val="16BD3139"/>
    <w:rsid w:val="16C237AB"/>
    <w:rsid w:val="1704472B"/>
    <w:rsid w:val="170B2BB3"/>
    <w:rsid w:val="172D4B0D"/>
    <w:rsid w:val="173D6892"/>
    <w:rsid w:val="174618F7"/>
    <w:rsid w:val="176F6C9D"/>
    <w:rsid w:val="177D31A2"/>
    <w:rsid w:val="178321B2"/>
    <w:rsid w:val="178A6DBB"/>
    <w:rsid w:val="17A646CF"/>
    <w:rsid w:val="17C444A6"/>
    <w:rsid w:val="17D13EE9"/>
    <w:rsid w:val="17D932AC"/>
    <w:rsid w:val="17DF339A"/>
    <w:rsid w:val="17E248CF"/>
    <w:rsid w:val="17EE4D55"/>
    <w:rsid w:val="17F65611"/>
    <w:rsid w:val="1816671D"/>
    <w:rsid w:val="181C294C"/>
    <w:rsid w:val="18277578"/>
    <w:rsid w:val="18387277"/>
    <w:rsid w:val="184055B9"/>
    <w:rsid w:val="18495740"/>
    <w:rsid w:val="185365BF"/>
    <w:rsid w:val="18544907"/>
    <w:rsid w:val="185D2F9A"/>
    <w:rsid w:val="18711C2C"/>
    <w:rsid w:val="18842C1C"/>
    <w:rsid w:val="188E00B6"/>
    <w:rsid w:val="188E75F7"/>
    <w:rsid w:val="189746FE"/>
    <w:rsid w:val="189866C8"/>
    <w:rsid w:val="189C0CED"/>
    <w:rsid w:val="18B05567"/>
    <w:rsid w:val="18F338FE"/>
    <w:rsid w:val="190478B9"/>
    <w:rsid w:val="19150708"/>
    <w:rsid w:val="19164715"/>
    <w:rsid w:val="191F64A1"/>
    <w:rsid w:val="192170AE"/>
    <w:rsid w:val="1922346A"/>
    <w:rsid w:val="1935389B"/>
    <w:rsid w:val="19383B62"/>
    <w:rsid w:val="193C7C72"/>
    <w:rsid w:val="19401195"/>
    <w:rsid w:val="19561F62"/>
    <w:rsid w:val="19715320"/>
    <w:rsid w:val="197301DA"/>
    <w:rsid w:val="198A2231"/>
    <w:rsid w:val="19A9246D"/>
    <w:rsid w:val="19B66526"/>
    <w:rsid w:val="19BD28CA"/>
    <w:rsid w:val="19D16DFD"/>
    <w:rsid w:val="19DF187E"/>
    <w:rsid w:val="19E41BC5"/>
    <w:rsid w:val="1A0A62AD"/>
    <w:rsid w:val="1A0C7826"/>
    <w:rsid w:val="1A10072D"/>
    <w:rsid w:val="1A312930"/>
    <w:rsid w:val="1A3C5E56"/>
    <w:rsid w:val="1A473F02"/>
    <w:rsid w:val="1A53464F"/>
    <w:rsid w:val="1A540930"/>
    <w:rsid w:val="1A5F0CF1"/>
    <w:rsid w:val="1A613215"/>
    <w:rsid w:val="1A7120E9"/>
    <w:rsid w:val="1A8707A2"/>
    <w:rsid w:val="1A9066F9"/>
    <w:rsid w:val="1A98284F"/>
    <w:rsid w:val="1AA73898"/>
    <w:rsid w:val="1AAB623F"/>
    <w:rsid w:val="1AB90641"/>
    <w:rsid w:val="1AC10F48"/>
    <w:rsid w:val="1AC94917"/>
    <w:rsid w:val="1AD54E1C"/>
    <w:rsid w:val="1AE41750"/>
    <w:rsid w:val="1AEC3341"/>
    <w:rsid w:val="1AF17B19"/>
    <w:rsid w:val="1AF20F2C"/>
    <w:rsid w:val="1B0141DA"/>
    <w:rsid w:val="1B12650D"/>
    <w:rsid w:val="1B157B5C"/>
    <w:rsid w:val="1B1C10AC"/>
    <w:rsid w:val="1B3B7D3C"/>
    <w:rsid w:val="1B522B5E"/>
    <w:rsid w:val="1B6050F1"/>
    <w:rsid w:val="1B636B19"/>
    <w:rsid w:val="1B652C55"/>
    <w:rsid w:val="1B6F3710"/>
    <w:rsid w:val="1B9F64EC"/>
    <w:rsid w:val="1BB855E9"/>
    <w:rsid w:val="1BBB4C29"/>
    <w:rsid w:val="1BBD091F"/>
    <w:rsid w:val="1BBE01F3"/>
    <w:rsid w:val="1BC03F6C"/>
    <w:rsid w:val="1BD14AEB"/>
    <w:rsid w:val="1BD6642A"/>
    <w:rsid w:val="1BE27765"/>
    <w:rsid w:val="1BE834C2"/>
    <w:rsid w:val="1BEA723A"/>
    <w:rsid w:val="1BF12377"/>
    <w:rsid w:val="1BFB31F6"/>
    <w:rsid w:val="1C1A1632"/>
    <w:rsid w:val="1C1D6167"/>
    <w:rsid w:val="1C362480"/>
    <w:rsid w:val="1C524DC1"/>
    <w:rsid w:val="1C597F1C"/>
    <w:rsid w:val="1C5B41FF"/>
    <w:rsid w:val="1C5C1B50"/>
    <w:rsid w:val="1C5F07F8"/>
    <w:rsid w:val="1C644713"/>
    <w:rsid w:val="1C66073C"/>
    <w:rsid w:val="1C7152CE"/>
    <w:rsid w:val="1C7200C2"/>
    <w:rsid w:val="1C7848C9"/>
    <w:rsid w:val="1C7F7983"/>
    <w:rsid w:val="1C831656"/>
    <w:rsid w:val="1C8651B5"/>
    <w:rsid w:val="1C907DE2"/>
    <w:rsid w:val="1C9A47BD"/>
    <w:rsid w:val="1CA218C3"/>
    <w:rsid w:val="1CA236C5"/>
    <w:rsid w:val="1CA519FD"/>
    <w:rsid w:val="1CB33715"/>
    <w:rsid w:val="1CB6711D"/>
    <w:rsid w:val="1CBF24D2"/>
    <w:rsid w:val="1CD51C99"/>
    <w:rsid w:val="1CDD6E21"/>
    <w:rsid w:val="1CF33ECD"/>
    <w:rsid w:val="1CFB407F"/>
    <w:rsid w:val="1D0D1432"/>
    <w:rsid w:val="1D1A7BEF"/>
    <w:rsid w:val="1D322646"/>
    <w:rsid w:val="1D383FD6"/>
    <w:rsid w:val="1D61177E"/>
    <w:rsid w:val="1D8D324C"/>
    <w:rsid w:val="1D9D475C"/>
    <w:rsid w:val="1DAC5E21"/>
    <w:rsid w:val="1DB44D83"/>
    <w:rsid w:val="1DB95116"/>
    <w:rsid w:val="1DC15D79"/>
    <w:rsid w:val="1DCA08C1"/>
    <w:rsid w:val="1DD26069"/>
    <w:rsid w:val="1DD6651A"/>
    <w:rsid w:val="1DDA5067"/>
    <w:rsid w:val="1DE82C1C"/>
    <w:rsid w:val="1DED6BA6"/>
    <w:rsid w:val="1E004AF3"/>
    <w:rsid w:val="1E043C37"/>
    <w:rsid w:val="1E2012C8"/>
    <w:rsid w:val="1E206F43"/>
    <w:rsid w:val="1E2A5821"/>
    <w:rsid w:val="1E3D6282"/>
    <w:rsid w:val="1E5C100C"/>
    <w:rsid w:val="1E6F53E6"/>
    <w:rsid w:val="1E780D78"/>
    <w:rsid w:val="1E912BAE"/>
    <w:rsid w:val="1E9A18CE"/>
    <w:rsid w:val="1EAC07D7"/>
    <w:rsid w:val="1EB51D82"/>
    <w:rsid w:val="1EB7114B"/>
    <w:rsid w:val="1EBF4921"/>
    <w:rsid w:val="1EC41EFA"/>
    <w:rsid w:val="1EC73863"/>
    <w:rsid w:val="1EC8325D"/>
    <w:rsid w:val="1ED40E06"/>
    <w:rsid w:val="1ED90EA2"/>
    <w:rsid w:val="1EE91A2B"/>
    <w:rsid w:val="1EE95C68"/>
    <w:rsid w:val="1F0F0D80"/>
    <w:rsid w:val="1F2667DB"/>
    <w:rsid w:val="1F271A3E"/>
    <w:rsid w:val="1F3D2D0E"/>
    <w:rsid w:val="1F401F05"/>
    <w:rsid w:val="1F5B34BE"/>
    <w:rsid w:val="1F6966C8"/>
    <w:rsid w:val="1F872C54"/>
    <w:rsid w:val="1F8852E1"/>
    <w:rsid w:val="1F8D0609"/>
    <w:rsid w:val="1F930BDA"/>
    <w:rsid w:val="1F9C78FB"/>
    <w:rsid w:val="1FAB6CE1"/>
    <w:rsid w:val="1FB240B6"/>
    <w:rsid w:val="1FB5190D"/>
    <w:rsid w:val="1FB8145E"/>
    <w:rsid w:val="1FC05819"/>
    <w:rsid w:val="1FCD30FB"/>
    <w:rsid w:val="1FDE05CD"/>
    <w:rsid w:val="1FE06E56"/>
    <w:rsid w:val="1FEB1FA4"/>
    <w:rsid w:val="1FF231B2"/>
    <w:rsid w:val="2000606F"/>
    <w:rsid w:val="20043C15"/>
    <w:rsid w:val="200678EB"/>
    <w:rsid w:val="200E0DCE"/>
    <w:rsid w:val="201A5364"/>
    <w:rsid w:val="201E1A51"/>
    <w:rsid w:val="201F3A55"/>
    <w:rsid w:val="202B4C70"/>
    <w:rsid w:val="202B5346"/>
    <w:rsid w:val="20344F28"/>
    <w:rsid w:val="204B28C3"/>
    <w:rsid w:val="2051027A"/>
    <w:rsid w:val="205F7254"/>
    <w:rsid w:val="206D65F2"/>
    <w:rsid w:val="20793F96"/>
    <w:rsid w:val="207A2547"/>
    <w:rsid w:val="2082367E"/>
    <w:rsid w:val="208F215E"/>
    <w:rsid w:val="209C3313"/>
    <w:rsid w:val="20B05F63"/>
    <w:rsid w:val="20B83B8F"/>
    <w:rsid w:val="20C20786"/>
    <w:rsid w:val="20C75D9C"/>
    <w:rsid w:val="20D3029D"/>
    <w:rsid w:val="20EB45C9"/>
    <w:rsid w:val="20FB41A6"/>
    <w:rsid w:val="20FC21BE"/>
    <w:rsid w:val="21025026"/>
    <w:rsid w:val="21101A41"/>
    <w:rsid w:val="21114778"/>
    <w:rsid w:val="2133559C"/>
    <w:rsid w:val="21670FC9"/>
    <w:rsid w:val="21722CDC"/>
    <w:rsid w:val="21723F5A"/>
    <w:rsid w:val="217C601D"/>
    <w:rsid w:val="21932304"/>
    <w:rsid w:val="21AC49DF"/>
    <w:rsid w:val="21B24356"/>
    <w:rsid w:val="21B52473"/>
    <w:rsid w:val="21CB262D"/>
    <w:rsid w:val="21DB7773"/>
    <w:rsid w:val="21E11A55"/>
    <w:rsid w:val="21E36C06"/>
    <w:rsid w:val="21F030DA"/>
    <w:rsid w:val="220B1BC2"/>
    <w:rsid w:val="221B63A0"/>
    <w:rsid w:val="222114DC"/>
    <w:rsid w:val="223E1367"/>
    <w:rsid w:val="224F66C7"/>
    <w:rsid w:val="22711B4B"/>
    <w:rsid w:val="227451EA"/>
    <w:rsid w:val="227B20A1"/>
    <w:rsid w:val="227E501A"/>
    <w:rsid w:val="228A7543"/>
    <w:rsid w:val="22910410"/>
    <w:rsid w:val="22992C61"/>
    <w:rsid w:val="22A7378F"/>
    <w:rsid w:val="22C1269A"/>
    <w:rsid w:val="22CE60AA"/>
    <w:rsid w:val="22D55D68"/>
    <w:rsid w:val="22D742E9"/>
    <w:rsid w:val="22F775E9"/>
    <w:rsid w:val="23045086"/>
    <w:rsid w:val="23184960"/>
    <w:rsid w:val="23300078"/>
    <w:rsid w:val="233C211C"/>
    <w:rsid w:val="2351194D"/>
    <w:rsid w:val="235755DB"/>
    <w:rsid w:val="23585603"/>
    <w:rsid w:val="23597DC2"/>
    <w:rsid w:val="235D2433"/>
    <w:rsid w:val="23600090"/>
    <w:rsid w:val="237649D0"/>
    <w:rsid w:val="23825FEE"/>
    <w:rsid w:val="23BD5235"/>
    <w:rsid w:val="23C44815"/>
    <w:rsid w:val="23C51AF8"/>
    <w:rsid w:val="23C860B3"/>
    <w:rsid w:val="23C95987"/>
    <w:rsid w:val="23EB66CA"/>
    <w:rsid w:val="23EC7BEA"/>
    <w:rsid w:val="23FA3D93"/>
    <w:rsid w:val="241F0742"/>
    <w:rsid w:val="242D636A"/>
    <w:rsid w:val="2437353F"/>
    <w:rsid w:val="2443573A"/>
    <w:rsid w:val="244871F4"/>
    <w:rsid w:val="244D65B8"/>
    <w:rsid w:val="244F0CD7"/>
    <w:rsid w:val="244F6828"/>
    <w:rsid w:val="24576D8A"/>
    <w:rsid w:val="2466767A"/>
    <w:rsid w:val="24776664"/>
    <w:rsid w:val="247A3549"/>
    <w:rsid w:val="24896F9C"/>
    <w:rsid w:val="24904744"/>
    <w:rsid w:val="24945F95"/>
    <w:rsid w:val="24A863B5"/>
    <w:rsid w:val="24AC0E86"/>
    <w:rsid w:val="24AC7783"/>
    <w:rsid w:val="24B14A96"/>
    <w:rsid w:val="24B57FE4"/>
    <w:rsid w:val="24B85FE4"/>
    <w:rsid w:val="24B959FC"/>
    <w:rsid w:val="24C543A1"/>
    <w:rsid w:val="24C8549B"/>
    <w:rsid w:val="24C9098F"/>
    <w:rsid w:val="24ED56A6"/>
    <w:rsid w:val="24F15196"/>
    <w:rsid w:val="24F42ED8"/>
    <w:rsid w:val="250255F5"/>
    <w:rsid w:val="25095901"/>
    <w:rsid w:val="251C36CC"/>
    <w:rsid w:val="25234B3C"/>
    <w:rsid w:val="253D03DB"/>
    <w:rsid w:val="254A115E"/>
    <w:rsid w:val="254A20D6"/>
    <w:rsid w:val="255C215A"/>
    <w:rsid w:val="255C6A87"/>
    <w:rsid w:val="256A67A4"/>
    <w:rsid w:val="25733194"/>
    <w:rsid w:val="25801F7E"/>
    <w:rsid w:val="25861774"/>
    <w:rsid w:val="25863CCE"/>
    <w:rsid w:val="25890B16"/>
    <w:rsid w:val="258C1362"/>
    <w:rsid w:val="2593679E"/>
    <w:rsid w:val="25A0196B"/>
    <w:rsid w:val="25A53B96"/>
    <w:rsid w:val="25B82157"/>
    <w:rsid w:val="25B9557E"/>
    <w:rsid w:val="25BF518E"/>
    <w:rsid w:val="25D961D0"/>
    <w:rsid w:val="25E122A6"/>
    <w:rsid w:val="25E35426"/>
    <w:rsid w:val="25E707F7"/>
    <w:rsid w:val="25E876E0"/>
    <w:rsid w:val="25EC4100"/>
    <w:rsid w:val="25F3318F"/>
    <w:rsid w:val="26116CE7"/>
    <w:rsid w:val="261750D0"/>
    <w:rsid w:val="26193812"/>
    <w:rsid w:val="26431A21"/>
    <w:rsid w:val="265B0541"/>
    <w:rsid w:val="26672348"/>
    <w:rsid w:val="266D7546"/>
    <w:rsid w:val="26840989"/>
    <w:rsid w:val="26B64030"/>
    <w:rsid w:val="26B807B0"/>
    <w:rsid w:val="26B95302"/>
    <w:rsid w:val="26C012C4"/>
    <w:rsid w:val="26C568DA"/>
    <w:rsid w:val="26C708A4"/>
    <w:rsid w:val="26CA47CE"/>
    <w:rsid w:val="26CB4321"/>
    <w:rsid w:val="26D1483F"/>
    <w:rsid w:val="26D33C77"/>
    <w:rsid w:val="26DE68E5"/>
    <w:rsid w:val="26E86A6C"/>
    <w:rsid w:val="2705317A"/>
    <w:rsid w:val="27080CF3"/>
    <w:rsid w:val="27103A7F"/>
    <w:rsid w:val="27604BA9"/>
    <w:rsid w:val="27636E07"/>
    <w:rsid w:val="276415E7"/>
    <w:rsid w:val="276738C3"/>
    <w:rsid w:val="27677991"/>
    <w:rsid w:val="276A122F"/>
    <w:rsid w:val="276D6723"/>
    <w:rsid w:val="27722B7C"/>
    <w:rsid w:val="279B763B"/>
    <w:rsid w:val="27AC64E8"/>
    <w:rsid w:val="27AC7A9A"/>
    <w:rsid w:val="27C5486C"/>
    <w:rsid w:val="27D75D5F"/>
    <w:rsid w:val="27DB2D51"/>
    <w:rsid w:val="27DD40F7"/>
    <w:rsid w:val="27F42B67"/>
    <w:rsid w:val="27F42D1C"/>
    <w:rsid w:val="27F80F7B"/>
    <w:rsid w:val="280576EE"/>
    <w:rsid w:val="281F2148"/>
    <w:rsid w:val="282049BC"/>
    <w:rsid w:val="2826784C"/>
    <w:rsid w:val="282D0BDB"/>
    <w:rsid w:val="28426A77"/>
    <w:rsid w:val="284C2515"/>
    <w:rsid w:val="28575C58"/>
    <w:rsid w:val="28593214"/>
    <w:rsid w:val="285A12A4"/>
    <w:rsid w:val="2886653D"/>
    <w:rsid w:val="28943FB7"/>
    <w:rsid w:val="289E3C5D"/>
    <w:rsid w:val="28A365DE"/>
    <w:rsid w:val="28B0474F"/>
    <w:rsid w:val="28B51936"/>
    <w:rsid w:val="28D45DBA"/>
    <w:rsid w:val="28F45255"/>
    <w:rsid w:val="28FB3492"/>
    <w:rsid w:val="29121B7F"/>
    <w:rsid w:val="29181BE3"/>
    <w:rsid w:val="292377D9"/>
    <w:rsid w:val="294207DB"/>
    <w:rsid w:val="29487354"/>
    <w:rsid w:val="296073CF"/>
    <w:rsid w:val="298A4F2C"/>
    <w:rsid w:val="298B2C60"/>
    <w:rsid w:val="29944EF7"/>
    <w:rsid w:val="29B11398"/>
    <w:rsid w:val="29B35110"/>
    <w:rsid w:val="29B52B83"/>
    <w:rsid w:val="29B72649"/>
    <w:rsid w:val="29BB1E01"/>
    <w:rsid w:val="29BD4E21"/>
    <w:rsid w:val="29C0583D"/>
    <w:rsid w:val="29C24A4B"/>
    <w:rsid w:val="29DE3ED0"/>
    <w:rsid w:val="29E96D83"/>
    <w:rsid w:val="29EB48A9"/>
    <w:rsid w:val="29F6324E"/>
    <w:rsid w:val="29F714A0"/>
    <w:rsid w:val="29FF6BE5"/>
    <w:rsid w:val="2A0B4F4C"/>
    <w:rsid w:val="2A0C2586"/>
    <w:rsid w:val="2A135BAE"/>
    <w:rsid w:val="2A1D2DF3"/>
    <w:rsid w:val="2A273408"/>
    <w:rsid w:val="2A3049B2"/>
    <w:rsid w:val="2A355B25"/>
    <w:rsid w:val="2A4917DD"/>
    <w:rsid w:val="2A6033D4"/>
    <w:rsid w:val="2A6567A6"/>
    <w:rsid w:val="2A6B59EA"/>
    <w:rsid w:val="2A73664D"/>
    <w:rsid w:val="2A764428"/>
    <w:rsid w:val="2A7B5585"/>
    <w:rsid w:val="2A814869"/>
    <w:rsid w:val="2A8457A8"/>
    <w:rsid w:val="2ABE0808"/>
    <w:rsid w:val="2ABF1A03"/>
    <w:rsid w:val="2ACD4D26"/>
    <w:rsid w:val="2AD30526"/>
    <w:rsid w:val="2ADD6DD3"/>
    <w:rsid w:val="2B317950"/>
    <w:rsid w:val="2B33475A"/>
    <w:rsid w:val="2B345DDC"/>
    <w:rsid w:val="2B363F06"/>
    <w:rsid w:val="2B5C6E81"/>
    <w:rsid w:val="2B653354"/>
    <w:rsid w:val="2B77216D"/>
    <w:rsid w:val="2B7D17BD"/>
    <w:rsid w:val="2B8013BB"/>
    <w:rsid w:val="2B82123D"/>
    <w:rsid w:val="2B865616"/>
    <w:rsid w:val="2B924CE2"/>
    <w:rsid w:val="2B9E7CCD"/>
    <w:rsid w:val="2BA2121F"/>
    <w:rsid w:val="2BA52AAD"/>
    <w:rsid w:val="2BB84C5F"/>
    <w:rsid w:val="2BBB474F"/>
    <w:rsid w:val="2BC17995"/>
    <w:rsid w:val="2BC67CA0"/>
    <w:rsid w:val="2BD0157B"/>
    <w:rsid w:val="2BD25785"/>
    <w:rsid w:val="2BDD6318"/>
    <w:rsid w:val="2BE8029E"/>
    <w:rsid w:val="2BF855D4"/>
    <w:rsid w:val="2C376872"/>
    <w:rsid w:val="2C4627F2"/>
    <w:rsid w:val="2C574478"/>
    <w:rsid w:val="2C7C300F"/>
    <w:rsid w:val="2C8E3C12"/>
    <w:rsid w:val="2C904DE9"/>
    <w:rsid w:val="2C9B11E6"/>
    <w:rsid w:val="2C9C067B"/>
    <w:rsid w:val="2CAC346C"/>
    <w:rsid w:val="2CB17563"/>
    <w:rsid w:val="2CB83131"/>
    <w:rsid w:val="2CBC14CC"/>
    <w:rsid w:val="2CD72212"/>
    <w:rsid w:val="2D0C64EC"/>
    <w:rsid w:val="2D145EC5"/>
    <w:rsid w:val="2D1F071D"/>
    <w:rsid w:val="2D3C35B2"/>
    <w:rsid w:val="2D3C3AD3"/>
    <w:rsid w:val="2D4A5D8B"/>
    <w:rsid w:val="2D4C4C78"/>
    <w:rsid w:val="2D7453B7"/>
    <w:rsid w:val="2D764C9B"/>
    <w:rsid w:val="2D984ECD"/>
    <w:rsid w:val="2D9A2065"/>
    <w:rsid w:val="2DA105FB"/>
    <w:rsid w:val="2DA32DF9"/>
    <w:rsid w:val="2DAC25A2"/>
    <w:rsid w:val="2DC02D6E"/>
    <w:rsid w:val="2DC20777"/>
    <w:rsid w:val="2DCF44E2"/>
    <w:rsid w:val="2DDB4C35"/>
    <w:rsid w:val="2E063012"/>
    <w:rsid w:val="2E0658AD"/>
    <w:rsid w:val="2E074505"/>
    <w:rsid w:val="2E083C79"/>
    <w:rsid w:val="2E0F16E3"/>
    <w:rsid w:val="2E112C5C"/>
    <w:rsid w:val="2E144BAF"/>
    <w:rsid w:val="2E172E8C"/>
    <w:rsid w:val="2E1819E5"/>
    <w:rsid w:val="2E35102B"/>
    <w:rsid w:val="2E5D564A"/>
    <w:rsid w:val="2E70537D"/>
    <w:rsid w:val="2E7C696F"/>
    <w:rsid w:val="2E7E2B5A"/>
    <w:rsid w:val="2E8C7C67"/>
    <w:rsid w:val="2E943223"/>
    <w:rsid w:val="2EA724C3"/>
    <w:rsid w:val="2EB01C1E"/>
    <w:rsid w:val="2EB8596B"/>
    <w:rsid w:val="2EE0388D"/>
    <w:rsid w:val="2EE326EF"/>
    <w:rsid w:val="2EE80440"/>
    <w:rsid w:val="2EEA5C3F"/>
    <w:rsid w:val="2EEC5850"/>
    <w:rsid w:val="2EED6FE4"/>
    <w:rsid w:val="2F040286"/>
    <w:rsid w:val="2F0568D7"/>
    <w:rsid w:val="2F060D85"/>
    <w:rsid w:val="2F1C03BA"/>
    <w:rsid w:val="2F1D0548"/>
    <w:rsid w:val="2F1E10E7"/>
    <w:rsid w:val="2F213B63"/>
    <w:rsid w:val="2F2D708F"/>
    <w:rsid w:val="2F5C0536"/>
    <w:rsid w:val="2F603644"/>
    <w:rsid w:val="2F6D50DC"/>
    <w:rsid w:val="2F8758D1"/>
    <w:rsid w:val="2F8D57C9"/>
    <w:rsid w:val="2F91042A"/>
    <w:rsid w:val="2FA379D4"/>
    <w:rsid w:val="2FA5334A"/>
    <w:rsid w:val="2FBD631A"/>
    <w:rsid w:val="2FD84912"/>
    <w:rsid w:val="2FE977B3"/>
    <w:rsid w:val="2FF344B1"/>
    <w:rsid w:val="2FF80C51"/>
    <w:rsid w:val="304B42F4"/>
    <w:rsid w:val="305E12B6"/>
    <w:rsid w:val="30896BCA"/>
    <w:rsid w:val="308A26FB"/>
    <w:rsid w:val="308C7191"/>
    <w:rsid w:val="308E5894"/>
    <w:rsid w:val="30947B21"/>
    <w:rsid w:val="30A43A04"/>
    <w:rsid w:val="30C827FD"/>
    <w:rsid w:val="30C85183"/>
    <w:rsid w:val="30E107B4"/>
    <w:rsid w:val="30F74D2A"/>
    <w:rsid w:val="31067DDF"/>
    <w:rsid w:val="31083F93"/>
    <w:rsid w:val="310B5831"/>
    <w:rsid w:val="3110753A"/>
    <w:rsid w:val="31165068"/>
    <w:rsid w:val="311A5A74"/>
    <w:rsid w:val="31203028"/>
    <w:rsid w:val="31321010"/>
    <w:rsid w:val="31340C1F"/>
    <w:rsid w:val="316E47AA"/>
    <w:rsid w:val="31885F28"/>
    <w:rsid w:val="31D85FEC"/>
    <w:rsid w:val="31DF77E5"/>
    <w:rsid w:val="31EB2B92"/>
    <w:rsid w:val="31F500A1"/>
    <w:rsid w:val="31FE0EF2"/>
    <w:rsid w:val="32083055"/>
    <w:rsid w:val="32086B94"/>
    <w:rsid w:val="32186458"/>
    <w:rsid w:val="322428EE"/>
    <w:rsid w:val="32292413"/>
    <w:rsid w:val="3232366B"/>
    <w:rsid w:val="32513718"/>
    <w:rsid w:val="32565189"/>
    <w:rsid w:val="325F5934"/>
    <w:rsid w:val="327B13B3"/>
    <w:rsid w:val="327C40FA"/>
    <w:rsid w:val="328F57BC"/>
    <w:rsid w:val="3290011F"/>
    <w:rsid w:val="32990C1B"/>
    <w:rsid w:val="329A1838"/>
    <w:rsid w:val="32A530C3"/>
    <w:rsid w:val="32AB72CC"/>
    <w:rsid w:val="32B01391"/>
    <w:rsid w:val="32F04CDF"/>
    <w:rsid w:val="32F665E8"/>
    <w:rsid w:val="32F96100"/>
    <w:rsid w:val="33002386"/>
    <w:rsid w:val="330578E0"/>
    <w:rsid w:val="331773D3"/>
    <w:rsid w:val="33195A60"/>
    <w:rsid w:val="3338676E"/>
    <w:rsid w:val="33411D32"/>
    <w:rsid w:val="3351256F"/>
    <w:rsid w:val="335B756D"/>
    <w:rsid w:val="335F3F1B"/>
    <w:rsid w:val="33611E58"/>
    <w:rsid w:val="33615B8B"/>
    <w:rsid w:val="33641229"/>
    <w:rsid w:val="33686F6B"/>
    <w:rsid w:val="336D4581"/>
    <w:rsid w:val="336F7604"/>
    <w:rsid w:val="33721B98"/>
    <w:rsid w:val="33775400"/>
    <w:rsid w:val="33835B53"/>
    <w:rsid w:val="339744FD"/>
    <w:rsid w:val="3398339F"/>
    <w:rsid w:val="33A4500D"/>
    <w:rsid w:val="33C56533"/>
    <w:rsid w:val="33CA4338"/>
    <w:rsid w:val="33DF6B01"/>
    <w:rsid w:val="33E72BFB"/>
    <w:rsid w:val="33F31A49"/>
    <w:rsid w:val="33F47570"/>
    <w:rsid w:val="33FC22EA"/>
    <w:rsid w:val="33FF6D7A"/>
    <w:rsid w:val="34176CF9"/>
    <w:rsid w:val="342310E4"/>
    <w:rsid w:val="342D4AAC"/>
    <w:rsid w:val="342E0C37"/>
    <w:rsid w:val="343B467F"/>
    <w:rsid w:val="344C0532"/>
    <w:rsid w:val="34583D23"/>
    <w:rsid w:val="345E722D"/>
    <w:rsid w:val="34615A1D"/>
    <w:rsid w:val="346864D2"/>
    <w:rsid w:val="347253F1"/>
    <w:rsid w:val="34824AF3"/>
    <w:rsid w:val="349A1906"/>
    <w:rsid w:val="349C73ED"/>
    <w:rsid w:val="34CB7C0B"/>
    <w:rsid w:val="34DD74E5"/>
    <w:rsid w:val="34E24AFB"/>
    <w:rsid w:val="35005ECF"/>
    <w:rsid w:val="350502A9"/>
    <w:rsid w:val="350C70EE"/>
    <w:rsid w:val="351A4885"/>
    <w:rsid w:val="351A6043"/>
    <w:rsid w:val="351B704F"/>
    <w:rsid w:val="351D0231"/>
    <w:rsid w:val="35260E8C"/>
    <w:rsid w:val="3529272A"/>
    <w:rsid w:val="353A5FA1"/>
    <w:rsid w:val="353D22BD"/>
    <w:rsid w:val="35496928"/>
    <w:rsid w:val="355359F9"/>
    <w:rsid w:val="35544D36"/>
    <w:rsid w:val="356979BD"/>
    <w:rsid w:val="35793F0F"/>
    <w:rsid w:val="35831E3A"/>
    <w:rsid w:val="3587563F"/>
    <w:rsid w:val="35876F78"/>
    <w:rsid w:val="35885E60"/>
    <w:rsid w:val="35C45C00"/>
    <w:rsid w:val="35C91817"/>
    <w:rsid w:val="35D1112E"/>
    <w:rsid w:val="35D46B3A"/>
    <w:rsid w:val="35E03AC1"/>
    <w:rsid w:val="35E41B3B"/>
    <w:rsid w:val="35E84393"/>
    <w:rsid w:val="35F965A0"/>
    <w:rsid w:val="36061D57"/>
    <w:rsid w:val="360D1549"/>
    <w:rsid w:val="36285DEC"/>
    <w:rsid w:val="36401C52"/>
    <w:rsid w:val="364542F2"/>
    <w:rsid w:val="364B2424"/>
    <w:rsid w:val="365928D2"/>
    <w:rsid w:val="36653C36"/>
    <w:rsid w:val="36721EAF"/>
    <w:rsid w:val="367A7A7C"/>
    <w:rsid w:val="36993E75"/>
    <w:rsid w:val="369C2AC2"/>
    <w:rsid w:val="36BD5820"/>
    <w:rsid w:val="36CA3A99"/>
    <w:rsid w:val="36D82651"/>
    <w:rsid w:val="36D913FC"/>
    <w:rsid w:val="36E27AE8"/>
    <w:rsid w:val="36E87048"/>
    <w:rsid w:val="36FD34CA"/>
    <w:rsid w:val="371708EF"/>
    <w:rsid w:val="37184804"/>
    <w:rsid w:val="371B152F"/>
    <w:rsid w:val="372F07D3"/>
    <w:rsid w:val="373407A1"/>
    <w:rsid w:val="373F79DE"/>
    <w:rsid w:val="375546D0"/>
    <w:rsid w:val="375F2433"/>
    <w:rsid w:val="37661591"/>
    <w:rsid w:val="37682C68"/>
    <w:rsid w:val="376E6505"/>
    <w:rsid w:val="37B4743C"/>
    <w:rsid w:val="37E4576F"/>
    <w:rsid w:val="37F65BD2"/>
    <w:rsid w:val="38233460"/>
    <w:rsid w:val="38251DE4"/>
    <w:rsid w:val="3825542A"/>
    <w:rsid w:val="382E3A24"/>
    <w:rsid w:val="38327B47"/>
    <w:rsid w:val="383513E6"/>
    <w:rsid w:val="38432462"/>
    <w:rsid w:val="384412E5"/>
    <w:rsid w:val="386175C1"/>
    <w:rsid w:val="386E4498"/>
    <w:rsid w:val="387871D4"/>
    <w:rsid w:val="38AC5B9E"/>
    <w:rsid w:val="38B16CBE"/>
    <w:rsid w:val="38C70CF9"/>
    <w:rsid w:val="38C764E2"/>
    <w:rsid w:val="38D155B2"/>
    <w:rsid w:val="38DD4789"/>
    <w:rsid w:val="38ED22A7"/>
    <w:rsid w:val="38F7748A"/>
    <w:rsid w:val="390D035C"/>
    <w:rsid w:val="390F482E"/>
    <w:rsid w:val="392179D8"/>
    <w:rsid w:val="392A4E38"/>
    <w:rsid w:val="393A4F06"/>
    <w:rsid w:val="3945106A"/>
    <w:rsid w:val="39557F91"/>
    <w:rsid w:val="39677CC5"/>
    <w:rsid w:val="399376F9"/>
    <w:rsid w:val="399D1235"/>
    <w:rsid w:val="39A36046"/>
    <w:rsid w:val="39A849EE"/>
    <w:rsid w:val="39BF2767"/>
    <w:rsid w:val="39C600D4"/>
    <w:rsid w:val="39C944DB"/>
    <w:rsid w:val="39D10C7B"/>
    <w:rsid w:val="39F22C55"/>
    <w:rsid w:val="3A015A23"/>
    <w:rsid w:val="3A064F18"/>
    <w:rsid w:val="3A127681"/>
    <w:rsid w:val="3A2D05C6"/>
    <w:rsid w:val="3A30455A"/>
    <w:rsid w:val="3A3057C7"/>
    <w:rsid w:val="3A571AE7"/>
    <w:rsid w:val="3A575643"/>
    <w:rsid w:val="3A695377"/>
    <w:rsid w:val="3AA34D2C"/>
    <w:rsid w:val="3AB605BC"/>
    <w:rsid w:val="3AC21C48"/>
    <w:rsid w:val="3AC3316C"/>
    <w:rsid w:val="3ACD0645"/>
    <w:rsid w:val="3AD60861"/>
    <w:rsid w:val="3AD82C28"/>
    <w:rsid w:val="3AE02BAB"/>
    <w:rsid w:val="3AFF6407"/>
    <w:rsid w:val="3B066997"/>
    <w:rsid w:val="3B0741BF"/>
    <w:rsid w:val="3B4F0285"/>
    <w:rsid w:val="3B7A1B25"/>
    <w:rsid w:val="3B810614"/>
    <w:rsid w:val="3B86406C"/>
    <w:rsid w:val="3B866FF0"/>
    <w:rsid w:val="3BAD594C"/>
    <w:rsid w:val="3BBF1763"/>
    <w:rsid w:val="3BD50B7B"/>
    <w:rsid w:val="3BDC22A4"/>
    <w:rsid w:val="3BEC76EA"/>
    <w:rsid w:val="3C125CC6"/>
    <w:rsid w:val="3C2033DF"/>
    <w:rsid w:val="3C304ECC"/>
    <w:rsid w:val="3C3A346E"/>
    <w:rsid w:val="3C3B434F"/>
    <w:rsid w:val="3C3C08E3"/>
    <w:rsid w:val="3C4C0CDA"/>
    <w:rsid w:val="3C5B2F97"/>
    <w:rsid w:val="3C5D0A77"/>
    <w:rsid w:val="3C61109A"/>
    <w:rsid w:val="3C722C08"/>
    <w:rsid w:val="3C783A46"/>
    <w:rsid w:val="3C7A386B"/>
    <w:rsid w:val="3C85541D"/>
    <w:rsid w:val="3CBB4F2E"/>
    <w:rsid w:val="3CCC5FDD"/>
    <w:rsid w:val="3CCD2CF9"/>
    <w:rsid w:val="3CCF005B"/>
    <w:rsid w:val="3CD155B4"/>
    <w:rsid w:val="3CE75344"/>
    <w:rsid w:val="3D042F97"/>
    <w:rsid w:val="3D080C3E"/>
    <w:rsid w:val="3D1E60DF"/>
    <w:rsid w:val="3D343881"/>
    <w:rsid w:val="3D416706"/>
    <w:rsid w:val="3D461E16"/>
    <w:rsid w:val="3D567FA2"/>
    <w:rsid w:val="3D5E691E"/>
    <w:rsid w:val="3D5E764C"/>
    <w:rsid w:val="3D7C3859"/>
    <w:rsid w:val="3D9168F3"/>
    <w:rsid w:val="3D95451F"/>
    <w:rsid w:val="3DA167F8"/>
    <w:rsid w:val="3DB461D9"/>
    <w:rsid w:val="3DC70D32"/>
    <w:rsid w:val="3DE364E4"/>
    <w:rsid w:val="3DF1402B"/>
    <w:rsid w:val="3E183509"/>
    <w:rsid w:val="3E1F320A"/>
    <w:rsid w:val="3E251EF5"/>
    <w:rsid w:val="3E287A22"/>
    <w:rsid w:val="3E2D5039"/>
    <w:rsid w:val="3E481E73"/>
    <w:rsid w:val="3E5459A0"/>
    <w:rsid w:val="3E5A1BA6"/>
    <w:rsid w:val="3E6B3412"/>
    <w:rsid w:val="3E6E73FF"/>
    <w:rsid w:val="3E7D5847"/>
    <w:rsid w:val="3E8135D7"/>
    <w:rsid w:val="3E890375"/>
    <w:rsid w:val="3E9440FA"/>
    <w:rsid w:val="3E9B7303"/>
    <w:rsid w:val="3EAE391C"/>
    <w:rsid w:val="3EC71707"/>
    <w:rsid w:val="3ED119A3"/>
    <w:rsid w:val="3EDE27D7"/>
    <w:rsid w:val="3EF36B45"/>
    <w:rsid w:val="3EF66B94"/>
    <w:rsid w:val="3F0605B1"/>
    <w:rsid w:val="3F2261CC"/>
    <w:rsid w:val="3F2266ED"/>
    <w:rsid w:val="3F243F83"/>
    <w:rsid w:val="3F2B67B3"/>
    <w:rsid w:val="3F3013EB"/>
    <w:rsid w:val="3F327A47"/>
    <w:rsid w:val="3F3B5533"/>
    <w:rsid w:val="3F3D51BC"/>
    <w:rsid w:val="3F430443"/>
    <w:rsid w:val="3F485EA2"/>
    <w:rsid w:val="3F4C4E24"/>
    <w:rsid w:val="3F523653"/>
    <w:rsid w:val="3F5C04AC"/>
    <w:rsid w:val="3F703557"/>
    <w:rsid w:val="3F8E1B07"/>
    <w:rsid w:val="3F8F1F95"/>
    <w:rsid w:val="3F945626"/>
    <w:rsid w:val="3F9B2476"/>
    <w:rsid w:val="3FC2032D"/>
    <w:rsid w:val="3FE2086B"/>
    <w:rsid w:val="400978DE"/>
    <w:rsid w:val="40147FD7"/>
    <w:rsid w:val="40270D28"/>
    <w:rsid w:val="40274478"/>
    <w:rsid w:val="403135E9"/>
    <w:rsid w:val="403536BB"/>
    <w:rsid w:val="403A40E6"/>
    <w:rsid w:val="40445B2C"/>
    <w:rsid w:val="4059102A"/>
    <w:rsid w:val="406356BE"/>
    <w:rsid w:val="40640ABA"/>
    <w:rsid w:val="408C032B"/>
    <w:rsid w:val="409F1AF2"/>
    <w:rsid w:val="40A030D6"/>
    <w:rsid w:val="40AF3B40"/>
    <w:rsid w:val="40BB2BF9"/>
    <w:rsid w:val="40C73D54"/>
    <w:rsid w:val="40CC1E17"/>
    <w:rsid w:val="40D64955"/>
    <w:rsid w:val="40F57964"/>
    <w:rsid w:val="40FD796C"/>
    <w:rsid w:val="41182D1A"/>
    <w:rsid w:val="412A1038"/>
    <w:rsid w:val="412F3F21"/>
    <w:rsid w:val="413353D4"/>
    <w:rsid w:val="4134048C"/>
    <w:rsid w:val="41373CF9"/>
    <w:rsid w:val="413D7725"/>
    <w:rsid w:val="4157061F"/>
    <w:rsid w:val="41726934"/>
    <w:rsid w:val="4181131A"/>
    <w:rsid w:val="41841179"/>
    <w:rsid w:val="41856C50"/>
    <w:rsid w:val="41A339E2"/>
    <w:rsid w:val="41A46E67"/>
    <w:rsid w:val="41B25E54"/>
    <w:rsid w:val="41C5009F"/>
    <w:rsid w:val="41C61933"/>
    <w:rsid w:val="41C62C11"/>
    <w:rsid w:val="41CE2FC4"/>
    <w:rsid w:val="41D57AAC"/>
    <w:rsid w:val="41E579D9"/>
    <w:rsid w:val="41EE3A38"/>
    <w:rsid w:val="41F540C0"/>
    <w:rsid w:val="420E6F2F"/>
    <w:rsid w:val="42181B5C"/>
    <w:rsid w:val="421F113C"/>
    <w:rsid w:val="42223AB0"/>
    <w:rsid w:val="422C4AC9"/>
    <w:rsid w:val="4268767D"/>
    <w:rsid w:val="428A1FC5"/>
    <w:rsid w:val="42935686"/>
    <w:rsid w:val="42976F25"/>
    <w:rsid w:val="42A955DC"/>
    <w:rsid w:val="42B07FE6"/>
    <w:rsid w:val="42B20202"/>
    <w:rsid w:val="42B25272"/>
    <w:rsid w:val="42B44C9C"/>
    <w:rsid w:val="42FC1070"/>
    <w:rsid w:val="42FF4354"/>
    <w:rsid w:val="430D4E13"/>
    <w:rsid w:val="431E568F"/>
    <w:rsid w:val="434150E2"/>
    <w:rsid w:val="4357581E"/>
    <w:rsid w:val="436D43F2"/>
    <w:rsid w:val="43896146"/>
    <w:rsid w:val="4395185D"/>
    <w:rsid w:val="43A0005B"/>
    <w:rsid w:val="43A63197"/>
    <w:rsid w:val="43B734BA"/>
    <w:rsid w:val="43D04FBC"/>
    <w:rsid w:val="43DE29EF"/>
    <w:rsid w:val="44006D3C"/>
    <w:rsid w:val="440108A9"/>
    <w:rsid w:val="44037791"/>
    <w:rsid w:val="440C7D39"/>
    <w:rsid w:val="44130E01"/>
    <w:rsid w:val="44232DA7"/>
    <w:rsid w:val="44472BCC"/>
    <w:rsid w:val="444D2855"/>
    <w:rsid w:val="445444A5"/>
    <w:rsid w:val="445E2A97"/>
    <w:rsid w:val="446107E9"/>
    <w:rsid w:val="447A789B"/>
    <w:rsid w:val="44803601"/>
    <w:rsid w:val="44872E3D"/>
    <w:rsid w:val="44A1408B"/>
    <w:rsid w:val="44C24001"/>
    <w:rsid w:val="44E5468B"/>
    <w:rsid w:val="44E61E7A"/>
    <w:rsid w:val="44EC44AD"/>
    <w:rsid w:val="44F31FDD"/>
    <w:rsid w:val="450335E5"/>
    <w:rsid w:val="45176708"/>
    <w:rsid w:val="451C2E11"/>
    <w:rsid w:val="452847AC"/>
    <w:rsid w:val="45300692"/>
    <w:rsid w:val="45341BDA"/>
    <w:rsid w:val="45361227"/>
    <w:rsid w:val="453F5652"/>
    <w:rsid w:val="45473C9B"/>
    <w:rsid w:val="45474F11"/>
    <w:rsid w:val="4558401B"/>
    <w:rsid w:val="45592BB7"/>
    <w:rsid w:val="455F7AA2"/>
    <w:rsid w:val="45672343"/>
    <w:rsid w:val="45806396"/>
    <w:rsid w:val="458227A7"/>
    <w:rsid w:val="458E46B3"/>
    <w:rsid w:val="45A11732"/>
    <w:rsid w:val="45B42155"/>
    <w:rsid w:val="45C76E25"/>
    <w:rsid w:val="45EF224F"/>
    <w:rsid w:val="46031BBC"/>
    <w:rsid w:val="460F2CAD"/>
    <w:rsid w:val="461B6837"/>
    <w:rsid w:val="46413F35"/>
    <w:rsid w:val="465B2048"/>
    <w:rsid w:val="465E7D59"/>
    <w:rsid w:val="468B4FF2"/>
    <w:rsid w:val="469B2BD2"/>
    <w:rsid w:val="46A15647"/>
    <w:rsid w:val="46A20DF5"/>
    <w:rsid w:val="46BF51B8"/>
    <w:rsid w:val="46D15C73"/>
    <w:rsid w:val="46E6047B"/>
    <w:rsid w:val="46FD6304"/>
    <w:rsid w:val="47021D0D"/>
    <w:rsid w:val="470F76FA"/>
    <w:rsid w:val="471A0124"/>
    <w:rsid w:val="47421341"/>
    <w:rsid w:val="47496783"/>
    <w:rsid w:val="474B29D4"/>
    <w:rsid w:val="47723ABC"/>
    <w:rsid w:val="47975C19"/>
    <w:rsid w:val="479E2B03"/>
    <w:rsid w:val="47A51084"/>
    <w:rsid w:val="47A65E5C"/>
    <w:rsid w:val="47A75CCD"/>
    <w:rsid w:val="47BE4F54"/>
    <w:rsid w:val="47D26C51"/>
    <w:rsid w:val="47E349BA"/>
    <w:rsid w:val="47F941DE"/>
    <w:rsid w:val="48124F71"/>
    <w:rsid w:val="4817119C"/>
    <w:rsid w:val="482570AD"/>
    <w:rsid w:val="482F2E61"/>
    <w:rsid w:val="48360F8E"/>
    <w:rsid w:val="48367BDF"/>
    <w:rsid w:val="485035B9"/>
    <w:rsid w:val="487675DC"/>
    <w:rsid w:val="48777D12"/>
    <w:rsid w:val="48965ED0"/>
    <w:rsid w:val="48A04659"/>
    <w:rsid w:val="48A061B9"/>
    <w:rsid w:val="48A17D12"/>
    <w:rsid w:val="48A921F5"/>
    <w:rsid w:val="48BC5937"/>
    <w:rsid w:val="48D507A7"/>
    <w:rsid w:val="48D81EC2"/>
    <w:rsid w:val="48DA0A8C"/>
    <w:rsid w:val="48E94697"/>
    <w:rsid w:val="48FD1AAC"/>
    <w:rsid w:val="49042FF5"/>
    <w:rsid w:val="49077AC4"/>
    <w:rsid w:val="4912417D"/>
    <w:rsid w:val="491D5CAA"/>
    <w:rsid w:val="49210164"/>
    <w:rsid w:val="49423962"/>
    <w:rsid w:val="49581D9D"/>
    <w:rsid w:val="49621A93"/>
    <w:rsid w:val="49653495"/>
    <w:rsid w:val="49935E47"/>
    <w:rsid w:val="49987B1F"/>
    <w:rsid w:val="499C7517"/>
    <w:rsid w:val="49AB59AC"/>
    <w:rsid w:val="49B04D70"/>
    <w:rsid w:val="49B51A7F"/>
    <w:rsid w:val="49CB3958"/>
    <w:rsid w:val="49CC3E01"/>
    <w:rsid w:val="49F201E8"/>
    <w:rsid w:val="49F869B9"/>
    <w:rsid w:val="4A196469"/>
    <w:rsid w:val="4A437992"/>
    <w:rsid w:val="4A44648C"/>
    <w:rsid w:val="4A482859"/>
    <w:rsid w:val="4A4C1A86"/>
    <w:rsid w:val="4A4D4C02"/>
    <w:rsid w:val="4A4E2219"/>
    <w:rsid w:val="4A566DF3"/>
    <w:rsid w:val="4A6F21D0"/>
    <w:rsid w:val="4A71615B"/>
    <w:rsid w:val="4A961FD0"/>
    <w:rsid w:val="4AA246B9"/>
    <w:rsid w:val="4AAD03D0"/>
    <w:rsid w:val="4AC72C8D"/>
    <w:rsid w:val="4AD23022"/>
    <w:rsid w:val="4AD55CF6"/>
    <w:rsid w:val="4AE93473"/>
    <w:rsid w:val="4AEA4ACB"/>
    <w:rsid w:val="4AED7781"/>
    <w:rsid w:val="4AFF1B0B"/>
    <w:rsid w:val="4B0A4C46"/>
    <w:rsid w:val="4B2652EA"/>
    <w:rsid w:val="4B2C595F"/>
    <w:rsid w:val="4B3B15B8"/>
    <w:rsid w:val="4B567807"/>
    <w:rsid w:val="4B613F6A"/>
    <w:rsid w:val="4B8169C4"/>
    <w:rsid w:val="4B9F152D"/>
    <w:rsid w:val="4BA24D84"/>
    <w:rsid w:val="4BA40904"/>
    <w:rsid w:val="4BA44460"/>
    <w:rsid w:val="4BC31BD4"/>
    <w:rsid w:val="4BD34386"/>
    <w:rsid w:val="4BD62EC5"/>
    <w:rsid w:val="4BE8663F"/>
    <w:rsid w:val="4BF52F0E"/>
    <w:rsid w:val="4C0D64AA"/>
    <w:rsid w:val="4C0F4D8B"/>
    <w:rsid w:val="4C260EAE"/>
    <w:rsid w:val="4C357DD9"/>
    <w:rsid w:val="4C48143B"/>
    <w:rsid w:val="4C4B0D80"/>
    <w:rsid w:val="4C5365B2"/>
    <w:rsid w:val="4C543187"/>
    <w:rsid w:val="4C7744FC"/>
    <w:rsid w:val="4C7C7A72"/>
    <w:rsid w:val="4C856040"/>
    <w:rsid w:val="4C86342A"/>
    <w:rsid w:val="4C8B25BA"/>
    <w:rsid w:val="4C9038B4"/>
    <w:rsid w:val="4CD16197"/>
    <w:rsid w:val="4CDD7C2A"/>
    <w:rsid w:val="4CF941B0"/>
    <w:rsid w:val="4CFE326D"/>
    <w:rsid w:val="4D021A66"/>
    <w:rsid w:val="4D3006A2"/>
    <w:rsid w:val="4D445EFB"/>
    <w:rsid w:val="4D4B7289"/>
    <w:rsid w:val="4D52234C"/>
    <w:rsid w:val="4D5D25DB"/>
    <w:rsid w:val="4D9F4C40"/>
    <w:rsid w:val="4DB37864"/>
    <w:rsid w:val="4DBB7BDF"/>
    <w:rsid w:val="4DBD285A"/>
    <w:rsid w:val="4DCD2983"/>
    <w:rsid w:val="4DCE1F8B"/>
    <w:rsid w:val="4DCF7EBB"/>
    <w:rsid w:val="4DD37A60"/>
    <w:rsid w:val="4DE163BF"/>
    <w:rsid w:val="4DE44FE8"/>
    <w:rsid w:val="4DE81A0F"/>
    <w:rsid w:val="4E1309DE"/>
    <w:rsid w:val="4E142D9E"/>
    <w:rsid w:val="4E225FDF"/>
    <w:rsid w:val="4E263853"/>
    <w:rsid w:val="4E4D7031"/>
    <w:rsid w:val="4E5A52AA"/>
    <w:rsid w:val="4E5C23AE"/>
    <w:rsid w:val="4E66521C"/>
    <w:rsid w:val="4E742810"/>
    <w:rsid w:val="4E8428CC"/>
    <w:rsid w:val="4E872D28"/>
    <w:rsid w:val="4E914EAA"/>
    <w:rsid w:val="4E996102"/>
    <w:rsid w:val="4EA41F28"/>
    <w:rsid w:val="4EAD13BA"/>
    <w:rsid w:val="4EB36188"/>
    <w:rsid w:val="4EC42815"/>
    <w:rsid w:val="4ED10111"/>
    <w:rsid w:val="4EDB38E7"/>
    <w:rsid w:val="4EE670FE"/>
    <w:rsid w:val="4EF82D51"/>
    <w:rsid w:val="4F0269D0"/>
    <w:rsid w:val="4F0B065C"/>
    <w:rsid w:val="4F102BE2"/>
    <w:rsid w:val="4F38288A"/>
    <w:rsid w:val="4F3B1644"/>
    <w:rsid w:val="4F3D136F"/>
    <w:rsid w:val="4F581C5F"/>
    <w:rsid w:val="4F6E763C"/>
    <w:rsid w:val="4F77184F"/>
    <w:rsid w:val="4F844CD5"/>
    <w:rsid w:val="4F936CC6"/>
    <w:rsid w:val="4FA132BE"/>
    <w:rsid w:val="4FAE4949"/>
    <w:rsid w:val="4FB135F5"/>
    <w:rsid w:val="4FC86025"/>
    <w:rsid w:val="4FE42699"/>
    <w:rsid w:val="4FE466E1"/>
    <w:rsid w:val="4FE62A53"/>
    <w:rsid w:val="4FFA6DD9"/>
    <w:rsid w:val="50025BF9"/>
    <w:rsid w:val="50060376"/>
    <w:rsid w:val="50096F88"/>
    <w:rsid w:val="501124D1"/>
    <w:rsid w:val="50127344"/>
    <w:rsid w:val="501B7CEE"/>
    <w:rsid w:val="502C04E3"/>
    <w:rsid w:val="502E4997"/>
    <w:rsid w:val="50350ED7"/>
    <w:rsid w:val="504F0E3F"/>
    <w:rsid w:val="50593A6B"/>
    <w:rsid w:val="507571C9"/>
    <w:rsid w:val="50861C6B"/>
    <w:rsid w:val="50887115"/>
    <w:rsid w:val="508E0176"/>
    <w:rsid w:val="50903205"/>
    <w:rsid w:val="50970ABA"/>
    <w:rsid w:val="509C377A"/>
    <w:rsid w:val="50A022B2"/>
    <w:rsid w:val="50B04608"/>
    <w:rsid w:val="50B75666"/>
    <w:rsid w:val="50C75CD0"/>
    <w:rsid w:val="50CE7C1E"/>
    <w:rsid w:val="50DD2246"/>
    <w:rsid w:val="50E340AF"/>
    <w:rsid w:val="50F04C47"/>
    <w:rsid w:val="51122012"/>
    <w:rsid w:val="51153049"/>
    <w:rsid w:val="51184BB9"/>
    <w:rsid w:val="511C6DB6"/>
    <w:rsid w:val="511E170B"/>
    <w:rsid w:val="51204589"/>
    <w:rsid w:val="512562C1"/>
    <w:rsid w:val="514324CE"/>
    <w:rsid w:val="51445483"/>
    <w:rsid w:val="51595CED"/>
    <w:rsid w:val="51621E44"/>
    <w:rsid w:val="51662699"/>
    <w:rsid w:val="516721B8"/>
    <w:rsid w:val="517D63EF"/>
    <w:rsid w:val="51993E87"/>
    <w:rsid w:val="51CB5192"/>
    <w:rsid w:val="51D079BF"/>
    <w:rsid w:val="51DD376A"/>
    <w:rsid w:val="52007CE1"/>
    <w:rsid w:val="520C480A"/>
    <w:rsid w:val="521C039C"/>
    <w:rsid w:val="523A1AA0"/>
    <w:rsid w:val="523A7A72"/>
    <w:rsid w:val="52554706"/>
    <w:rsid w:val="52625478"/>
    <w:rsid w:val="52733D7F"/>
    <w:rsid w:val="529010A5"/>
    <w:rsid w:val="52BE30EA"/>
    <w:rsid w:val="52BF6685"/>
    <w:rsid w:val="52CB1154"/>
    <w:rsid w:val="52CC74CA"/>
    <w:rsid w:val="52DA3410"/>
    <w:rsid w:val="52DF683D"/>
    <w:rsid w:val="52EA4E4F"/>
    <w:rsid w:val="5305283D"/>
    <w:rsid w:val="531537CC"/>
    <w:rsid w:val="5329076C"/>
    <w:rsid w:val="533D58C6"/>
    <w:rsid w:val="533F78B1"/>
    <w:rsid w:val="534C7EF0"/>
    <w:rsid w:val="534D66DE"/>
    <w:rsid w:val="536F17F8"/>
    <w:rsid w:val="53714220"/>
    <w:rsid w:val="53883F0B"/>
    <w:rsid w:val="53953009"/>
    <w:rsid w:val="53C0057F"/>
    <w:rsid w:val="53C11487"/>
    <w:rsid w:val="53CB1124"/>
    <w:rsid w:val="53D06524"/>
    <w:rsid w:val="53D14070"/>
    <w:rsid w:val="53D350D0"/>
    <w:rsid w:val="53D570CF"/>
    <w:rsid w:val="53D72999"/>
    <w:rsid w:val="53D76061"/>
    <w:rsid w:val="54047867"/>
    <w:rsid w:val="5414351A"/>
    <w:rsid w:val="5415414D"/>
    <w:rsid w:val="54183990"/>
    <w:rsid w:val="541C1980"/>
    <w:rsid w:val="541F6D7A"/>
    <w:rsid w:val="542E27D1"/>
    <w:rsid w:val="54446DFB"/>
    <w:rsid w:val="547E031E"/>
    <w:rsid w:val="54AA5ABF"/>
    <w:rsid w:val="54B706EB"/>
    <w:rsid w:val="54C824D5"/>
    <w:rsid w:val="54D44806"/>
    <w:rsid w:val="54E66BA9"/>
    <w:rsid w:val="54E87AB4"/>
    <w:rsid w:val="54F232A5"/>
    <w:rsid w:val="54F71DA5"/>
    <w:rsid w:val="550462B6"/>
    <w:rsid w:val="55077557"/>
    <w:rsid w:val="550C4BFD"/>
    <w:rsid w:val="551F0D2D"/>
    <w:rsid w:val="55286185"/>
    <w:rsid w:val="552C4622"/>
    <w:rsid w:val="554A3CC0"/>
    <w:rsid w:val="554C3B9F"/>
    <w:rsid w:val="555250C2"/>
    <w:rsid w:val="55572544"/>
    <w:rsid w:val="556A671B"/>
    <w:rsid w:val="55894DF3"/>
    <w:rsid w:val="559F49C7"/>
    <w:rsid w:val="55A277C6"/>
    <w:rsid w:val="55FC1EE9"/>
    <w:rsid w:val="56024CB6"/>
    <w:rsid w:val="56050830"/>
    <w:rsid w:val="560922C6"/>
    <w:rsid w:val="56222B52"/>
    <w:rsid w:val="562B4DF0"/>
    <w:rsid w:val="563424F2"/>
    <w:rsid w:val="56371B23"/>
    <w:rsid w:val="56395591"/>
    <w:rsid w:val="56546007"/>
    <w:rsid w:val="56574EF1"/>
    <w:rsid w:val="56582C1D"/>
    <w:rsid w:val="565E57F8"/>
    <w:rsid w:val="565F3CA3"/>
    <w:rsid w:val="56682256"/>
    <w:rsid w:val="566E5F5F"/>
    <w:rsid w:val="567B7416"/>
    <w:rsid w:val="56A70915"/>
    <w:rsid w:val="56B440F1"/>
    <w:rsid w:val="56BA2859"/>
    <w:rsid w:val="56C66E8C"/>
    <w:rsid w:val="56D057DA"/>
    <w:rsid w:val="56D4639E"/>
    <w:rsid w:val="56E10F23"/>
    <w:rsid w:val="56E55706"/>
    <w:rsid w:val="56F12E37"/>
    <w:rsid w:val="56FC4931"/>
    <w:rsid w:val="56FD1137"/>
    <w:rsid w:val="57204FA9"/>
    <w:rsid w:val="574F3084"/>
    <w:rsid w:val="5780017C"/>
    <w:rsid w:val="57821E15"/>
    <w:rsid w:val="578C4726"/>
    <w:rsid w:val="57923845"/>
    <w:rsid w:val="57A37CC2"/>
    <w:rsid w:val="57BC3EBC"/>
    <w:rsid w:val="57CA524F"/>
    <w:rsid w:val="57CC2DDA"/>
    <w:rsid w:val="57D4431F"/>
    <w:rsid w:val="57D645E2"/>
    <w:rsid w:val="57D80D43"/>
    <w:rsid w:val="57E43B3C"/>
    <w:rsid w:val="57E9601D"/>
    <w:rsid w:val="57F57270"/>
    <w:rsid w:val="57FD327D"/>
    <w:rsid w:val="58065D6B"/>
    <w:rsid w:val="58090610"/>
    <w:rsid w:val="58094C63"/>
    <w:rsid w:val="58154F81"/>
    <w:rsid w:val="581F37ED"/>
    <w:rsid w:val="58207565"/>
    <w:rsid w:val="58242BB1"/>
    <w:rsid w:val="58390F39"/>
    <w:rsid w:val="58411529"/>
    <w:rsid w:val="58482E44"/>
    <w:rsid w:val="58676F42"/>
    <w:rsid w:val="58813143"/>
    <w:rsid w:val="58883BC4"/>
    <w:rsid w:val="588E2720"/>
    <w:rsid w:val="588F6E1D"/>
    <w:rsid w:val="589715D5"/>
    <w:rsid w:val="589A7317"/>
    <w:rsid w:val="58A23BD7"/>
    <w:rsid w:val="58A50CE3"/>
    <w:rsid w:val="58A65D5A"/>
    <w:rsid w:val="58AD4210"/>
    <w:rsid w:val="58B32FF0"/>
    <w:rsid w:val="58CC445F"/>
    <w:rsid w:val="58DB73AF"/>
    <w:rsid w:val="58E44F7B"/>
    <w:rsid w:val="59071207"/>
    <w:rsid w:val="590C55AB"/>
    <w:rsid w:val="591129ED"/>
    <w:rsid w:val="59202A65"/>
    <w:rsid w:val="59213594"/>
    <w:rsid w:val="5923730C"/>
    <w:rsid w:val="592D1F39"/>
    <w:rsid w:val="59464DA9"/>
    <w:rsid w:val="59540A16"/>
    <w:rsid w:val="595440D5"/>
    <w:rsid w:val="5989791F"/>
    <w:rsid w:val="59912795"/>
    <w:rsid w:val="59942A23"/>
    <w:rsid w:val="599C0E6D"/>
    <w:rsid w:val="599C7F9A"/>
    <w:rsid w:val="59A57D21"/>
    <w:rsid w:val="59C16999"/>
    <w:rsid w:val="59CA3C2C"/>
    <w:rsid w:val="59CB7611"/>
    <w:rsid w:val="59CE22C7"/>
    <w:rsid w:val="59D35B1C"/>
    <w:rsid w:val="59ED3759"/>
    <w:rsid w:val="59EE4D9E"/>
    <w:rsid w:val="59F86AC0"/>
    <w:rsid w:val="59FA62BF"/>
    <w:rsid w:val="5A0957F1"/>
    <w:rsid w:val="5A0B6D64"/>
    <w:rsid w:val="5A276988"/>
    <w:rsid w:val="5A2F3A8F"/>
    <w:rsid w:val="5A3B68D8"/>
    <w:rsid w:val="5A3C5143"/>
    <w:rsid w:val="5A41687A"/>
    <w:rsid w:val="5A50198F"/>
    <w:rsid w:val="5A574254"/>
    <w:rsid w:val="5A59170E"/>
    <w:rsid w:val="5A6E6B7D"/>
    <w:rsid w:val="5A797AC8"/>
    <w:rsid w:val="5A950959"/>
    <w:rsid w:val="5AB93FAF"/>
    <w:rsid w:val="5ADA39FB"/>
    <w:rsid w:val="5ADC2D5B"/>
    <w:rsid w:val="5AEB5C08"/>
    <w:rsid w:val="5AED7BD2"/>
    <w:rsid w:val="5AF251E8"/>
    <w:rsid w:val="5AF27774"/>
    <w:rsid w:val="5AF57C21"/>
    <w:rsid w:val="5AF70A51"/>
    <w:rsid w:val="5AFF1563"/>
    <w:rsid w:val="5B1D0603"/>
    <w:rsid w:val="5B2846A4"/>
    <w:rsid w:val="5B2B4256"/>
    <w:rsid w:val="5B3937FA"/>
    <w:rsid w:val="5B4147D2"/>
    <w:rsid w:val="5B644A23"/>
    <w:rsid w:val="5B7025B1"/>
    <w:rsid w:val="5B8701FE"/>
    <w:rsid w:val="5B8A757F"/>
    <w:rsid w:val="5B9C6F02"/>
    <w:rsid w:val="5BA64DC5"/>
    <w:rsid w:val="5BB04C2C"/>
    <w:rsid w:val="5BB75BFE"/>
    <w:rsid w:val="5BBC5EDA"/>
    <w:rsid w:val="5BC008DF"/>
    <w:rsid w:val="5BC63E73"/>
    <w:rsid w:val="5BC87CF7"/>
    <w:rsid w:val="5BE55984"/>
    <w:rsid w:val="5BEC6AB5"/>
    <w:rsid w:val="5BEF34D6"/>
    <w:rsid w:val="5C1B4BA8"/>
    <w:rsid w:val="5C291AE7"/>
    <w:rsid w:val="5C2B35EA"/>
    <w:rsid w:val="5C327B4C"/>
    <w:rsid w:val="5C392AD6"/>
    <w:rsid w:val="5C4750C0"/>
    <w:rsid w:val="5C484BDD"/>
    <w:rsid w:val="5C4E7358"/>
    <w:rsid w:val="5C517EEF"/>
    <w:rsid w:val="5C545A2F"/>
    <w:rsid w:val="5C552B13"/>
    <w:rsid w:val="5C5872CD"/>
    <w:rsid w:val="5C870080"/>
    <w:rsid w:val="5C9B540C"/>
    <w:rsid w:val="5CA64EFE"/>
    <w:rsid w:val="5CAC13C7"/>
    <w:rsid w:val="5CAD47A2"/>
    <w:rsid w:val="5CB564CD"/>
    <w:rsid w:val="5CE13766"/>
    <w:rsid w:val="5CE93251"/>
    <w:rsid w:val="5CED210B"/>
    <w:rsid w:val="5CF35F21"/>
    <w:rsid w:val="5D03340F"/>
    <w:rsid w:val="5D0E5BDE"/>
    <w:rsid w:val="5D1115A1"/>
    <w:rsid w:val="5D153410"/>
    <w:rsid w:val="5D160859"/>
    <w:rsid w:val="5D4A5E95"/>
    <w:rsid w:val="5D4D485E"/>
    <w:rsid w:val="5D5B27A1"/>
    <w:rsid w:val="5D6B4F29"/>
    <w:rsid w:val="5D7243BE"/>
    <w:rsid w:val="5D8C6892"/>
    <w:rsid w:val="5DA165FC"/>
    <w:rsid w:val="5DAB472D"/>
    <w:rsid w:val="5DB05952"/>
    <w:rsid w:val="5DB3780B"/>
    <w:rsid w:val="5DBF512A"/>
    <w:rsid w:val="5DCD57F8"/>
    <w:rsid w:val="5DCF2D42"/>
    <w:rsid w:val="5DDB1F64"/>
    <w:rsid w:val="5DDC6ADA"/>
    <w:rsid w:val="5DE132F2"/>
    <w:rsid w:val="5DEA21A7"/>
    <w:rsid w:val="5DF9773E"/>
    <w:rsid w:val="5DFB0858"/>
    <w:rsid w:val="5E0F5B86"/>
    <w:rsid w:val="5E272270"/>
    <w:rsid w:val="5E44722B"/>
    <w:rsid w:val="5E505E3C"/>
    <w:rsid w:val="5E5A43B7"/>
    <w:rsid w:val="5E60690D"/>
    <w:rsid w:val="5E684804"/>
    <w:rsid w:val="5E7029E5"/>
    <w:rsid w:val="5E710B1A"/>
    <w:rsid w:val="5E8878D3"/>
    <w:rsid w:val="5E8E1C6D"/>
    <w:rsid w:val="5E8F0FA0"/>
    <w:rsid w:val="5E907BD2"/>
    <w:rsid w:val="5E9A19B1"/>
    <w:rsid w:val="5E9C47B5"/>
    <w:rsid w:val="5EAA549F"/>
    <w:rsid w:val="5EAD0B7A"/>
    <w:rsid w:val="5ED343FC"/>
    <w:rsid w:val="5EE27405"/>
    <w:rsid w:val="5EE41272"/>
    <w:rsid w:val="5EE45084"/>
    <w:rsid w:val="5EF74E44"/>
    <w:rsid w:val="5F000796"/>
    <w:rsid w:val="5F0157EA"/>
    <w:rsid w:val="5F06732B"/>
    <w:rsid w:val="5F4916B0"/>
    <w:rsid w:val="5F610B8F"/>
    <w:rsid w:val="5F6F6A29"/>
    <w:rsid w:val="5F7024A5"/>
    <w:rsid w:val="5F8A2976"/>
    <w:rsid w:val="5F8B5C0B"/>
    <w:rsid w:val="5F926F9A"/>
    <w:rsid w:val="5F970311"/>
    <w:rsid w:val="5F9F5720"/>
    <w:rsid w:val="5FB07420"/>
    <w:rsid w:val="5FB20648"/>
    <w:rsid w:val="5FBE38EB"/>
    <w:rsid w:val="5FC15A05"/>
    <w:rsid w:val="5FC2644A"/>
    <w:rsid w:val="5FC666B6"/>
    <w:rsid w:val="5FE94095"/>
    <w:rsid w:val="60060996"/>
    <w:rsid w:val="600A6B30"/>
    <w:rsid w:val="602816AC"/>
    <w:rsid w:val="602E3E17"/>
    <w:rsid w:val="60362253"/>
    <w:rsid w:val="603A0266"/>
    <w:rsid w:val="603F0DDC"/>
    <w:rsid w:val="6054424F"/>
    <w:rsid w:val="60631B06"/>
    <w:rsid w:val="60662C73"/>
    <w:rsid w:val="606B20AB"/>
    <w:rsid w:val="60791AEB"/>
    <w:rsid w:val="607E56B2"/>
    <w:rsid w:val="60844B35"/>
    <w:rsid w:val="60937FE1"/>
    <w:rsid w:val="609A52AA"/>
    <w:rsid w:val="60C018E5"/>
    <w:rsid w:val="60C70EC5"/>
    <w:rsid w:val="60CB1B31"/>
    <w:rsid w:val="60CC028A"/>
    <w:rsid w:val="60E1402B"/>
    <w:rsid w:val="60E21325"/>
    <w:rsid w:val="60EE7EEF"/>
    <w:rsid w:val="60FB5BB9"/>
    <w:rsid w:val="60FD3BA3"/>
    <w:rsid w:val="611E3F98"/>
    <w:rsid w:val="612B3202"/>
    <w:rsid w:val="61397812"/>
    <w:rsid w:val="6148433B"/>
    <w:rsid w:val="614E5143"/>
    <w:rsid w:val="6164671D"/>
    <w:rsid w:val="6179345E"/>
    <w:rsid w:val="617A7266"/>
    <w:rsid w:val="617B4ECB"/>
    <w:rsid w:val="61863B99"/>
    <w:rsid w:val="61895260"/>
    <w:rsid w:val="618F22F5"/>
    <w:rsid w:val="618F6740"/>
    <w:rsid w:val="61B06987"/>
    <w:rsid w:val="61B51F6D"/>
    <w:rsid w:val="61D00205"/>
    <w:rsid w:val="61F359F2"/>
    <w:rsid w:val="61FA02C2"/>
    <w:rsid w:val="61FB7D23"/>
    <w:rsid w:val="620D3E17"/>
    <w:rsid w:val="620D6760"/>
    <w:rsid w:val="62126170"/>
    <w:rsid w:val="62143A89"/>
    <w:rsid w:val="621C1871"/>
    <w:rsid w:val="621E4F3C"/>
    <w:rsid w:val="622641D2"/>
    <w:rsid w:val="624A37B7"/>
    <w:rsid w:val="624C78D4"/>
    <w:rsid w:val="624E68D5"/>
    <w:rsid w:val="62527693"/>
    <w:rsid w:val="62632983"/>
    <w:rsid w:val="62705956"/>
    <w:rsid w:val="62791D4B"/>
    <w:rsid w:val="628A3F58"/>
    <w:rsid w:val="6294694F"/>
    <w:rsid w:val="629D12CA"/>
    <w:rsid w:val="62A31718"/>
    <w:rsid w:val="62AD115F"/>
    <w:rsid w:val="62B545C6"/>
    <w:rsid w:val="62B9483E"/>
    <w:rsid w:val="62C2367E"/>
    <w:rsid w:val="62C31218"/>
    <w:rsid w:val="62C76F5B"/>
    <w:rsid w:val="62D52542"/>
    <w:rsid w:val="62D83C1B"/>
    <w:rsid w:val="63095E24"/>
    <w:rsid w:val="630C60A6"/>
    <w:rsid w:val="63175732"/>
    <w:rsid w:val="631B2E02"/>
    <w:rsid w:val="632919C3"/>
    <w:rsid w:val="6338795A"/>
    <w:rsid w:val="634B514E"/>
    <w:rsid w:val="636874DE"/>
    <w:rsid w:val="636B5B38"/>
    <w:rsid w:val="637D3ABD"/>
    <w:rsid w:val="6381535B"/>
    <w:rsid w:val="63834586"/>
    <w:rsid w:val="63892462"/>
    <w:rsid w:val="63996C58"/>
    <w:rsid w:val="639B20E8"/>
    <w:rsid w:val="63AF4018"/>
    <w:rsid w:val="63B53257"/>
    <w:rsid w:val="63BB0E85"/>
    <w:rsid w:val="63C34831"/>
    <w:rsid w:val="63CC5849"/>
    <w:rsid w:val="63E06514"/>
    <w:rsid w:val="63E76553"/>
    <w:rsid w:val="63F37152"/>
    <w:rsid w:val="63FD78E3"/>
    <w:rsid w:val="64025D70"/>
    <w:rsid w:val="64137F7D"/>
    <w:rsid w:val="641831B2"/>
    <w:rsid w:val="642167B4"/>
    <w:rsid w:val="642C2FFF"/>
    <w:rsid w:val="642D7DF9"/>
    <w:rsid w:val="64300B2F"/>
    <w:rsid w:val="643A375C"/>
    <w:rsid w:val="64405EC1"/>
    <w:rsid w:val="644B1C02"/>
    <w:rsid w:val="644C5D4D"/>
    <w:rsid w:val="645273BE"/>
    <w:rsid w:val="645934B8"/>
    <w:rsid w:val="648D270F"/>
    <w:rsid w:val="64990F49"/>
    <w:rsid w:val="64A27E5C"/>
    <w:rsid w:val="64A64F1F"/>
    <w:rsid w:val="64B953BB"/>
    <w:rsid w:val="64CE1ADF"/>
    <w:rsid w:val="64DA57C2"/>
    <w:rsid w:val="64DB4361"/>
    <w:rsid w:val="64DD55CE"/>
    <w:rsid w:val="64FD2EA1"/>
    <w:rsid w:val="6502122D"/>
    <w:rsid w:val="65055B18"/>
    <w:rsid w:val="651F62A0"/>
    <w:rsid w:val="65336821"/>
    <w:rsid w:val="65416C31"/>
    <w:rsid w:val="654666FA"/>
    <w:rsid w:val="65551596"/>
    <w:rsid w:val="655C6080"/>
    <w:rsid w:val="65607B50"/>
    <w:rsid w:val="656715F7"/>
    <w:rsid w:val="65792400"/>
    <w:rsid w:val="658B2578"/>
    <w:rsid w:val="65B13FDF"/>
    <w:rsid w:val="65C14D81"/>
    <w:rsid w:val="65C51CA9"/>
    <w:rsid w:val="65D11F36"/>
    <w:rsid w:val="65DF55FB"/>
    <w:rsid w:val="65EE0A11"/>
    <w:rsid w:val="65F8526B"/>
    <w:rsid w:val="660219A0"/>
    <w:rsid w:val="660C5B63"/>
    <w:rsid w:val="66110D10"/>
    <w:rsid w:val="6628178B"/>
    <w:rsid w:val="66363A30"/>
    <w:rsid w:val="664C15AB"/>
    <w:rsid w:val="6660394E"/>
    <w:rsid w:val="666343BB"/>
    <w:rsid w:val="66682803"/>
    <w:rsid w:val="66716C77"/>
    <w:rsid w:val="66787717"/>
    <w:rsid w:val="668A157A"/>
    <w:rsid w:val="6696527A"/>
    <w:rsid w:val="66996E60"/>
    <w:rsid w:val="669D65D7"/>
    <w:rsid w:val="66B051A7"/>
    <w:rsid w:val="66B3120B"/>
    <w:rsid w:val="66CF635B"/>
    <w:rsid w:val="66DA3FFA"/>
    <w:rsid w:val="66E520A5"/>
    <w:rsid w:val="66F83B86"/>
    <w:rsid w:val="671A696D"/>
    <w:rsid w:val="672E5483"/>
    <w:rsid w:val="67330B4D"/>
    <w:rsid w:val="673F5705"/>
    <w:rsid w:val="674055B0"/>
    <w:rsid w:val="674212A6"/>
    <w:rsid w:val="675133D8"/>
    <w:rsid w:val="67535261"/>
    <w:rsid w:val="6759126B"/>
    <w:rsid w:val="675A2766"/>
    <w:rsid w:val="67634DBC"/>
    <w:rsid w:val="67812362"/>
    <w:rsid w:val="678626E3"/>
    <w:rsid w:val="67875AB5"/>
    <w:rsid w:val="678A0557"/>
    <w:rsid w:val="67B54A9A"/>
    <w:rsid w:val="67C751F6"/>
    <w:rsid w:val="67CF7936"/>
    <w:rsid w:val="67DE4908"/>
    <w:rsid w:val="67E062C9"/>
    <w:rsid w:val="67F947D7"/>
    <w:rsid w:val="67FB209D"/>
    <w:rsid w:val="680E5F39"/>
    <w:rsid w:val="6817628E"/>
    <w:rsid w:val="681C1AF7"/>
    <w:rsid w:val="681E5DE9"/>
    <w:rsid w:val="6833657B"/>
    <w:rsid w:val="683809A6"/>
    <w:rsid w:val="6846639C"/>
    <w:rsid w:val="685272C6"/>
    <w:rsid w:val="68686AEA"/>
    <w:rsid w:val="68726AB9"/>
    <w:rsid w:val="687E1273"/>
    <w:rsid w:val="68831B76"/>
    <w:rsid w:val="689B14F6"/>
    <w:rsid w:val="68A22F22"/>
    <w:rsid w:val="68A67612"/>
    <w:rsid w:val="68B12AC7"/>
    <w:rsid w:val="68B6208E"/>
    <w:rsid w:val="68BE670A"/>
    <w:rsid w:val="68C2564E"/>
    <w:rsid w:val="68C741D6"/>
    <w:rsid w:val="68CD2DF1"/>
    <w:rsid w:val="68D756E5"/>
    <w:rsid w:val="68E24128"/>
    <w:rsid w:val="68F2471A"/>
    <w:rsid w:val="690313ED"/>
    <w:rsid w:val="694C01BA"/>
    <w:rsid w:val="6958153E"/>
    <w:rsid w:val="696A37BE"/>
    <w:rsid w:val="69906A78"/>
    <w:rsid w:val="69A2465A"/>
    <w:rsid w:val="69A26D0E"/>
    <w:rsid w:val="69A94906"/>
    <w:rsid w:val="69AA1A66"/>
    <w:rsid w:val="69AB5C99"/>
    <w:rsid w:val="69B83AA1"/>
    <w:rsid w:val="69C01C85"/>
    <w:rsid w:val="69DC2875"/>
    <w:rsid w:val="69DE2516"/>
    <w:rsid w:val="69F119F4"/>
    <w:rsid w:val="69F85C4B"/>
    <w:rsid w:val="6A0665BA"/>
    <w:rsid w:val="6A0868C0"/>
    <w:rsid w:val="6A1E20ED"/>
    <w:rsid w:val="6A310F89"/>
    <w:rsid w:val="6A402F3A"/>
    <w:rsid w:val="6A470981"/>
    <w:rsid w:val="6A495025"/>
    <w:rsid w:val="6A6634FD"/>
    <w:rsid w:val="6A7379C8"/>
    <w:rsid w:val="6A787BEC"/>
    <w:rsid w:val="6A8E50DB"/>
    <w:rsid w:val="6AA560DB"/>
    <w:rsid w:val="6AA8002E"/>
    <w:rsid w:val="6AAA68BF"/>
    <w:rsid w:val="6ABC311D"/>
    <w:rsid w:val="6ABD0839"/>
    <w:rsid w:val="6AC00592"/>
    <w:rsid w:val="6AC27EAE"/>
    <w:rsid w:val="6ACD70D8"/>
    <w:rsid w:val="6AF503DD"/>
    <w:rsid w:val="6AFE11E7"/>
    <w:rsid w:val="6B0C5E52"/>
    <w:rsid w:val="6B113469"/>
    <w:rsid w:val="6B3929BF"/>
    <w:rsid w:val="6B397730"/>
    <w:rsid w:val="6B397C51"/>
    <w:rsid w:val="6B460C38"/>
    <w:rsid w:val="6B6860EC"/>
    <w:rsid w:val="6B862705"/>
    <w:rsid w:val="6B8712C5"/>
    <w:rsid w:val="6BA21D5A"/>
    <w:rsid w:val="6BC90CE4"/>
    <w:rsid w:val="6BCB6BB1"/>
    <w:rsid w:val="6BD56D88"/>
    <w:rsid w:val="6BDA09CA"/>
    <w:rsid w:val="6BDD2845"/>
    <w:rsid w:val="6BE709D1"/>
    <w:rsid w:val="6BE83512"/>
    <w:rsid w:val="6BEE057C"/>
    <w:rsid w:val="6BEE2725"/>
    <w:rsid w:val="6BF219F0"/>
    <w:rsid w:val="6BFE44B6"/>
    <w:rsid w:val="6C0D75E2"/>
    <w:rsid w:val="6C103EF2"/>
    <w:rsid w:val="6C1331CB"/>
    <w:rsid w:val="6C136D6D"/>
    <w:rsid w:val="6C1C4E12"/>
    <w:rsid w:val="6C336341"/>
    <w:rsid w:val="6C507FC1"/>
    <w:rsid w:val="6C580C23"/>
    <w:rsid w:val="6C6104C5"/>
    <w:rsid w:val="6C6972D4"/>
    <w:rsid w:val="6C6A2B35"/>
    <w:rsid w:val="6C7C0FBC"/>
    <w:rsid w:val="6C7D068A"/>
    <w:rsid w:val="6C8B724B"/>
    <w:rsid w:val="6CAF619F"/>
    <w:rsid w:val="6CB247D7"/>
    <w:rsid w:val="6CCE0573"/>
    <w:rsid w:val="6CDD04AE"/>
    <w:rsid w:val="6CF35E8C"/>
    <w:rsid w:val="6D011CF4"/>
    <w:rsid w:val="6D18035A"/>
    <w:rsid w:val="6D194017"/>
    <w:rsid w:val="6D1A412B"/>
    <w:rsid w:val="6D1B530F"/>
    <w:rsid w:val="6D1C0120"/>
    <w:rsid w:val="6D1F4857"/>
    <w:rsid w:val="6D2A25C0"/>
    <w:rsid w:val="6D364707"/>
    <w:rsid w:val="6D447771"/>
    <w:rsid w:val="6D4573FA"/>
    <w:rsid w:val="6D47309D"/>
    <w:rsid w:val="6D4E7641"/>
    <w:rsid w:val="6D52740E"/>
    <w:rsid w:val="6D596693"/>
    <w:rsid w:val="6D6105B3"/>
    <w:rsid w:val="6D663D86"/>
    <w:rsid w:val="6D673814"/>
    <w:rsid w:val="6D8F68C7"/>
    <w:rsid w:val="6D913503"/>
    <w:rsid w:val="6D9C0B83"/>
    <w:rsid w:val="6D9C140F"/>
    <w:rsid w:val="6D9E4D5C"/>
    <w:rsid w:val="6DA106DD"/>
    <w:rsid w:val="6DA700B4"/>
    <w:rsid w:val="6DAA75C3"/>
    <w:rsid w:val="6DAC4B73"/>
    <w:rsid w:val="6DB81631"/>
    <w:rsid w:val="6DC74A88"/>
    <w:rsid w:val="6DE22E9A"/>
    <w:rsid w:val="6DE74955"/>
    <w:rsid w:val="6DFB0400"/>
    <w:rsid w:val="6E0C6169"/>
    <w:rsid w:val="6E1B45FE"/>
    <w:rsid w:val="6E33426E"/>
    <w:rsid w:val="6E35746E"/>
    <w:rsid w:val="6E5F7FBC"/>
    <w:rsid w:val="6E712470"/>
    <w:rsid w:val="6E8042EA"/>
    <w:rsid w:val="6E8827BD"/>
    <w:rsid w:val="6E8F6156"/>
    <w:rsid w:val="6EA24FCD"/>
    <w:rsid w:val="6EB33900"/>
    <w:rsid w:val="6EB43AE4"/>
    <w:rsid w:val="6EC3650B"/>
    <w:rsid w:val="6EC57260"/>
    <w:rsid w:val="6ECB1154"/>
    <w:rsid w:val="6ECD6F03"/>
    <w:rsid w:val="6ED76777"/>
    <w:rsid w:val="6ED9678D"/>
    <w:rsid w:val="6EDA6521"/>
    <w:rsid w:val="6EDC0332"/>
    <w:rsid w:val="6EEB2223"/>
    <w:rsid w:val="6EFB73A4"/>
    <w:rsid w:val="6F1C7A8B"/>
    <w:rsid w:val="6F1E7225"/>
    <w:rsid w:val="6F27464F"/>
    <w:rsid w:val="6F285B39"/>
    <w:rsid w:val="6F2C357A"/>
    <w:rsid w:val="6F321E6A"/>
    <w:rsid w:val="6F3E3F71"/>
    <w:rsid w:val="6F4D336D"/>
    <w:rsid w:val="6F4E211B"/>
    <w:rsid w:val="6F564E7D"/>
    <w:rsid w:val="6F6C08B9"/>
    <w:rsid w:val="6F6D46CD"/>
    <w:rsid w:val="6F8C57B4"/>
    <w:rsid w:val="6F97449F"/>
    <w:rsid w:val="6F9A449D"/>
    <w:rsid w:val="6FBD57C0"/>
    <w:rsid w:val="6FD46AA0"/>
    <w:rsid w:val="6FE423F0"/>
    <w:rsid w:val="6FE45E13"/>
    <w:rsid w:val="6FED7AF5"/>
    <w:rsid w:val="6FEF1874"/>
    <w:rsid w:val="6FF9096F"/>
    <w:rsid w:val="6FFC3047"/>
    <w:rsid w:val="700C0C26"/>
    <w:rsid w:val="700C69E4"/>
    <w:rsid w:val="702B3633"/>
    <w:rsid w:val="703C5AA2"/>
    <w:rsid w:val="705C3C8C"/>
    <w:rsid w:val="70726C6C"/>
    <w:rsid w:val="708E10B8"/>
    <w:rsid w:val="70934F9A"/>
    <w:rsid w:val="709F1517"/>
    <w:rsid w:val="70BF1417"/>
    <w:rsid w:val="70D23504"/>
    <w:rsid w:val="70D86EF4"/>
    <w:rsid w:val="70DD189A"/>
    <w:rsid w:val="70E405A3"/>
    <w:rsid w:val="70E46F2A"/>
    <w:rsid w:val="70F353BF"/>
    <w:rsid w:val="711463AD"/>
    <w:rsid w:val="711F7F62"/>
    <w:rsid w:val="712678DA"/>
    <w:rsid w:val="712D267F"/>
    <w:rsid w:val="71786B43"/>
    <w:rsid w:val="71804559"/>
    <w:rsid w:val="71872123"/>
    <w:rsid w:val="71954A4E"/>
    <w:rsid w:val="71972B8A"/>
    <w:rsid w:val="71997D14"/>
    <w:rsid w:val="719A7642"/>
    <w:rsid w:val="719E7958"/>
    <w:rsid w:val="71B52674"/>
    <w:rsid w:val="71B763EC"/>
    <w:rsid w:val="71D41ADC"/>
    <w:rsid w:val="71EA6A44"/>
    <w:rsid w:val="71F25676"/>
    <w:rsid w:val="71F475E4"/>
    <w:rsid w:val="72014408"/>
    <w:rsid w:val="72022025"/>
    <w:rsid w:val="72086C48"/>
    <w:rsid w:val="720B5E9F"/>
    <w:rsid w:val="720C6738"/>
    <w:rsid w:val="720D1255"/>
    <w:rsid w:val="72186B9B"/>
    <w:rsid w:val="721879D9"/>
    <w:rsid w:val="722B03C7"/>
    <w:rsid w:val="722E709D"/>
    <w:rsid w:val="72330169"/>
    <w:rsid w:val="72374DAB"/>
    <w:rsid w:val="724179B2"/>
    <w:rsid w:val="7249798C"/>
    <w:rsid w:val="72505D04"/>
    <w:rsid w:val="726152EF"/>
    <w:rsid w:val="72645BFF"/>
    <w:rsid w:val="727B7064"/>
    <w:rsid w:val="727E14FC"/>
    <w:rsid w:val="72851A38"/>
    <w:rsid w:val="728B515C"/>
    <w:rsid w:val="728C5E46"/>
    <w:rsid w:val="728D7209"/>
    <w:rsid w:val="72933FAE"/>
    <w:rsid w:val="729B372D"/>
    <w:rsid w:val="72A26EFE"/>
    <w:rsid w:val="72A42E14"/>
    <w:rsid w:val="72B62B48"/>
    <w:rsid w:val="72BA2FE3"/>
    <w:rsid w:val="72C83F3E"/>
    <w:rsid w:val="72D11FC9"/>
    <w:rsid w:val="72D6671B"/>
    <w:rsid w:val="72F2223B"/>
    <w:rsid w:val="72F458ED"/>
    <w:rsid w:val="7301621E"/>
    <w:rsid w:val="730A1B38"/>
    <w:rsid w:val="731A30D6"/>
    <w:rsid w:val="7339611F"/>
    <w:rsid w:val="733F48EB"/>
    <w:rsid w:val="734844B1"/>
    <w:rsid w:val="73526652"/>
    <w:rsid w:val="737B1770"/>
    <w:rsid w:val="73834578"/>
    <w:rsid w:val="7388317E"/>
    <w:rsid w:val="739F0CFB"/>
    <w:rsid w:val="739F6F7E"/>
    <w:rsid w:val="73B0236C"/>
    <w:rsid w:val="73BE02D8"/>
    <w:rsid w:val="73BF2A78"/>
    <w:rsid w:val="73BF7E01"/>
    <w:rsid w:val="73C3376E"/>
    <w:rsid w:val="73D032D1"/>
    <w:rsid w:val="73DC6F23"/>
    <w:rsid w:val="73E86D45"/>
    <w:rsid w:val="73EA61B1"/>
    <w:rsid w:val="73EB2787"/>
    <w:rsid w:val="741C69DA"/>
    <w:rsid w:val="741E6C86"/>
    <w:rsid w:val="745412CE"/>
    <w:rsid w:val="74630EBF"/>
    <w:rsid w:val="746E4B9F"/>
    <w:rsid w:val="74712CD4"/>
    <w:rsid w:val="74911176"/>
    <w:rsid w:val="74997316"/>
    <w:rsid w:val="74AC5174"/>
    <w:rsid w:val="74AD4B8B"/>
    <w:rsid w:val="74C0135E"/>
    <w:rsid w:val="74C66D2B"/>
    <w:rsid w:val="74E03A67"/>
    <w:rsid w:val="74F32E9A"/>
    <w:rsid w:val="74F846C4"/>
    <w:rsid w:val="74FA5107"/>
    <w:rsid w:val="7506570B"/>
    <w:rsid w:val="750A4F09"/>
    <w:rsid w:val="750D1A10"/>
    <w:rsid w:val="7513069A"/>
    <w:rsid w:val="752501E6"/>
    <w:rsid w:val="754900EA"/>
    <w:rsid w:val="757005AB"/>
    <w:rsid w:val="7581743D"/>
    <w:rsid w:val="758A0212"/>
    <w:rsid w:val="7592164A"/>
    <w:rsid w:val="75971662"/>
    <w:rsid w:val="759D2548"/>
    <w:rsid w:val="75B557CB"/>
    <w:rsid w:val="75BA0E4D"/>
    <w:rsid w:val="75CA04F1"/>
    <w:rsid w:val="75D02172"/>
    <w:rsid w:val="75D60E9A"/>
    <w:rsid w:val="75D831EF"/>
    <w:rsid w:val="75D83E8B"/>
    <w:rsid w:val="75DB69E8"/>
    <w:rsid w:val="75DB7BB6"/>
    <w:rsid w:val="75DF016E"/>
    <w:rsid w:val="75F35EF7"/>
    <w:rsid w:val="75F47C0F"/>
    <w:rsid w:val="76004888"/>
    <w:rsid w:val="761262E7"/>
    <w:rsid w:val="76152C7A"/>
    <w:rsid w:val="761738FD"/>
    <w:rsid w:val="76297AAD"/>
    <w:rsid w:val="76391AC6"/>
    <w:rsid w:val="76395D30"/>
    <w:rsid w:val="763C15B6"/>
    <w:rsid w:val="763D3D03"/>
    <w:rsid w:val="763E2880"/>
    <w:rsid w:val="764217E8"/>
    <w:rsid w:val="764F12E9"/>
    <w:rsid w:val="76544B51"/>
    <w:rsid w:val="76642FB2"/>
    <w:rsid w:val="76694E5C"/>
    <w:rsid w:val="768E0063"/>
    <w:rsid w:val="76930DDA"/>
    <w:rsid w:val="769F7497"/>
    <w:rsid w:val="76A21E7B"/>
    <w:rsid w:val="76A42CBE"/>
    <w:rsid w:val="76AC766F"/>
    <w:rsid w:val="76B13D52"/>
    <w:rsid w:val="76DF08BF"/>
    <w:rsid w:val="76DF30D9"/>
    <w:rsid w:val="76FB1C24"/>
    <w:rsid w:val="770B5B3B"/>
    <w:rsid w:val="770E2F52"/>
    <w:rsid w:val="771A165E"/>
    <w:rsid w:val="7726192C"/>
    <w:rsid w:val="77400C32"/>
    <w:rsid w:val="775549AA"/>
    <w:rsid w:val="775766A7"/>
    <w:rsid w:val="775841CD"/>
    <w:rsid w:val="776631E4"/>
    <w:rsid w:val="7768182A"/>
    <w:rsid w:val="777031CF"/>
    <w:rsid w:val="77935205"/>
    <w:rsid w:val="77946252"/>
    <w:rsid w:val="77994137"/>
    <w:rsid w:val="77996AEC"/>
    <w:rsid w:val="77A25449"/>
    <w:rsid w:val="77AE59A3"/>
    <w:rsid w:val="77C15CBD"/>
    <w:rsid w:val="77CC4F9A"/>
    <w:rsid w:val="77CD2DED"/>
    <w:rsid w:val="77DA1086"/>
    <w:rsid w:val="77DA4423"/>
    <w:rsid w:val="77DF0702"/>
    <w:rsid w:val="77E372E8"/>
    <w:rsid w:val="77FD1135"/>
    <w:rsid w:val="78072740"/>
    <w:rsid w:val="78100DE3"/>
    <w:rsid w:val="781E7E54"/>
    <w:rsid w:val="784976CA"/>
    <w:rsid w:val="785379BB"/>
    <w:rsid w:val="785748AE"/>
    <w:rsid w:val="785C2AD0"/>
    <w:rsid w:val="786372CE"/>
    <w:rsid w:val="786A03E5"/>
    <w:rsid w:val="786F46F8"/>
    <w:rsid w:val="78765133"/>
    <w:rsid w:val="78774B27"/>
    <w:rsid w:val="78776B2A"/>
    <w:rsid w:val="788025B9"/>
    <w:rsid w:val="788060C0"/>
    <w:rsid w:val="78897940"/>
    <w:rsid w:val="78981BAF"/>
    <w:rsid w:val="78A376CA"/>
    <w:rsid w:val="78C31426"/>
    <w:rsid w:val="78CC3B41"/>
    <w:rsid w:val="78CE2999"/>
    <w:rsid w:val="78DA18D4"/>
    <w:rsid w:val="78DC4459"/>
    <w:rsid w:val="79050385"/>
    <w:rsid w:val="79241437"/>
    <w:rsid w:val="792841C7"/>
    <w:rsid w:val="792F0DD0"/>
    <w:rsid w:val="793A50BE"/>
    <w:rsid w:val="79437F4F"/>
    <w:rsid w:val="79752E15"/>
    <w:rsid w:val="79773031"/>
    <w:rsid w:val="797A789A"/>
    <w:rsid w:val="797B75B8"/>
    <w:rsid w:val="79870D9A"/>
    <w:rsid w:val="79A11E5C"/>
    <w:rsid w:val="79A41FFC"/>
    <w:rsid w:val="79AD6A52"/>
    <w:rsid w:val="79B42F8A"/>
    <w:rsid w:val="79B85F2C"/>
    <w:rsid w:val="79D57D57"/>
    <w:rsid w:val="79E67179"/>
    <w:rsid w:val="79F0674B"/>
    <w:rsid w:val="7A0737BF"/>
    <w:rsid w:val="7A130F40"/>
    <w:rsid w:val="7A22231A"/>
    <w:rsid w:val="7A3E0DA9"/>
    <w:rsid w:val="7A401F11"/>
    <w:rsid w:val="7A490202"/>
    <w:rsid w:val="7A566F50"/>
    <w:rsid w:val="7A607905"/>
    <w:rsid w:val="7A7C37A9"/>
    <w:rsid w:val="7A8E473B"/>
    <w:rsid w:val="7A962C63"/>
    <w:rsid w:val="7ABC3DD5"/>
    <w:rsid w:val="7AD26961"/>
    <w:rsid w:val="7AE33ACE"/>
    <w:rsid w:val="7AF34939"/>
    <w:rsid w:val="7B072192"/>
    <w:rsid w:val="7B07460C"/>
    <w:rsid w:val="7B0F0765"/>
    <w:rsid w:val="7B0F7299"/>
    <w:rsid w:val="7B1955CB"/>
    <w:rsid w:val="7B1D2D88"/>
    <w:rsid w:val="7B3D3B4B"/>
    <w:rsid w:val="7B3F680F"/>
    <w:rsid w:val="7B407452"/>
    <w:rsid w:val="7B450F0D"/>
    <w:rsid w:val="7B6B4E8E"/>
    <w:rsid w:val="7B746E0D"/>
    <w:rsid w:val="7B7947AD"/>
    <w:rsid w:val="7B8515EA"/>
    <w:rsid w:val="7B91054B"/>
    <w:rsid w:val="7B911884"/>
    <w:rsid w:val="7B953BCC"/>
    <w:rsid w:val="7B963516"/>
    <w:rsid w:val="7BA765BD"/>
    <w:rsid w:val="7BAC2F7A"/>
    <w:rsid w:val="7BAF62EE"/>
    <w:rsid w:val="7BB73BB8"/>
    <w:rsid w:val="7BBA14B3"/>
    <w:rsid w:val="7BC04D1F"/>
    <w:rsid w:val="7BD56B80"/>
    <w:rsid w:val="7BDD1298"/>
    <w:rsid w:val="7BDE06A1"/>
    <w:rsid w:val="7BEF7922"/>
    <w:rsid w:val="7C0714F5"/>
    <w:rsid w:val="7C0D2EFF"/>
    <w:rsid w:val="7C3968EB"/>
    <w:rsid w:val="7C4B60AF"/>
    <w:rsid w:val="7C7346BF"/>
    <w:rsid w:val="7C741AA9"/>
    <w:rsid w:val="7C7C26FE"/>
    <w:rsid w:val="7C822DDA"/>
    <w:rsid w:val="7C84725A"/>
    <w:rsid w:val="7C950E2A"/>
    <w:rsid w:val="7C962393"/>
    <w:rsid w:val="7CB9357D"/>
    <w:rsid w:val="7CD12A58"/>
    <w:rsid w:val="7CE318DA"/>
    <w:rsid w:val="7D0C34C4"/>
    <w:rsid w:val="7D100E3A"/>
    <w:rsid w:val="7D1961AD"/>
    <w:rsid w:val="7D2863F0"/>
    <w:rsid w:val="7D2B7A55"/>
    <w:rsid w:val="7D3C25A3"/>
    <w:rsid w:val="7D562F5D"/>
    <w:rsid w:val="7D5E727E"/>
    <w:rsid w:val="7D9359A6"/>
    <w:rsid w:val="7DAF33A2"/>
    <w:rsid w:val="7DB027AB"/>
    <w:rsid w:val="7DB12889"/>
    <w:rsid w:val="7DB76FD2"/>
    <w:rsid w:val="7DC03912"/>
    <w:rsid w:val="7DC22201"/>
    <w:rsid w:val="7DCF280A"/>
    <w:rsid w:val="7DD6242C"/>
    <w:rsid w:val="7DDB1F64"/>
    <w:rsid w:val="7DE64072"/>
    <w:rsid w:val="7DE70059"/>
    <w:rsid w:val="7DE70DAB"/>
    <w:rsid w:val="7DE8059E"/>
    <w:rsid w:val="7E046350"/>
    <w:rsid w:val="7E070622"/>
    <w:rsid w:val="7E097A5B"/>
    <w:rsid w:val="7E1F7ED0"/>
    <w:rsid w:val="7E2547CF"/>
    <w:rsid w:val="7E293858"/>
    <w:rsid w:val="7E394D59"/>
    <w:rsid w:val="7E455CCF"/>
    <w:rsid w:val="7E4B6E7F"/>
    <w:rsid w:val="7E556505"/>
    <w:rsid w:val="7E5E51B3"/>
    <w:rsid w:val="7E6062CA"/>
    <w:rsid w:val="7E645B88"/>
    <w:rsid w:val="7E6C1962"/>
    <w:rsid w:val="7E71277C"/>
    <w:rsid w:val="7E762BF0"/>
    <w:rsid w:val="7E8743F2"/>
    <w:rsid w:val="7E8D29AE"/>
    <w:rsid w:val="7E9975A5"/>
    <w:rsid w:val="7EAF501B"/>
    <w:rsid w:val="7EC363D0"/>
    <w:rsid w:val="7EC468E4"/>
    <w:rsid w:val="7EC7454B"/>
    <w:rsid w:val="7ED05331"/>
    <w:rsid w:val="7EDE76AE"/>
    <w:rsid w:val="7EFE4ED7"/>
    <w:rsid w:val="7EFE6EC1"/>
    <w:rsid w:val="7F160BF6"/>
    <w:rsid w:val="7F196B2B"/>
    <w:rsid w:val="7F24069B"/>
    <w:rsid w:val="7F2F0EB9"/>
    <w:rsid w:val="7F324AA5"/>
    <w:rsid w:val="7F34107C"/>
    <w:rsid w:val="7F370B6C"/>
    <w:rsid w:val="7F465167"/>
    <w:rsid w:val="7F473538"/>
    <w:rsid w:val="7F4E2109"/>
    <w:rsid w:val="7F594F87"/>
    <w:rsid w:val="7F902F5F"/>
    <w:rsid w:val="7FAE30EA"/>
    <w:rsid w:val="7FBB6308"/>
    <w:rsid w:val="7FBF5085"/>
    <w:rsid w:val="7FC05006"/>
    <w:rsid w:val="7FC44851"/>
    <w:rsid w:val="7FD748F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nhideWhenUsed="0" w:uiPriority="0" w:semiHidden="0" w:name="heading 2" w:locked="1"/>
    <w:lsdException w:qFormat="1" w:unhideWhenUsed="0" w:uiPriority="0" w:semiHidden="0" w:name="heading 3" w:locked="1"/>
    <w:lsdException w:qFormat="1" w:unhideWhenUsed="0" w:uiPriority="0"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qFormat="1" w:unhideWhenUsed="0" w:uiPriority="0" w:semiHidden="0" w:name="index 1" w:locked="1"/>
    <w:lsdException w:unhideWhenUsed="0" w:uiPriority="0" w:semiHidden="0" w:name="index 2" w:locked="1"/>
    <w:lsdException w:unhideWhenUsed="0" w:uiPriority="0" w:semiHidden="0" w:name="index 3" w:locked="1"/>
    <w:lsdException w:unhideWhenUsed="0" w:uiPriority="0" w:semiHidden="0" w:name="index 4" w:locked="1"/>
    <w:lsdException w:unhideWhenUsed="0" w:uiPriority="0" w:semiHidden="0" w:name="index 5" w:locked="1"/>
    <w:lsdException w:unhideWhenUsed="0" w:uiPriority="0" w:semiHidden="0" w:name="index 6" w:locked="1"/>
    <w:lsdException w:unhideWhenUsed="0" w:uiPriority="0" w:semiHidden="0" w:name="index 7" w:locked="1"/>
    <w:lsdException w:unhideWhenUsed="0" w:uiPriority="0" w:semiHidden="0" w:name="index 8" w:locked="1"/>
    <w:lsdException w:unhideWhenUsed="0" w:uiPriority="0" w:semiHidden="0" w:name="index 9" w:locked="1"/>
    <w:lsdException w:qFormat="1" w:unhideWhenUsed="0" w:uiPriority="39" w:semiHidden="0" w:name="toc 1" w:locked="1"/>
    <w:lsdException w:qFormat="1" w:uiPriority="39"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qFormat="1" w:unhideWhenUsed="0" w:uiPriority="0" w:semiHidden="0" w:name="toc 7" w:locked="1"/>
    <w:lsdException w:unhideWhenUsed="0" w:uiPriority="0" w:semiHidden="0" w:name="toc 8" w:locked="1"/>
    <w:lsdException w:unhideWhenUsed="0" w:uiPriority="0" w:semiHidden="0" w:name="toc 9" w:locked="1"/>
    <w:lsdException w:qFormat="1" w:unhideWhenUsed="0" w:uiPriority="0" w:semiHidden="0" w:name="Normal Indent" w:locked="1"/>
    <w:lsdException w:qFormat="1" w:uiPriority="99" w:semiHidden="0" w:name="footnote text" w:locked="1"/>
    <w:lsdException w:qFormat="1" w:unhideWhenUsed="0" w:uiPriority="0" w:name="annotation text"/>
    <w:lsdException w:qFormat="1" w:unhideWhenUsed="0" w:uiPriority="0" w:semiHidden="0" w:name="header"/>
    <w:lsdException w:qFormat="1" w:unhideWhenUsed="0" w:uiPriority="99" w:semiHidden="0" w:name="footer"/>
    <w:lsdException w:unhideWhenUsed="0" w:uiPriority="0" w:semiHidden="0" w:name="index heading" w:locked="1"/>
    <w:lsdException w:qFormat="1" w:unhideWhenUsed="0" w:uiPriority="35" w:semiHidden="0" w:name="caption" w:locked="1"/>
    <w:lsdException w:unhideWhenUsed="0" w:uiPriority="0" w:semiHidden="0" w:name="table of figures" w:locked="1"/>
    <w:lsdException w:unhideWhenUsed="0" w:uiPriority="0" w:semiHidden="0" w:name="envelope address" w:locked="1"/>
    <w:lsdException w:unhideWhenUsed="0" w:uiPriority="0" w:semiHidden="0" w:name="envelope return" w:locked="1"/>
    <w:lsdException w:qFormat="1" w:uiPriority="99" w:semiHidden="0" w:name="footnote reference" w:locked="1"/>
    <w:lsdException w:qFormat="1" w:unhideWhenUsed="0" w:uiPriority="0" w:semiHidden="0" w:name="annotation reference"/>
    <w:lsdException w:unhideWhenUsed="0" w:uiPriority="0" w:semiHidden="0" w:name="line number" w:locked="1"/>
    <w:lsdException w:qFormat="1" w:unhideWhenUsed="0" w:uiPriority="0" w:semiHidden="0" w:name="page number" w:locked="1"/>
    <w:lsdException w:unhideWhenUsed="0" w:uiPriority="0" w:semiHidden="0" w:name="endnote reference" w:locked="1"/>
    <w:lsdException w:unhideWhenUsed="0" w:uiPriority="0" w:semiHidden="0" w:name="endnote text" w:locked="1"/>
    <w:lsdException w:qFormat="1" w:unhideWhenUsed="0" w:uiPriority="99" w:semiHidden="0" w:name="table of authorities" w:locked="1"/>
    <w:lsdException w:unhideWhenUsed="0" w:uiPriority="0" w:semiHidden="0" w:name="macro" w:locked="1"/>
    <w:lsdException w:unhideWhenUsed="0" w:uiPriority="0" w:semiHidden="0" w:name="toa heading" w:locked="1"/>
    <w:lsdException w:unhideWhenUsed="0" w:uiPriority="0" w:semiHidden="0" w:name="List" w:locked="1"/>
    <w:lsdException w:unhideWhenUsed="0" w:uiPriority="0" w:semiHidden="0" w:name="List Bullet" w:locked="1"/>
    <w:lsdException w:unhideWhenUsed="0" w:uiPriority="0" w:semiHidden="0" w:name="List Number" w:locked="1"/>
    <w:lsdException w:unhideWhenUsed="0" w:uiPriority="0" w:semiHidden="0" w:name="List 2" w:locked="1"/>
    <w:lsdException w:qFormat="1" w:unhideWhenUsed="0" w:uiPriority="0" w:semiHidden="0" w:name="List 3" w:locked="1"/>
    <w:lsdException w:unhideWhenUsed="0" w:uiPriority="0" w:semiHidden="0" w:name="List 4" w:locked="1"/>
    <w:lsdException w:unhideWhenUsed="0" w:uiPriority="0" w:semiHidden="0" w:name="List 5" w:locked="1"/>
    <w:lsdException w:unhideWhenUsed="0" w:uiPriority="0" w:semiHidden="0" w:name="List Bullet 2" w:locked="1"/>
    <w:lsdException w:unhideWhenUsed="0" w:uiPriority="0" w:semiHidden="0" w:name="List Bullet 3" w:locked="1"/>
    <w:lsdException w:unhideWhenUsed="0" w:uiPriority="0" w:semiHidden="0" w:name="List Bullet 4" w:locked="1"/>
    <w:lsdException w:unhideWhenUsed="0" w:uiPriority="0" w:semiHidden="0" w:name="List Bullet 5" w:locked="1"/>
    <w:lsdException w:unhideWhenUsed="0" w:uiPriority="0" w:semiHidden="0" w:name="List Number 2" w:locked="1"/>
    <w:lsdException w:unhideWhenUsed="0" w:uiPriority="0" w:semiHidden="0" w:name="List Number 3" w:locked="1"/>
    <w:lsdException w:unhideWhenUsed="0" w:uiPriority="0" w:semiHidden="0" w:name="List Number 4" w:locked="1"/>
    <w:lsdException w:unhideWhenUsed="0" w:uiPriority="0" w:semiHidden="0" w:name="List Number 5" w:locked="1"/>
    <w:lsdException w:qFormat="1" w:unhideWhenUsed="0" w:uiPriority="99" w:semiHidden="0" w:name="Title" w:locked="1"/>
    <w:lsdException w:unhideWhenUsed="0" w:uiPriority="0" w:semiHidden="0" w:name="Closing" w:locked="1"/>
    <w:lsdException w:unhideWhenUsed="0" w:uiPriority="0" w:semiHidden="0" w:name="Signature" w:locked="1"/>
    <w:lsdException w:qFormat="1" w:uiPriority="1" w:name="Default Paragraph Font"/>
    <w:lsdException w:qFormat="1" w:unhideWhenUsed="0" w:uiPriority="99" w:semiHidden="0" w:name="Body Text"/>
    <w:lsdException w:qFormat="1" w:unhideWhenUsed="0" w:uiPriority="0" w:semiHidden="0" w:name="Body Text Indent"/>
    <w:lsdException w:unhideWhenUsed="0" w:uiPriority="0" w:semiHidden="0" w:name="List Continue" w:locked="1"/>
    <w:lsdException w:unhideWhenUsed="0" w:uiPriority="0" w:semiHidden="0" w:name="List Continue 2" w:locked="1"/>
    <w:lsdException w:unhideWhenUsed="0" w:uiPriority="0" w:semiHidden="0" w:name="List Continue 3" w:locked="1"/>
    <w:lsdException w:unhideWhenUsed="0" w:uiPriority="0" w:semiHidden="0" w:name="List Continue 4" w:locked="1"/>
    <w:lsdException w:unhideWhenUsed="0" w:uiPriority="0" w:semiHidden="0" w:name="List Continue 5" w:locked="1"/>
    <w:lsdException w:unhideWhenUsed="0" w:uiPriority="0" w:semiHidden="0" w:name="Message Header" w:locked="1"/>
    <w:lsdException w:qFormat="1" w:unhideWhenUsed="0" w:uiPriority="0" w:semiHidden="0" w:name="Subtitle" w:locked="1"/>
    <w:lsdException w:unhideWhenUsed="0" w:uiPriority="0" w:semiHidden="0" w:name="Salutation" w:locked="1"/>
    <w:lsdException w:qFormat="1" w:unhideWhenUsed="0" w:uiPriority="0" w:semiHidden="0" w:name="Date"/>
    <w:lsdException w:qFormat="1" w:unhideWhenUsed="0" w:uiPriority="0" w:semiHidden="0" w:name="Body Text First Indent" w:locked="1"/>
    <w:lsdException w:qFormat="1" w:uiPriority="0" w:semiHidden="0" w:name="Body Text First Indent 2" w:locked="1"/>
    <w:lsdException w:unhideWhenUsed="0" w:uiPriority="0" w:semiHidden="0" w:name="Note Heading" w:locked="1"/>
    <w:lsdException w:qFormat="1" w:unhideWhenUsed="0" w:uiPriority="0" w:semiHidden="0" w:name="Body Text 2" w:locked="1"/>
    <w:lsdException w:unhideWhenUsed="0" w:uiPriority="0" w:semiHidden="0" w:name="Body Text 3" w:locked="1"/>
    <w:lsdException w:qFormat="1" w:uiPriority="99" w:semiHidden="0" w:name="Body Text Indent 2" w:locked="1"/>
    <w:lsdException w:qFormat="1" w:uiPriority="0" w:semiHidden="0" w:name="Body Text Indent 3" w:locked="1"/>
    <w:lsdException w:qFormat="1" w:unhideWhenUsed="0" w:uiPriority="0" w:semiHidden="0" w:name="Block Text" w:locked="1"/>
    <w:lsdException w:qFormat="1" w:unhideWhenUsed="0" w:uiPriority="99" w:semiHidden="0" w:name="Hyperlink" w:locked="1"/>
    <w:lsdException w:qFormat="1" w:uiPriority="99" w:semiHidden="0" w:name="FollowedHyperlink" w:locked="1"/>
    <w:lsdException w:qFormat="1" w:unhideWhenUsed="0" w:uiPriority="0" w:semiHidden="0" w:name="Strong" w:locked="1"/>
    <w:lsdException w:qFormat="1" w:unhideWhenUsed="0" w:uiPriority="0" w:semiHidden="0" w:name="Emphasis" w:locked="1"/>
    <w:lsdException w:qFormat="1" w:uiPriority="0" w:semiHidden="0" w:name="Document Map" w:locked="1"/>
    <w:lsdException w:qFormat="1" w:unhideWhenUsed="0" w:uiPriority="0" w:semiHidden="0" w:name="Plain Text" w:locked="1"/>
    <w:lsdException w:unhideWhenUsed="0" w:uiPriority="0" w:semiHidden="0" w:name="E-mail Signature" w:locked="1"/>
    <w:lsdException w:qFormat="1" w:unhideWhenUsed="0" w:uiPriority="0" w:semiHidden="0" w:name="Normal (Web)"/>
    <w:lsdException w:unhideWhenUsed="0" w:uiPriority="0" w:semiHidden="0" w:name="HTML Acronym" w:locked="1"/>
    <w:lsdException w:unhideWhenUsed="0" w:uiPriority="0" w:semiHidden="0" w:name="HTML Address" w:locked="1"/>
    <w:lsdException w:unhideWhenUsed="0" w:uiPriority="0" w:semiHidden="0" w:name="HTML Cite" w:locked="1"/>
    <w:lsdException w:unhideWhenUsed="0" w:uiPriority="0" w:semiHidden="0" w:name="HTML Code" w:locked="1"/>
    <w:lsdException w:unhideWhenUsed="0" w:uiPriority="0" w:semiHidden="0" w:name="HTML Definition" w:locked="1"/>
    <w:lsdException w:unhideWhenUsed="0" w:uiPriority="0" w:semiHidden="0" w:name="HTML Keyboard" w:locked="1"/>
    <w:lsdException w:unhideWhenUsed="0" w:uiPriority="0" w:semiHidden="0" w:name="HTML Preformatted" w:locked="1"/>
    <w:lsdException w:unhideWhenUsed="0" w:uiPriority="0" w:semiHidden="0" w:name="HTML Sample" w:locked="1"/>
    <w:lsdException w:unhideWhenUsed="0" w:uiPriority="0" w:semiHidden="0" w:name="HTML Typewriter" w:locked="1"/>
    <w:lsdException w:unhideWhenUsed="0" w:uiPriority="0" w:semiHidden="0" w:name="HTML Variable" w:locked="1"/>
    <w:lsdException w:qFormat="1" w:uiPriority="99" w:name="Normal Table"/>
    <w:lsdException w:qFormat="1" w:unhideWhenUsed="0" w:uiPriority="0" w:name="annotation subject"/>
    <w:lsdException w:uiPriority="0" w:name="Table Simple 1" w:locked="1"/>
    <w:lsdException w:uiPriority="0" w:name="Table Simple 2" w:locked="1"/>
    <w:lsdException w:uiPriority="0" w:name="Table Simple 3" w:locked="1"/>
    <w:lsdException w:uiPriority="0" w:name="Table Classic 1" w:locked="1"/>
    <w:lsdException w:uiPriority="0" w:name="Table Classic 2" w:locked="1"/>
    <w:lsdException w:uiPriority="0" w:name="Table Classic 3" w:locked="1"/>
    <w:lsdException w:uiPriority="0" w:name="Table Classic 4" w:locked="1"/>
    <w:lsdException w:uiPriority="0" w:name="Table Colorful 1" w:locked="1"/>
    <w:lsdException w:uiPriority="0" w:name="Table Colorful 2" w:locked="1"/>
    <w:lsdException w:uiPriority="0" w:name="Table Colorful 3" w:locked="1"/>
    <w:lsdException w:uiPriority="0" w:name="Table Columns 1" w:locked="1"/>
    <w:lsdException w:uiPriority="0" w:name="Table Columns 2" w:locked="1"/>
    <w:lsdException w:uiPriority="0" w:name="Table Columns 3" w:locked="1"/>
    <w:lsdException w:uiPriority="0" w:name="Table Columns 4" w:locked="1"/>
    <w:lsdException w:uiPriority="0" w:name="Table Columns 5" w:locked="1"/>
    <w:lsdException w:uiPriority="0" w:name="Table Grid 1" w:locked="1"/>
    <w:lsdException w:uiPriority="0" w:name="Table Grid 2" w:locked="1"/>
    <w:lsdException w:uiPriority="0" w:name="Table Grid 3" w:locked="1"/>
    <w:lsdException w:uiPriority="0" w:name="Table Grid 4" w:locked="1"/>
    <w:lsdException w:uiPriority="0" w:name="Table Grid 5" w:locked="1"/>
    <w:lsdException w:uiPriority="0" w:name="Table Grid 6" w:locked="1"/>
    <w:lsdException w:uiPriority="0" w:name="Table Grid 7" w:locked="1"/>
    <w:lsdException w:uiPriority="0" w:name="Table Grid 8" w:locked="1"/>
    <w:lsdException w:uiPriority="0" w:name="Table List 1" w:locked="1"/>
    <w:lsdException w:uiPriority="0" w:name="Table List 2" w:locked="1"/>
    <w:lsdException w:uiPriority="0" w:name="Table List 3" w:locked="1"/>
    <w:lsdException w:uiPriority="0" w:name="Table List 4" w:locked="1"/>
    <w:lsdException w:uiPriority="0" w:name="Table List 5" w:locked="1"/>
    <w:lsdException w:uiPriority="0" w:name="Table List 6" w:locked="1"/>
    <w:lsdException w:uiPriority="0" w:name="Table List 7" w:locked="1"/>
    <w:lsdException w:uiPriority="0" w:name="Table List 8" w:locked="1"/>
    <w:lsdException w:uiPriority="0" w:name="Table 3D effects 1" w:locked="1"/>
    <w:lsdException w:uiPriority="0" w:name="Table 3D effects 2" w:locked="1"/>
    <w:lsdException w:uiPriority="0" w:name="Table 3D effects 3" w:locked="1"/>
    <w:lsdException w:uiPriority="0" w:name="Table Contemporary" w:locked="1"/>
    <w:lsdException w:uiPriority="0" w:name="Table Elegant" w:locked="1"/>
    <w:lsdException w:uiPriority="0" w:name="Table Professional" w:locked="1"/>
    <w:lsdException w:uiPriority="0" w:name="Table Subtle 1" w:locked="1"/>
    <w:lsdException w:uiPriority="0" w:name="Table Subtle 2" w:locked="1"/>
    <w:lsdException w:uiPriority="0" w:name="Table Web 1" w:locked="1"/>
    <w:lsdException w:uiPriority="0" w:name="Table Web 2" w:locked="1"/>
    <w:lsdException w:uiPriority="0" w:name="Table Web 3" w:locked="1"/>
    <w:lsdException w:qFormat="1" w:unhideWhenUsed="0" w:uiPriority="0" w:semiHidden="0" w:name="Balloon Text"/>
    <w:lsdException w:qFormat="1" w:unhideWhenUsed="0" w:uiPriority="0" w:semiHidden="0" w:name="Table Grid"/>
    <w:lsdException w:uiPriority="0"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5">
    <w:name w:val="heading 1"/>
    <w:basedOn w:val="1"/>
    <w:next w:val="1"/>
    <w:link w:val="49"/>
    <w:autoRedefine/>
    <w:qFormat/>
    <w:locked/>
    <w:uiPriority w:val="0"/>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6">
    <w:name w:val="heading 2"/>
    <w:basedOn w:val="1"/>
    <w:next w:val="1"/>
    <w:link w:val="50"/>
    <w:autoRedefine/>
    <w:qFormat/>
    <w:locked/>
    <w:uiPriority w:val="0"/>
    <w:pPr>
      <w:keepNext/>
      <w:keepLines/>
      <w:spacing w:before="260" w:after="260" w:line="416" w:lineRule="auto"/>
      <w:outlineLvl w:val="1"/>
    </w:pPr>
    <w:rPr>
      <w:rFonts w:ascii="Arial" w:hAnsi="Arial" w:eastAsia="黑体"/>
      <w:b/>
      <w:bCs/>
      <w:sz w:val="32"/>
      <w:szCs w:val="32"/>
    </w:rPr>
  </w:style>
  <w:style w:type="paragraph" w:styleId="7">
    <w:name w:val="heading 3"/>
    <w:basedOn w:val="1"/>
    <w:next w:val="1"/>
    <w:link w:val="48"/>
    <w:autoRedefine/>
    <w:qFormat/>
    <w:locked/>
    <w:uiPriority w:val="0"/>
    <w:pPr>
      <w:keepNext/>
      <w:keepLines/>
      <w:spacing w:before="260" w:after="260" w:line="416" w:lineRule="auto"/>
      <w:outlineLvl w:val="2"/>
    </w:pPr>
    <w:rPr>
      <w:b/>
      <w:bCs/>
      <w:sz w:val="32"/>
      <w:szCs w:val="32"/>
    </w:rPr>
  </w:style>
  <w:style w:type="paragraph" w:styleId="8">
    <w:name w:val="heading 4"/>
    <w:basedOn w:val="1"/>
    <w:next w:val="1"/>
    <w:link w:val="51"/>
    <w:autoRedefine/>
    <w:qFormat/>
    <w:locked/>
    <w:uiPriority w:val="0"/>
    <w:pPr>
      <w:jc w:val="left"/>
      <w:outlineLvl w:val="3"/>
    </w:pPr>
    <w:rPr>
      <w:rFonts w:hint="eastAsia" w:ascii="宋体" w:hAnsi="宋体"/>
      <w:kern w:val="0"/>
      <w:sz w:val="18"/>
      <w:szCs w:val="18"/>
    </w:rPr>
  </w:style>
  <w:style w:type="character" w:default="1" w:styleId="37">
    <w:name w:val="Default Paragraph Font"/>
    <w:semiHidden/>
    <w:unhideWhenUsed/>
    <w:qFormat/>
    <w:uiPriority w:val="1"/>
  </w:style>
  <w:style w:type="table" w:default="1" w:styleId="35">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3"/>
    <w:link w:val="55"/>
    <w:autoRedefine/>
    <w:qFormat/>
    <w:uiPriority w:val="99"/>
    <w:pPr>
      <w:widowControl/>
      <w:snapToGrid w:val="0"/>
      <w:spacing w:before="60" w:after="160" w:line="259" w:lineRule="auto"/>
      <w:ind w:right="113"/>
    </w:pPr>
    <w:rPr>
      <w:kern w:val="0"/>
      <w:sz w:val="18"/>
      <w:szCs w:val="20"/>
    </w:rPr>
  </w:style>
  <w:style w:type="paragraph" w:customStyle="1" w:styleId="3">
    <w:name w:val="Normal (Web)1"/>
    <w:basedOn w:val="1"/>
    <w:next w:val="4"/>
    <w:autoRedefine/>
    <w:qFormat/>
    <w:uiPriority w:val="0"/>
    <w:pPr>
      <w:widowControl/>
    </w:pPr>
    <w:rPr>
      <w:rFonts w:ascii="宋体"/>
      <w:sz w:val="24"/>
      <w:szCs w:val="21"/>
    </w:rPr>
  </w:style>
  <w:style w:type="paragraph" w:customStyle="1" w:styleId="4">
    <w:name w:val="Date1"/>
    <w:basedOn w:val="1"/>
    <w:next w:val="1"/>
    <w:autoRedefine/>
    <w:qFormat/>
    <w:uiPriority w:val="0"/>
    <w:pPr>
      <w:ind w:left="2500" w:leftChars="2500"/>
    </w:pPr>
  </w:style>
  <w:style w:type="paragraph" w:styleId="9">
    <w:name w:val="List 3"/>
    <w:basedOn w:val="1"/>
    <w:autoRedefine/>
    <w:qFormat/>
    <w:locked/>
    <w:uiPriority w:val="0"/>
    <w:pPr>
      <w:ind w:left="100" w:leftChars="400" w:hanging="200" w:hangingChars="200"/>
    </w:pPr>
  </w:style>
  <w:style w:type="paragraph" w:styleId="10">
    <w:name w:val="toc 7"/>
    <w:basedOn w:val="1"/>
    <w:next w:val="1"/>
    <w:qFormat/>
    <w:locked/>
    <w:uiPriority w:val="0"/>
    <w:pPr>
      <w:spacing w:beforeLines="50" w:line="360" w:lineRule="auto"/>
      <w:jc w:val="center"/>
    </w:pPr>
    <w:rPr>
      <w:b/>
      <w:bCs/>
      <w:szCs w:val="18"/>
    </w:rPr>
  </w:style>
  <w:style w:type="paragraph" w:styleId="11">
    <w:name w:val="table of authorities"/>
    <w:basedOn w:val="1"/>
    <w:next w:val="1"/>
    <w:autoRedefine/>
    <w:qFormat/>
    <w:locked/>
    <w:uiPriority w:val="99"/>
    <w:pPr>
      <w:ind w:left="420" w:leftChars="200"/>
    </w:pPr>
    <w:rPr>
      <w:rFonts w:ascii="Calibri" w:hAnsi="Calibri"/>
    </w:rPr>
  </w:style>
  <w:style w:type="paragraph" w:styleId="12">
    <w:name w:val="Normal Indent"/>
    <w:basedOn w:val="1"/>
    <w:link w:val="52"/>
    <w:autoRedefine/>
    <w:qFormat/>
    <w:locked/>
    <w:uiPriority w:val="0"/>
    <w:pPr>
      <w:adjustRightInd w:val="0"/>
      <w:ind w:firstLine="420"/>
      <w:jc w:val="left"/>
    </w:pPr>
    <w:rPr>
      <w:bCs/>
      <w:sz w:val="24"/>
      <w:szCs w:val="20"/>
    </w:rPr>
  </w:style>
  <w:style w:type="paragraph" w:styleId="13">
    <w:name w:val="caption"/>
    <w:basedOn w:val="1"/>
    <w:next w:val="1"/>
    <w:autoRedefine/>
    <w:qFormat/>
    <w:locked/>
    <w:uiPriority w:val="35"/>
    <w:rPr>
      <w:rFonts w:ascii="等线 Light" w:hAnsi="等线 Light" w:eastAsia="黑体"/>
      <w:sz w:val="20"/>
      <w:szCs w:val="20"/>
    </w:rPr>
  </w:style>
  <w:style w:type="paragraph" w:styleId="14">
    <w:name w:val="Document Map"/>
    <w:basedOn w:val="1"/>
    <w:link w:val="53"/>
    <w:autoRedefine/>
    <w:unhideWhenUsed/>
    <w:qFormat/>
    <w:locked/>
    <w:uiPriority w:val="0"/>
    <w:rPr>
      <w:rFonts w:ascii="宋体"/>
      <w:sz w:val="18"/>
      <w:szCs w:val="18"/>
    </w:rPr>
  </w:style>
  <w:style w:type="paragraph" w:styleId="15">
    <w:name w:val="annotation text"/>
    <w:basedOn w:val="1"/>
    <w:link w:val="54"/>
    <w:autoRedefine/>
    <w:semiHidden/>
    <w:qFormat/>
    <w:uiPriority w:val="0"/>
    <w:pPr>
      <w:jc w:val="left"/>
    </w:pPr>
    <w:rPr>
      <w:kern w:val="0"/>
      <w:sz w:val="24"/>
      <w:szCs w:val="20"/>
    </w:rPr>
  </w:style>
  <w:style w:type="paragraph" w:styleId="16">
    <w:name w:val="Body Text Indent"/>
    <w:basedOn w:val="1"/>
    <w:link w:val="56"/>
    <w:autoRedefine/>
    <w:qFormat/>
    <w:uiPriority w:val="0"/>
    <w:pPr>
      <w:spacing w:after="120"/>
      <w:ind w:left="420" w:leftChars="200"/>
    </w:pPr>
    <w:rPr>
      <w:kern w:val="0"/>
      <w:sz w:val="24"/>
      <w:szCs w:val="20"/>
    </w:rPr>
  </w:style>
  <w:style w:type="paragraph" w:styleId="17">
    <w:name w:val="Block Text"/>
    <w:basedOn w:val="1"/>
    <w:autoRedefine/>
    <w:qFormat/>
    <w:locked/>
    <w:uiPriority w:val="0"/>
    <w:pPr>
      <w:spacing w:line="240" w:lineRule="exact"/>
      <w:ind w:left="46" w:leftChars="22" w:right="113"/>
    </w:pPr>
    <w:rPr>
      <w:rFonts w:ascii="宋体"/>
      <w:bCs/>
      <w:spacing w:val="-10"/>
      <w:sz w:val="18"/>
      <w:szCs w:val="18"/>
    </w:rPr>
  </w:style>
  <w:style w:type="paragraph" w:styleId="18">
    <w:name w:val="Plain Text"/>
    <w:basedOn w:val="1"/>
    <w:link w:val="57"/>
    <w:autoRedefine/>
    <w:qFormat/>
    <w:locked/>
    <w:uiPriority w:val="0"/>
    <w:rPr>
      <w:rFonts w:ascii="宋体" w:hAnsi="Courier New"/>
      <w:szCs w:val="20"/>
    </w:rPr>
  </w:style>
  <w:style w:type="paragraph" w:styleId="19">
    <w:name w:val="Date"/>
    <w:basedOn w:val="1"/>
    <w:next w:val="1"/>
    <w:link w:val="58"/>
    <w:autoRedefine/>
    <w:qFormat/>
    <w:uiPriority w:val="0"/>
    <w:pPr>
      <w:ind w:left="100" w:leftChars="2500"/>
    </w:pPr>
    <w:rPr>
      <w:kern w:val="0"/>
      <w:sz w:val="24"/>
      <w:szCs w:val="20"/>
    </w:rPr>
  </w:style>
  <w:style w:type="paragraph" w:styleId="20">
    <w:name w:val="Body Text Indent 2"/>
    <w:basedOn w:val="1"/>
    <w:link w:val="59"/>
    <w:autoRedefine/>
    <w:unhideWhenUsed/>
    <w:qFormat/>
    <w:locked/>
    <w:uiPriority w:val="99"/>
    <w:pPr>
      <w:spacing w:after="120" w:line="480" w:lineRule="auto"/>
      <w:ind w:left="420" w:leftChars="200"/>
    </w:pPr>
  </w:style>
  <w:style w:type="paragraph" w:styleId="21">
    <w:name w:val="Balloon Text"/>
    <w:basedOn w:val="1"/>
    <w:link w:val="60"/>
    <w:autoRedefine/>
    <w:qFormat/>
    <w:uiPriority w:val="0"/>
    <w:rPr>
      <w:kern w:val="0"/>
      <w:sz w:val="18"/>
      <w:szCs w:val="20"/>
    </w:rPr>
  </w:style>
  <w:style w:type="paragraph" w:styleId="22">
    <w:name w:val="footer"/>
    <w:basedOn w:val="1"/>
    <w:link w:val="61"/>
    <w:autoRedefine/>
    <w:qFormat/>
    <w:uiPriority w:val="99"/>
    <w:pPr>
      <w:tabs>
        <w:tab w:val="center" w:pos="4153"/>
        <w:tab w:val="right" w:pos="8306"/>
      </w:tabs>
      <w:snapToGrid w:val="0"/>
      <w:jc w:val="left"/>
    </w:pPr>
    <w:rPr>
      <w:kern w:val="0"/>
      <w:sz w:val="18"/>
      <w:szCs w:val="20"/>
    </w:rPr>
  </w:style>
  <w:style w:type="paragraph" w:styleId="23">
    <w:name w:val="header"/>
    <w:basedOn w:val="1"/>
    <w:link w:val="62"/>
    <w:autoRedefine/>
    <w:qFormat/>
    <w:uiPriority w:val="0"/>
    <w:pPr>
      <w:pBdr>
        <w:bottom w:val="single" w:color="auto" w:sz="6" w:space="1"/>
      </w:pBdr>
      <w:tabs>
        <w:tab w:val="center" w:pos="4153"/>
        <w:tab w:val="right" w:pos="8306"/>
      </w:tabs>
      <w:snapToGrid w:val="0"/>
      <w:jc w:val="center"/>
    </w:pPr>
    <w:rPr>
      <w:kern w:val="0"/>
      <w:sz w:val="18"/>
      <w:szCs w:val="20"/>
    </w:rPr>
  </w:style>
  <w:style w:type="paragraph" w:styleId="24">
    <w:name w:val="toc 1"/>
    <w:basedOn w:val="1"/>
    <w:next w:val="1"/>
    <w:autoRedefine/>
    <w:qFormat/>
    <w:locked/>
    <w:uiPriority w:val="39"/>
  </w:style>
  <w:style w:type="paragraph" w:styleId="25">
    <w:name w:val="footnote text"/>
    <w:basedOn w:val="1"/>
    <w:link w:val="63"/>
    <w:autoRedefine/>
    <w:unhideWhenUsed/>
    <w:qFormat/>
    <w:locked/>
    <w:uiPriority w:val="99"/>
    <w:pPr>
      <w:snapToGrid w:val="0"/>
      <w:jc w:val="left"/>
    </w:pPr>
    <w:rPr>
      <w:sz w:val="18"/>
      <w:szCs w:val="18"/>
    </w:rPr>
  </w:style>
  <w:style w:type="paragraph" w:styleId="26">
    <w:name w:val="Body Text Indent 3"/>
    <w:basedOn w:val="1"/>
    <w:link w:val="64"/>
    <w:autoRedefine/>
    <w:unhideWhenUsed/>
    <w:qFormat/>
    <w:locked/>
    <w:uiPriority w:val="0"/>
    <w:pPr>
      <w:spacing w:after="120"/>
      <w:ind w:left="420" w:leftChars="200"/>
    </w:pPr>
    <w:rPr>
      <w:sz w:val="16"/>
      <w:szCs w:val="16"/>
    </w:rPr>
  </w:style>
  <w:style w:type="paragraph" w:styleId="27">
    <w:name w:val="toc 2"/>
    <w:basedOn w:val="1"/>
    <w:next w:val="1"/>
    <w:autoRedefine/>
    <w:unhideWhenUsed/>
    <w:qFormat/>
    <w:locked/>
    <w:uiPriority w:val="39"/>
    <w:pPr>
      <w:ind w:left="420" w:leftChars="200"/>
    </w:pPr>
  </w:style>
  <w:style w:type="paragraph" w:styleId="28">
    <w:name w:val="Body Text 2"/>
    <w:basedOn w:val="1"/>
    <w:link w:val="65"/>
    <w:autoRedefine/>
    <w:qFormat/>
    <w:locked/>
    <w:uiPriority w:val="0"/>
    <w:pPr>
      <w:spacing w:after="120" w:line="480" w:lineRule="auto"/>
    </w:pPr>
  </w:style>
  <w:style w:type="paragraph" w:styleId="29">
    <w:name w:val="Normal (Web)"/>
    <w:basedOn w:val="1"/>
    <w:link w:val="66"/>
    <w:autoRedefine/>
    <w:qFormat/>
    <w:uiPriority w:val="0"/>
    <w:pPr>
      <w:widowControl/>
      <w:spacing w:before="100" w:beforeAutospacing="1" w:after="100" w:afterAutospacing="1"/>
      <w:jc w:val="left"/>
    </w:pPr>
    <w:rPr>
      <w:rFonts w:ascii="宋体" w:hAnsi="宋体"/>
      <w:kern w:val="0"/>
      <w:sz w:val="24"/>
      <w:szCs w:val="20"/>
    </w:rPr>
  </w:style>
  <w:style w:type="paragraph" w:styleId="30">
    <w:name w:val="index 1"/>
    <w:basedOn w:val="1"/>
    <w:next w:val="1"/>
    <w:autoRedefine/>
    <w:qFormat/>
    <w:locked/>
    <w:uiPriority w:val="0"/>
    <w:pPr>
      <w:spacing w:line="280" w:lineRule="exact"/>
    </w:pPr>
    <w:rPr>
      <w:rFonts w:ascii="仿宋_GB2312" w:hAnsi="宋体" w:eastAsia="仿宋_GB2312"/>
      <w:szCs w:val="21"/>
    </w:rPr>
  </w:style>
  <w:style w:type="paragraph" w:styleId="31">
    <w:name w:val="Title"/>
    <w:basedOn w:val="1"/>
    <w:next w:val="1"/>
    <w:link w:val="67"/>
    <w:autoRedefine/>
    <w:qFormat/>
    <w:locked/>
    <w:uiPriority w:val="99"/>
    <w:pPr>
      <w:spacing w:before="240" w:after="60"/>
      <w:jc w:val="center"/>
      <w:outlineLvl w:val="0"/>
    </w:pPr>
    <w:rPr>
      <w:rFonts w:ascii="Cambria" w:hAnsi="Cambria"/>
      <w:b/>
      <w:bCs/>
      <w:sz w:val="32"/>
      <w:szCs w:val="32"/>
    </w:rPr>
  </w:style>
  <w:style w:type="paragraph" w:styleId="32">
    <w:name w:val="annotation subject"/>
    <w:basedOn w:val="15"/>
    <w:next w:val="15"/>
    <w:link w:val="68"/>
    <w:autoRedefine/>
    <w:semiHidden/>
    <w:qFormat/>
    <w:uiPriority w:val="0"/>
    <w:rPr>
      <w:b/>
    </w:rPr>
  </w:style>
  <w:style w:type="paragraph" w:styleId="33">
    <w:name w:val="Body Text First Indent"/>
    <w:basedOn w:val="2"/>
    <w:link w:val="69"/>
    <w:autoRedefine/>
    <w:qFormat/>
    <w:locked/>
    <w:uiPriority w:val="0"/>
    <w:pPr>
      <w:widowControl w:val="0"/>
      <w:snapToGrid/>
      <w:spacing w:before="0" w:after="120" w:line="240" w:lineRule="auto"/>
      <w:ind w:right="0" w:firstLine="420" w:firstLineChars="100"/>
    </w:pPr>
    <w:rPr>
      <w:kern w:val="2"/>
      <w:sz w:val="21"/>
      <w:szCs w:val="24"/>
    </w:rPr>
  </w:style>
  <w:style w:type="paragraph" w:styleId="34">
    <w:name w:val="Body Text First Indent 2"/>
    <w:basedOn w:val="16"/>
    <w:next w:val="1"/>
    <w:link w:val="70"/>
    <w:autoRedefine/>
    <w:unhideWhenUsed/>
    <w:qFormat/>
    <w:locked/>
    <w:uiPriority w:val="0"/>
    <w:pPr>
      <w:ind w:firstLine="420"/>
    </w:pPr>
    <w:rPr>
      <w:rFonts w:eastAsia="仿宋_GB2312"/>
      <w:sz w:val="28"/>
    </w:rPr>
  </w:style>
  <w:style w:type="table" w:styleId="36">
    <w:name w:val="Table Grid"/>
    <w:basedOn w:val="35"/>
    <w:autoRedefine/>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8">
    <w:name w:val="page number"/>
    <w:basedOn w:val="37"/>
    <w:autoRedefine/>
    <w:qFormat/>
    <w:locked/>
    <w:uiPriority w:val="0"/>
  </w:style>
  <w:style w:type="character" w:styleId="39">
    <w:name w:val="FollowedHyperlink"/>
    <w:autoRedefine/>
    <w:unhideWhenUsed/>
    <w:qFormat/>
    <w:locked/>
    <w:uiPriority w:val="99"/>
    <w:rPr>
      <w:color w:val="000000"/>
      <w:u w:val="none"/>
    </w:rPr>
  </w:style>
  <w:style w:type="character" w:styleId="40">
    <w:name w:val="Hyperlink"/>
    <w:autoRedefine/>
    <w:qFormat/>
    <w:locked/>
    <w:uiPriority w:val="99"/>
    <w:rPr>
      <w:rFonts w:cs="Times New Roman"/>
      <w:color w:val="0000FF"/>
      <w:u w:val="single"/>
    </w:rPr>
  </w:style>
  <w:style w:type="character" w:styleId="41">
    <w:name w:val="annotation reference"/>
    <w:autoRedefine/>
    <w:qFormat/>
    <w:uiPriority w:val="0"/>
    <w:rPr>
      <w:sz w:val="21"/>
    </w:rPr>
  </w:style>
  <w:style w:type="character" w:styleId="42">
    <w:name w:val="footnote reference"/>
    <w:autoRedefine/>
    <w:unhideWhenUsed/>
    <w:qFormat/>
    <w:locked/>
    <w:uiPriority w:val="99"/>
    <w:rPr>
      <w:vertAlign w:val="superscript"/>
    </w:rPr>
  </w:style>
  <w:style w:type="paragraph" w:customStyle="1" w:styleId="43">
    <w:name w:val="Default"/>
    <w:basedOn w:val="44"/>
    <w:next w:val="45"/>
    <w:autoRedefine/>
    <w:qFormat/>
    <w:uiPriority w:val="0"/>
    <w:pPr>
      <w:autoSpaceDE w:val="0"/>
      <w:autoSpaceDN w:val="0"/>
    </w:pPr>
    <w:rPr>
      <w:rFonts w:ascii="Calibri" w:hAnsi="Calibri" w:cs="Calibri"/>
      <w:color w:val="000000"/>
      <w:sz w:val="24"/>
      <w:szCs w:val="24"/>
    </w:rPr>
  </w:style>
  <w:style w:type="paragraph" w:customStyle="1" w:styleId="44">
    <w:name w:val="纯文本1"/>
    <w:basedOn w:val="1"/>
    <w:autoRedefine/>
    <w:qFormat/>
    <w:uiPriority w:val="0"/>
    <w:pPr>
      <w:adjustRightInd w:val="0"/>
    </w:pPr>
    <w:rPr>
      <w:rFonts w:ascii="宋体" w:hAnsi="Courier New"/>
      <w:szCs w:val="20"/>
    </w:rPr>
  </w:style>
  <w:style w:type="paragraph" w:customStyle="1" w:styleId="45">
    <w:name w:val="正文文字 6"/>
    <w:next w:val="1"/>
    <w:autoRedefine/>
    <w:qFormat/>
    <w:uiPriority w:val="0"/>
    <w:pPr>
      <w:widowControl w:val="0"/>
      <w:ind w:left="240"/>
      <w:jc w:val="both"/>
    </w:pPr>
    <w:rPr>
      <w:rFonts w:ascii="宋体" w:hAnsi="Times New Roman" w:eastAsia="宋体" w:cs="Times New Roman"/>
      <w:b/>
      <w:bCs/>
      <w:kern w:val="2"/>
      <w:sz w:val="32"/>
      <w:szCs w:val="32"/>
      <w:lang w:val="en-US" w:eastAsia="zh-CN" w:bidi="ar-SA"/>
    </w:rPr>
  </w:style>
  <w:style w:type="paragraph" w:customStyle="1" w:styleId="46">
    <w:name w:val="Default1"/>
    <w:autoRedefine/>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47">
    <w:name w:val="0正文"/>
    <w:basedOn w:val="1"/>
    <w:autoRedefine/>
    <w:qFormat/>
    <w:uiPriority w:val="0"/>
    <w:pPr>
      <w:spacing w:line="360" w:lineRule="auto"/>
      <w:ind w:firstLine="480" w:firstLineChars="200"/>
    </w:pPr>
    <w:rPr>
      <w:rFonts w:ascii="Calibri" w:hAnsi="Calibri"/>
      <w:sz w:val="24"/>
      <w:szCs w:val="22"/>
    </w:rPr>
  </w:style>
  <w:style w:type="character" w:customStyle="1" w:styleId="48">
    <w:name w:val="标题 3 字符"/>
    <w:link w:val="7"/>
    <w:autoRedefine/>
    <w:qFormat/>
    <w:uiPriority w:val="0"/>
    <w:rPr>
      <w:b/>
      <w:bCs/>
      <w:kern w:val="2"/>
      <w:sz w:val="32"/>
      <w:szCs w:val="32"/>
    </w:rPr>
  </w:style>
  <w:style w:type="character" w:customStyle="1" w:styleId="49">
    <w:name w:val="标题 1 字符"/>
    <w:link w:val="5"/>
    <w:autoRedefine/>
    <w:qFormat/>
    <w:uiPriority w:val="0"/>
    <w:rPr>
      <w:rFonts w:eastAsia="黑体"/>
      <w:b/>
      <w:bCs/>
      <w:color w:val="000000"/>
      <w:kern w:val="44"/>
      <w:sz w:val="30"/>
      <w:szCs w:val="30"/>
    </w:rPr>
  </w:style>
  <w:style w:type="character" w:customStyle="1" w:styleId="50">
    <w:name w:val="标题 2 字符"/>
    <w:link w:val="6"/>
    <w:autoRedefine/>
    <w:qFormat/>
    <w:uiPriority w:val="0"/>
    <w:rPr>
      <w:rFonts w:ascii="Arial" w:hAnsi="Arial" w:eastAsia="黑体"/>
      <w:b/>
      <w:bCs/>
      <w:kern w:val="2"/>
      <w:sz w:val="32"/>
      <w:szCs w:val="32"/>
    </w:rPr>
  </w:style>
  <w:style w:type="character" w:customStyle="1" w:styleId="51">
    <w:name w:val="标题 4 字符"/>
    <w:link w:val="8"/>
    <w:autoRedefine/>
    <w:semiHidden/>
    <w:qFormat/>
    <w:uiPriority w:val="0"/>
    <w:rPr>
      <w:rFonts w:ascii="宋体" w:hAnsi="宋体"/>
      <w:sz w:val="18"/>
      <w:szCs w:val="18"/>
    </w:rPr>
  </w:style>
  <w:style w:type="character" w:customStyle="1" w:styleId="52">
    <w:name w:val="正文缩进 字符1"/>
    <w:link w:val="12"/>
    <w:autoRedefine/>
    <w:qFormat/>
    <w:uiPriority w:val="0"/>
    <w:rPr>
      <w:bCs/>
      <w:kern w:val="2"/>
      <w:sz w:val="24"/>
    </w:rPr>
  </w:style>
  <w:style w:type="character" w:customStyle="1" w:styleId="53">
    <w:name w:val="文档结构图 字符"/>
    <w:link w:val="14"/>
    <w:autoRedefine/>
    <w:qFormat/>
    <w:uiPriority w:val="0"/>
    <w:rPr>
      <w:rFonts w:ascii="宋体"/>
      <w:kern w:val="2"/>
      <w:sz w:val="18"/>
      <w:szCs w:val="18"/>
    </w:rPr>
  </w:style>
  <w:style w:type="character" w:customStyle="1" w:styleId="54">
    <w:name w:val="批注文字 字符"/>
    <w:link w:val="15"/>
    <w:autoRedefine/>
    <w:qFormat/>
    <w:locked/>
    <w:uiPriority w:val="0"/>
    <w:rPr>
      <w:rFonts w:ascii="Times New Roman" w:hAnsi="Times New Roman" w:eastAsia="宋体"/>
      <w:sz w:val="24"/>
    </w:rPr>
  </w:style>
  <w:style w:type="character" w:customStyle="1" w:styleId="55">
    <w:name w:val="正文文本 字符"/>
    <w:link w:val="2"/>
    <w:autoRedefine/>
    <w:qFormat/>
    <w:locked/>
    <w:uiPriority w:val="99"/>
    <w:rPr>
      <w:sz w:val="18"/>
    </w:rPr>
  </w:style>
  <w:style w:type="character" w:customStyle="1" w:styleId="56">
    <w:name w:val="正文文本缩进 字符"/>
    <w:link w:val="16"/>
    <w:autoRedefine/>
    <w:qFormat/>
    <w:locked/>
    <w:uiPriority w:val="0"/>
    <w:rPr>
      <w:rFonts w:ascii="Times New Roman" w:hAnsi="Times New Roman" w:eastAsia="宋体"/>
      <w:sz w:val="24"/>
    </w:rPr>
  </w:style>
  <w:style w:type="character" w:customStyle="1" w:styleId="57">
    <w:name w:val="纯文本 字符"/>
    <w:link w:val="18"/>
    <w:autoRedefine/>
    <w:qFormat/>
    <w:uiPriority w:val="0"/>
    <w:rPr>
      <w:rFonts w:ascii="宋体" w:hAnsi="Courier New"/>
      <w:kern w:val="2"/>
      <w:sz w:val="21"/>
    </w:rPr>
  </w:style>
  <w:style w:type="character" w:customStyle="1" w:styleId="58">
    <w:name w:val="日期 字符1"/>
    <w:link w:val="19"/>
    <w:autoRedefine/>
    <w:qFormat/>
    <w:locked/>
    <w:uiPriority w:val="0"/>
    <w:rPr>
      <w:rFonts w:ascii="Times New Roman" w:hAnsi="Times New Roman" w:eastAsia="宋体"/>
      <w:sz w:val="24"/>
    </w:rPr>
  </w:style>
  <w:style w:type="character" w:customStyle="1" w:styleId="59">
    <w:name w:val="正文文本缩进 2 字符"/>
    <w:link w:val="20"/>
    <w:autoRedefine/>
    <w:qFormat/>
    <w:uiPriority w:val="99"/>
    <w:rPr>
      <w:kern w:val="2"/>
      <w:sz w:val="21"/>
      <w:szCs w:val="24"/>
    </w:rPr>
  </w:style>
  <w:style w:type="character" w:customStyle="1" w:styleId="60">
    <w:name w:val="批注框文本 字符"/>
    <w:link w:val="21"/>
    <w:autoRedefine/>
    <w:qFormat/>
    <w:locked/>
    <w:uiPriority w:val="0"/>
    <w:rPr>
      <w:rFonts w:ascii="Times New Roman" w:hAnsi="Times New Roman" w:eastAsia="宋体"/>
      <w:sz w:val="18"/>
    </w:rPr>
  </w:style>
  <w:style w:type="character" w:customStyle="1" w:styleId="61">
    <w:name w:val="页脚 字符1"/>
    <w:link w:val="22"/>
    <w:autoRedefine/>
    <w:qFormat/>
    <w:locked/>
    <w:uiPriority w:val="99"/>
    <w:rPr>
      <w:sz w:val="18"/>
    </w:rPr>
  </w:style>
  <w:style w:type="character" w:customStyle="1" w:styleId="62">
    <w:name w:val="页眉 字符"/>
    <w:link w:val="23"/>
    <w:autoRedefine/>
    <w:qFormat/>
    <w:locked/>
    <w:uiPriority w:val="0"/>
    <w:rPr>
      <w:sz w:val="18"/>
    </w:rPr>
  </w:style>
  <w:style w:type="character" w:customStyle="1" w:styleId="63">
    <w:name w:val="脚注文本 字符"/>
    <w:link w:val="25"/>
    <w:autoRedefine/>
    <w:qFormat/>
    <w:uiPriority w:val="99"/>
    <w:rPr>
      <w:kern w:val="2"/>
      <w:sz w:val="18"/>
      <w:szCs w:val="18"/>
    </w:rPr>
  </w:style>
  <w:style w:type="character" w:customStyle="1" w:styleId="64">
    <w:name w:val="正文文本缩进 3 字符"/>
    <w:link w:val="26"/>
    <w:autoRedefine/>
    <w:qFormat/>
    <w:uiPriority w:val="0"/>
    <w:rPr>
      <w:kern w:val="2"/>
      <w:sz w:val="16"/>
      <w:szCs w:val="16"/>
    </w:rPr>
  </w:style>
  <w:style w:type="character" w:customStyle="1" w:styleId="65">
    <w:name w:val="正文文本 2 字符"/>
    <w:link w:val="28"/>
    <w:autoRedefine/>
    <w:qFormat/>
    <w:uiPriority w:val="0"/>
    <w:rPr>
      <w:kern w:val="2"/>
      <w:sz w:val="21"/>
      <w:szCs w:val="24"/>
    </w:rPr>
  </w:style>
  <w:style w:type="character" w:customStyle="1" w:styleId="66">
    <w:name w:val="普通(网站) 字符"/>
    <w:link w:val="29"/>
    <w:autoRedefine/>
    <w:qFormat/>
    <w:locked/>
    <w:uiPriority w:val="0"/>
    <w:rPr>
      <w:rFonts w:ascii="宋体" w:hAnsi="宋体" w:eastAsia="宋体"/>
      <w:sz w:val="24"/>
    </w:rPr>
  </w:style>
  <w:style w:type="character" w:customStyle="1" w:styleId="67">
    <w:name w:val="标题 字符"/>
    <w:link w:val="31"/>
    <w:autoRedefine/>
    <w:qFormat/>
    <w:uiPriority w:val="99"/>
    <w:rPr>
      <w:rFonts w:ascii="Cambria" w:hAnsi="Cambria"/>
      <w:b/>
      <w:bCs/>
      <w:kern w:val="2"/>
      <w:sz w:val="32"/>
      <w:szCs w:val="32"/>
    </w:rPr>
  </w:style>
  <w:style w:type="character" w:customStyle="1" w:styleId="68">
    <w:name w:val="批注主题 字符"/>
    <w:link w:val="32"/>
    <w:autoRedefine/>
    <w:semiHidden/>
    <w:qFormat/>
    <w:locked/>
    <w:uiPriority w:val="0"/>
    <w:rPr>
      <w:rFonts w:ascii="Times New Roman" w:hAnsi="Times New Roman" w:eastAsia="宋体"/>
      <w:b/>
      <w:kern w:val="2"/>
      <w:sz w:val="24"/>
    </w:rPr>
  </w:style>
  <w:style w:type="character" w:customStyle="1" w:styleId="69">
    <w:name w:val="正文首行缩进 字符"/>
    <w:link w:val="33"/>
    <w:autoRedefine/>
    <w:qFormat/>
    <w:uiPriority w:val="0"/>
    <w:rPr>
      <w:kern w:val="2"/>
      <w:sz w:val="21"/>
      <w:szCs w:val="24"/>
    </w:rPr>
  </w:style>
  <w:style w:type="character" w:customStyle="1" w:styleId="70">
    <w:name w:val="正文首行缩进 2 字符"/>
    <w:link w:val="34"/>
    <w:autoRedefine/>
    <w:qFormat/>
    <w:uiPriority w:val="0"/>
    <w:rPr>
      <w:rFonts w:ascii="Times New Roman" w:hAnsi="Times New Roman" w:eastAsia="仿宋_GB2312"/>
      <w:kern w:val="2"/>
      <w:sz w:val="28"/>
      <w:szCs w:val="24"/>
    </w:rPr>
  </w:style>
  <w:style w:type="character" w:customStyle="1" w:styleId="71">
    <w:name w:val="c-gray"/>
    <w:basedOn w:val="37"/>
    <w:autoRedefine/>
    <w:qFormat/>
    <w:uiPriority w:val="0"/>
  </w:style>
  <w:style w:type="character" w:customStyle="1" w:styleId="72">
    <w:name w:val="页脚 字符"/>
    <w:basedOn w:val="37"/>
    <w:autoRedefine/>
    <w:qFormat/>
    <w:uiPriority w:val="99"/>
  </w:style>
  <w:style w:type="character" w:customStyle="1" w:styleId="73">
    <w:name w:val="font21"/>
    <w:autoRedefine/>
    <w:qFormat/>
    <w:uiPriority w:val="99"/>
    <w:rPr>
      <w:rFonts w:ascii="宋体" w:hAnsi="宋体" w:eastAsia="宋体" w:cs="宋体"/>
      <w:color w:val="000000"/>
      <w:sz w:val="18"/>
      <w:szCs w:val="18"/>
      <w:u w:val="none"/>
    </w:rPr>
  </w:style>
  <w:style w:type="character" w:customStyle="1" w:styleId="74">
    <w:name w:val="批注文字 字符1"/>
    <w:autoRedefine/>
    <w:semiHidden/>
    <w:qFormat/>
    <w:uiPriority w:val="0"/>
    <w:rPr>
      <w:rFonts w:ascii="Times New Roman" w:hAnsi="Times New Roman" w:eastAsia="宋体"/>
      <w:sz w:val="24"/>
    </w:rPr>
  </w:style>
  <w:style w:type="character" w:customStyle="1" w:styleId="75">
    <w:name w:val="font01"/>
    <w:autoRedefine/>
    <w:qFormat/>
    <w:uiPriority w:val="99"/>
    <w:rPr>
      <w:rFonts w:ascii="宋体" w:hAnsi="宋体" w:eastAsia="宋体" w:cs="宋体"/>
      <w:color w:val="000000"/>
      <w:sz w:val="18"/>
      <w:szCs w:val="18"/>
      <w:u w:val="none"/>
    </w:rPr>
  </w:style>
  <w:style w:type="character" w:customStyle="1" w:styleId="76">
    <w:name w:val="日期 字符"/>
    <w:autoRedefine/>
    <w:semiHidden/>
    <w:qFormat/>
    <w:uiPriority w:val="0"/>
    <w:rPr>
      <w:rFonts w:ascii="Times New Roman" w:hAnsi="Times New Roman" w:eastAsia="宋体"/>
      <w:sz w:val="24"/>
    </w:rPr>
  </w:style>
  <w:style w:type="character" w:customStyle="1" w:styleId="77">
    <w:name w:val="article1"/>
    <w:autoRedefine/>
    <w:qFormat/>
    <w:uiPriority w:val="0"/>
    <w:rPr>
      <w:b/>
      <w:bCs/>
      <w:smallCaps/>
      <w:color w:val="FF0000"/>
      <w:sz w:val="48"/>
      <w:szCs w:val="48"/>
    </w:rPr>
  </w:style>
  <w:style w:type="character" w:customStyle="1" w:styleId="78">
    <w:name w:val="钢--正文 Char"/>
    <w:link w:val="79"/>
    <w:autoRedefine/>
    <w:qFormat/>
    <w:locked/>
    <w:uiPriority w:val="0"/>
    <w:rPr>
      <w:rFonts w:ascii="宋体" w:hAnsi="宋体"/>
      <w:kern w:val="2"/>
      <w:sz w:val="24"/>
      <w:szCs w:val="24"/>
    </w:rPr>
  </w:style>
  <w:style w:type="paragraph" w:customStyle="1" w:styleId="79">
    <w:name w:val="钢--正文"/>
    <w:basedOn w:val="1"/>
    <w:link w:val="78"/>
    <w:autoRedefine/>
    <w:qFormat/>
    <w:uiPriority w:val="0"/>
    <w:pPr>
      <w:spacing w:line="520" w:lineRule="exact"/>
      <w:ind w:firstLine="480" w:firstLineChars="200"/>
    </w:pPr>
    <w:rPr>
      <w:rFonts w:ascii="宋体" w:hAnsi="宋体"/>
      <w:sz w:val="24"/>
    </w:rPr>
  </w:style>
  <w:style w:type="character" w:customStyle="1" w:styleId="80">
    <w:name w:val="表表表 Char"/>
    <w:link w:val="81"/>
    <w:autoRedefine/>
    <w:qFormat/>
    <w:uiPriority w:val="0"/>
    <w:rPr>
      <w:szCs w:val="21"/>
    </w:rPr>
  </w:style>
  <w:style w:type="paragraph" w:customStyle="1" w:styleId="81">
    <w:name w:val="表表表"/>
    <w:basedOn w:val="1"/>
    <w:link w:val="80"/>
    <w:autoRedefine/>
    <w:qFormat/>
    <w:uiPriority w:val="0"/>
    <w:pPr>
      <w:tabs>
        <w:tab w:val="left" w:pos="3000"/>
      </w:tabs>
      <w:spacing w:line="360" w:lineRule="auto"/>
      <w:jc w:val="center"/>
    </w:pPr>
    <w:rPr>
      <w:kern w:val="0"/>
      <w:sz w:val="20"/>
      <w:szCs w:val="21"/>
    </w:rPr>
  </w:style>
  <w:style w:type="character" w:customStyle="1" w:styleId="82">
    <w:name w:val="ca-1"/>
    <w:basedOn w:val="37"/>
    <w:autoRedefine/>
    <w:qFormat/>
    <w:uiPriority w:val="0"/>
  </w:style>
  <w:style w:type="character" w:customStyle="1" w:styleId="83">
    <w:name w:val="占位符文本1"/>
    <w:autoRedefine/>
    <w:semiHidden/>
    <w:qFormat/>
    <w:uiPriority w:val="99"/>
    <w:rPr>
      <w:color w:val="808080"/>
    </w:rPr>
  </w:style>
  <w:style w:type="character" w:customStyle="1" w:styleId="84">
    <w:name w:val="中文报告书样式 Char1"/>
    <w:link w:val="85"/>
    <w:autoRedefine/>
    <w:qFormat/>
    <w:uiPriority w:val="0"/>
    <w:rPr>
      <w:kern w:val="24"/>
      <w:sz w:val="24"/>
      <w:szCs w:val="24"/>
    </w:rPr>
  </w:style>
  <w:style w:type="paragraph" w:customStyle="1" w:styleId="85">
    <w:name w:val="中文报告书样式"/>
    <w:basedOn w:val="1"/>
    <w:link w:val="84"/>
    <w:autoRedefine/>
    <w:qFormat/>
    <w:uiPriority w:val="0"/>
    <w:pPr>
      <w:adjustRightInd w:val="0"/>
      <w:spacing w:line="480" w:lineRule="atLeast"/>
      <w:ind w:firstLine="482"/>
      <w:textAlignment w:val="baseline"/>
    </w:pPr>
    <w:rPr>
      <w:kern w:val="24"/>
      <w:sz w:val="24"/>
    </w:rPr>
  </w:style>
  <w:style w:type="character" w:customStyle="1" w:styleId="86">
    <w:name w:val="样式 宋体"/>
    <w:autoRedefine/>
    <w:qFormat/>
    <w:uiPriority w:val="0"/>
    <w:rPr>
      <w:rFonts w:ascii="Times New Roman" w:hAnsi="Times New Roman" w:eastAsia="宋体"/>
      <w:sz w:val="24"/>
      <w:vertAlign w:val="baseline"/>
    </w:rPr>
  </w:style>
  <w:style w:type="character" w:customStyle="1" w:styleId="87">
    <w:name w:val="表格 Char"/>
    <w:link w:val="88"/>
    <w:autoRedefine/>
    <w:qFormat/>
    <w:locked/>
    <w:uiPriority w:val="0"/>
    <w:rPr>
      <w:rFonts w:ascii="宋体"/>
      <w:sz w:val="21"/>
    </w:rPr>
  </w:style>
  <w:style w:type="paragraph" w:customStyle="1" w:styleId="88">
    <w:name w:val="表格"/>
    <w:basedOn w:val="1"/>
    <w:next w:val="1"/>
    <w:link w:val="87"/>
    <w:autoRedefine/>
    <w:qFormat/>
    <w:uiPriority w:val="0"/>
    <w:pPr>
      <w:adjustRightInd w:val="0"/>
      <w:snapToGrid w:val="0"/>
      <w:spacing w:beforeLines="10" w:afterLines="10" w:line="259" w:lineRule="auto"/>
      <w:jc w:val="center"/>
    </w:pPr>
    <w:rPr>
      <w:rFonts w:ascii="宋体"/>
      <w:kern w:val="0"/>
      <w:szCs w:val="20"/>
    </w:rPr>
  </w:style>
  <w:style w:type="character" w:customStyle="1" w:styleId="89">
    <w:name w:val="未处理的提及"/>
    <w:autoRedefine/>
    <w:unhideWhenUsed/>
    <w:qFormat/>
    <w:uiPriority w:val="99"/>
    <w:rPr>
      <w:color w:val="605E5C"/>
      <w:shd w:val="clear" w:color="auto" w:fill="E1DFDD"/>
    </w:rPr>
  </w:style>
  <w:style w:type="character" w:customStyle="1" w:styleId="90">
    <w:name w:val="正文文本 (2)_"/>
    <w:link w:val="91"/>
    <w:autoRedefine/>
    <w:qFormat/>
    <w:uiPriority w:val="0"/>
    <w:rPr>
      <w:rFonts w:ascii="MingLiU" w:hAnsi="MingLiU" w:eastAsia="MingLiU" w:cs="MingLiU"/>
      <w:sz w:val="26"/>
      <w:szCs w:val="26"/>
      <w:shd w:val="clear" w:color="auto" w:fill="FFFFFF"/>
    </w:rPr>
  </w:style>
  <w:style w:type="paragraph" w:customStyle="1" w:styleId="91">
    <w:name w:val="正文文本 (2)5"/>
    <w:basedOn w:val="1"/>
    <w:link w:val="90"/>
    <w:autoRedefine/>
    <w:qFormat/>
    <w:uiPriority w:val="0"/>
    <w:pPr>
      <w:shd w:val="clear" w:color="auto" w:fill="FFFFFF"/>
      <w:spacing w:line="542" w:lineRule="exact"/>
    </w:pPr>
    <w:rPr>
      <w:rFonts w:ascii="MingLiU" w:hAnsi="MingLiU" w:eastAsia="MingLiU" w:cs="MingLiU"/>
      <w:kern w:val="0"/>
      <w:sz w:val="26"/>
      <w:szCs w:val="26"/>
    </w:rPr>
  </w:style>
  <w:style w:type="character" w:customStyle="1" w:styleId="92">
    <w:name w:val="正文文本 字符1"/>
    <w:autoRedefine/>
    <w:semiHidden/>
    <w:qFormat/>
    <w:uiPriority w:val="0"/>
    <w:rPr>
      <w:rFonts w:ascii="Times New Roman" w:hAnsi="Times New Roman" w:eastAsia="宋体"/>
      <w:sz w:val="24"/>
    </w:rPr>
  </w:style>
  <w:style w:type="character" w:customStyle="1" w:styleId="93">
    <w:name w:val="正文首行缩进 Char"/>
    <w:autoRedefine/>
    <w:semiHidden/>
    <w:qFormat/>
    <w:uiPriority w:val="99"/>
    <w:rPr>
      <w:rFonts w:ascii="Times New Roman" w:hAnsi="Times New Roman" w:eastAsia="宋体" w:cs="Times New Roman"/>
      <w:kern w:val="2"/>
      <w:sz w:val="21"/>
      <w:szCs w:val="24"/>
    </w:rPr>
  </w:style>
  <w:style w:type="character" w:customStyle="1" w:styleId="94">
    <w:name w:val="font61"/>
    <w:autoRedefine/>
    <w:qFormat/>
    <w:uiPriority w:val="99"/>
    <w:rPr>
      <w:rFonts w:ascii="宋体" w:hAnsi="宋体" w:eastAsia="宋体" w:cs="宋体"/>
      <w:color w:val="000000"/>
      <w:sz w:val="18"/>
      <w:szCs w:val="18"/>
      <w:u w:val="none"/>
    </w:rPr>
  </w:style>
  <w:style w:type="character" w:customStyle="1" w:styleId="95">
    <w:name w:val="font51"/>
    <w:autoRedefine/>
    <w:qFormat/>
    <w:uiPriority w:val="99"/>
    <w:rPr>
      <w:rFonts w:ascii="Times New Roman" w:hAnsi="Times New Roman" w:cs="Times New Roman"/>
      <w:color w:val="000000"/>
      <w:sz w:val="18"/>
      <w:szCs w:val="18"/>
      <w:u w:val="none"/>
      <w:vertAlign w:val="superscript"/>
    </w:rPr>
  </w:style>
  <w:style w:type="character" w:customStyle="1" w:styleId="96">
    <w:name w:val="样式 题注 + (中文) 宋体 Char"/>
    <w:link w:val="97"/>
    <w:autoRedefine/>
    <w:qFormat/>
    <w:uiPriority w:val="0"/>
    <w:rPr>
      <w:b/>
      <w:kern w:val="2"/>
      <w:sz w:val="21"/>
    </w:rPr>
  </w:style>
  <w:style w:type="paragraph" w:customStyle="1" w:styleId="97">
    <w:name w:val="样式 题注 + (中文) 宋体"/>
    <w:basedOn w:val="13"/>
    <w:link w:val="96"/>
    <w:autoRedefine/>
    <w:qFormat/>
    <w:uiPriority w:val="0"/>
    <w:pPr>
      <w:keepNext/>
      <w:adjustRightInd w:val="0"/>
      <w:snapToGrid w:val="0"/>
      <w:jc w:val="center"/>
    </w:pPr>
    <w:rPr>
      <w:rFonts w:ascii="Times New Roman" w:hAnsi="Times New Roman" w:eastAsia="宋体"/>
      <w:b/>
      <w:sz w:val="21"/>
    </w:rPr>
  </w:style>
  <w:style w:type="character" w:customStyle="1" w:styleId="98">
    <w:name w:val="正文缩进 字符"/>
    <w:autoRedefine/>
    <w:qFormat/>
    <w:uiPriority w:val="0"/>
    <w:rPr>
      <w:kern w:val="2"/>
      <w:sz w:val="28"/>
    </w:rPr>
  </w:style>
  <w:style w:type="character" w:customStyle="1" w:styleId="99">
    <w:name w:val="表头 Char"/>
    <w:link w:val="100"/>
    <w:autoRedefine/>
    <w:qFormat/>
    <w:uiPriority w:val="0"/>
    <w:rPr>
      <w:rFonts w:ascii="宋体" w:hAnsi="宋体"/>
      <w:b/>
      <w:kern w:val="2"/>
      <w:sz w:val="21"/>
      <w:szCs w:val="21"/>
      <w:lang w:val="de-DE"/>
    </w:rPr>
  </w:style>
  <w:style w:type="paragraph" w:customStyle="1" w:styleId="100">
    <w:name w:val="表头"/>
    <w:basedOn w:val="1"/>
    <w:link w:val="99"/>
    <w:autoRedefine/>
    <w:qFormat/>
    <w:uiPriority w:val="0"/>
    <w:rPr>
      <w:rFonts w:ascii="宋体" w:hAnsi="宋体"/>
      <w:b/>
      <w:szCs w:val="21"/>
      <w:lang w:val="de-DE"/>
    </w:rPr>
  </w:style>
  <w:style w:type="paragraph" w:customStyle="1" w:styleId="101">
    <w:name w:val="普通(网站)2"/>
    <w:basedOn w:val="1"/>
    <w:autoRedefine/>
    <w:qFormat/>
    <w:uiPriority w:val="0"/>
    <w:pPr>
      <w:widowControl/>
      <w:spacing w:before="100" w:beforeAutospacing="1" w:after="100" w:afterAutospacing="1"/>
      <w:jc w:val="left"/>
    </w:pPr>
    <w:rPr>
      <w:rFonts w:ascii="宋体" w:hAnsi="宋体"/>
      <w:sz w:val="24"/>
      <w:szCs w:val="20"/>
    </w:rPr>
  </w:style>
  <w:style w:type="paragraph" w:customStyle="1" w:styleId="102">
    <w:name w:val="样式环评"/>
    <w:basedOn w:val="1"/>
    <w:autoRedefine/>
    <w:qFormat/>
    <w:uiPriority w:val="0"/>
    <w:pPr>
      <w:spacing w:line="500" w:lineRule="exact"/>
      <w:ind w:firstLine="612"/>
    </w:pPr>
    <w:rPr>
      <w:rFonts w:ascii="仿宋_GB2312" w:hAnsi="宋体" w:eastAsia="仿宋_GB2312"/>
      <w:sz w:val="28"/>
    </w:rPr>
  </w:style>
  <w:style w:type="paragraph" w:customStyle="1" w:styleId="103">
    <w:name w:val="列出段落1"/>
    <w:basedOn w:val="1"/>
    <w:autoRedefine/>
    <w:qFormat/>
    <w:uiPriority w:val="99"/>
    <w:pPr>
      <w:ind w:firstLine="420" w:firstLineChars="200"/>
    </w:pPr>
    <w:rPr>
      <w:rFonts w:ascii="Calibri" w:hAnsi="Calibri"/>
    </w:rPr>
  </w:style>
  <w:style w:type="paragraph" w:customStyle="1" w:styleId="104">
    <w:name w:val="样式 表中文字 + 小四"/>
    <w:basedOn w:val="1"/>
    <w:link w:val="134"/>
    <w:autoRedefine/>
    <w:qFormat/>
    <w:uiPriority w:val="0"/>
    <w:pPr>
      <w:widowControl/>
      <w:jc w:val="center"/>
    </w:pPr>
    <w:rPr>
      <w:rFonts w:hint="eastAsia" w:ascii="宋体" w:hAnsi="宋体"/>
      <w:kern w:val="0"/>
      <w:sz w:val="20"/>
      <w:szCs w:val="21"/>
    </w:rPr>
  </w:style>
  <w:style w:type="paragraph" w:customStyle="1" w:styleId="105">
    <w:name w:val="【正文】"/>
    <w:basedOn w:val="1"/>
    <w:autoRedefine/>
    <w:qFormat/>
    <w:uiPriority w:val="0"/>
    <w:pPr>
      <w:spacing w:beforeLines="50" w:afterLines="50" w:line="440" w:lineRule="exact"/>
      <w:ind w:firstLine="200" w:firstLineChars="200"/>
    </w:pPr>
    <w:rPr>
      <w:rFonts w:eastAsia="新宋体" w:cs="宋体"/>
      <w:sz w:val="24"/>
      <w:szCs w:val="20"/>
    </w:rPr>
  </w:style>
  <w:style w:type="paragraph" w:customStyle="1" w:styleId="106">
    <w:name w:val="表标题"/>
    <w:basedOn w:val="1"/>
    <w:autoRedefine/>
    <w:qFormat/>
    <w:uiPriority w:val="0"/>
    <w:pPr>
      <w:widowControl/>
      <w:snapToGrid w:val="0"/>
      <w:spacing w:before="120" w:afterLines="50"/>
      <w:ind w:firstLine="482"/>
      <w:jc w:val="center"/>
    </w:pPr>
    <w:rPr>
      <w:rFonts w:ascii="黑体" w:hAnsi="Gloucester MT Extra Condensed" w:eastAsia="黑体"/>
      <w:bCs/>
      <w:szCs w:val="21"/>
    </w:rPr>
  </w:style>
  <w:style w:type="paragraph" w:customStyle="1" w:styleId="107">
    <w:name w:val="环科院插图标题"/>
    <w:basedOn w:val="1"/>
    <w:autoRedefine/>
    <w:qFormat/>
    <w:uiPriority w:val="99"/>
    <w:pPr>
      <w:adjustRightInd w:val="0"/>
      <w:snapToGrid w:val="0"/>
      <w:spacing w:beforeLines="50"/>
      <w:jc w:val="center"/>
    </w:pPr>
    <w:rPr>
      <w:rFonts w:ascii="黑体" w:eastAsia="黑体"/>
      <w:color w:val="FF0000"/>
      <w:szCs w:val="21"/>
    </w:rPr>
  </w:style>
  <w:style w:type="paragraph" w:customStyle="1" w:styleId="108">
    <w:name w:val="样式11"/>
    <w:basedOn w:val="1"/>
    <w:autoRedefine/>
    <w:qFormat/>
    <w:uiPriority w:val="0"/>
    <w:pPr>
      <w:spacing w:line="300" w:lineRule="auto"/>
      <w:jc w:val="center"/>
    </w:pPr>
    <w:rPr>
      <w:rFonts w:ascii="宋体"/>
    </w:rPr>
  </w:style>
  <w:style w:type="paragraph" w:customStyle="1" w:styleId="109">
    <w:name w:val="首行缩进正文"/>
    <w:basedOn w:val="1"/>
    <w:autoRedefine/>
    <w:qFormat/>
    <w:uiPriority w:val="0"/>
    <w:pPr>
      <w:spacing w:line="360" w:lineRule="auto"/>
      <w:ind w:firstLine="1440" w:firstLineChars="200"/>
    </w:pPr>
  </w:style>
  <w:style w:type="paragraph" w:customStyle="1" w:styleId="110">
    <w:name w:val="p0"/>
    <w:basedOn w:val="1"/>
    <w:autoRedefine/>
    <w:qFormat/>
    <w:uiPriority w:val="0"/>
    <w:pPr>
      <w:widowControl/>
    </w:pPr>
    <w:rPr>
      <w:kern w:val="0"/>
      <w:szCs w:val="21"/>
    </w:rPr>
  </w:style>
  <w:style w:type="paragraph" w:customStyle="1" w:styleId="111">
    <w:name w:val="Table Paragraph"/>
    <w:basedOn w:val="1"/>
    <w:autoRedefine/>
    <w:qFormat/>
    <w:uiPriority w:val="1"/>
    <w:rPr>
      <w:rFonts w:ascii="Calibri" w:hAnsi="Calibri"/>
      <w:kern w:val="0"/>
      <w:sz w:val="28"/>
      <w:szCs w:val="20"/>
    </w:rPr>
  </w:style>
  <w:style w:type="paragraph" w:customStyle="1" w:styleId="112">
    <w:name w:val="报告正文"/>
    <w:basedOn w:val="1"/>
    <w:autoRedefine/>
    <w:qFormat/>
    <w:uiPriority w:val="0"/>
    <w:pPr>
      <w:spacing w:line="360" w:lineRule="auto"/>
      <w:ind w:firstLine="480" w:firstLineChars="200"/>
    </w:pPr>
    <w:rPr>
      <w:rFonts w:ascii="Arial" w:hAnsi="Arial" w:eastAsia="等线" w:cs="Arial"/>
      <w:kern w:val="0"/>
      <w:sz w:val="24"/>
      <w:szCs w:val="20"/>
    </w:rPr>
  </w:style>
  <w:style w:type="paragraph" w:customStyle="1" w:styleId="113">
    <w:name w:val="表格文字."/>
    <w:basedOn w:val="1"/>
    <w:autoRedefine/>
    <w:qFormat/>
    <w:uiPriority w:val="0"/>
    <w:pPr>
      <w:adjustRightInd w:val="0"/>
      <w:snapToGrid w:val="0"/>
      <w:jc w:val="center"/>
    </w:pPr>
    <w:rPr>
      <w:snapToGrid w:val="0"/>
      <w:color w:val="000000"/>
      <w:kern w:val="0"/>
      <w:szCs w:val="20"/>
    </w:rPr>
  </w:style>
  <w:style w:type="paragraph" w:customStyle="1" w:styleId="114">
    <w:name w:val="正文_10"/>
    <w:autoRedefine/>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115">
    <w:name w:val="修订1"/>
    <w:autoRedefine/>
    <w:semiHidden/>
    <w:qFormat/>
    <w:uiPriority w:val="99"/>
    <w:rPr>
      <w:rFonts w:ascii="Times New Roman" w:hAnsi="Times New Roman" w:eastAsia="宋体" w:cs="Times New Roman"/>
      <w:kern w:val="2"/>
      <w:sz w:val="21"/>
      <w:szCs w:val="24"/>
      <w:lang w:val="en-US" w:eastAsia="zh-CN" w:bidi="ar-SA"/>
    </w:rPr>
  </w:style>
  <w:style w:type="paragraph" w:customStyle="1" w:styleId="116">
    <w:name w:val="环表格"/>
    <w:basedOn w:val="88"/>
    <w:autoRedefine/>
    <w:qFormat/>
    <w:uiPriority w:val="0"/>
    <w:pPr>
      <w:spacing w:beforeLines="20" w:afterLines="20" w:line="240" w:lineRule="auto"/>
    </w:pPr>
    <w:rPr>
      <w:rFonts w:ascii="Times New Roman"/>
      <w:bCs/>
      <w:kern w:val="2"/>
    </w:rPr>
  </w:style>
  <w:style w:type="paragraph" w:customStyle="1" w:styleId="117">
    <w:name w:val="表格文字"/>
    <w:autoRedefine/>
    <w:qFormat/>
    <w:uiPriority w:val="0"/>
    <w:pPr>
      <w:spacing w:beforeLines="10" w:line="0" w:lineRule="atLeast"/>
      <w:jc w:val="center"/>
    </w:pPr>
    <w:rPr>
      <w:rFonts w:ascii="Times New Roman" w:hAnsi="Times New Roman" w:eastAsia="宋体" w:cs="Times New Roman"/>
      <w:kern w:val="2"/>
      <w:sz w:val="18"/>
      <w:szCs w:val="21"/>
      <w:lang w:val="en-US" w:eastAsia="zh-CN" w:bidi="ar-SA"/>
    </w:rPr>
  </w:style>
  <w:style w:type="paragraph" w:customStyle="1" w:styleId="118">
    <w:name w:val="Char5"/>
    <w:basedOn w:val="1"/>
    <w:autoRedefine/>
    <w:qFormat/>
    <w:uiPriority w:val="0"/>
    <w:pPr>
      <w:adjustRightInd w:val="0"/>
      <w:snapToGrid w:val="0"/>
      <w:spacing w:line="360" w:lineRule="auto"/>
      <w:ind w:firstLine="200" w:firstLineChars="200"/>
    </w:pPr>
    <w:rPr>
      <w:sz w:val="24"/>
    </w:rPr>
  </w:style>
  <w:style w:type="paragraph" w:customStyle="1" w:styleId="119">
    <w:name w:val="正文 首行缩进:  2 字符"/>
    <w:basedOn w:val="1"/>
    <w:autoRedefine/>
    <w:qFormat/>
    <w:uiPriority w:val="0"/>
    <w:pPr>
      <w:adjustRightInd w:val="0"/>
      <w:snapToGrid w:val="0"/>
      <w:spacing w:line="360" w:lineRule="auto"/>
      <w:ind w:firstLine="480" w:firstLineChars="200"/>
    </w:pPr>
    <w:rPr>
      <w:bCs/>
      <w:color w:val="000000"/>
      <w:kern w:val="0"/>
      <w:sz w:val="24"/>
    </w:rPr>
  </w:style>
  <w:style w:type="paragraph" w:customStyle="1" w:styleId="120">
    <w:name w:val="xl22"/>
    <w:basedOn w:val="1"/>
    <w:autoRedefine/>
    <w:qFormat/>
    <w:uiPriority w:val="99"/>
    <w:pPr>
      <w:widowControl/>
      <w:spacing w:before="100" w:after="100"/>
      <w:jc w:val="center"/>
    </w:pPr>
    <w:rPr>
      <w:kern w:val="0"/>
      <w:sz w:val="24"/>
    </w:rPr>
  </w:style>
  <w:style w:type="paragraph" w:customStyle="1" w:styleId="121">
    <w:name w:val="TOC 标题1"/>
    <w:basedOn w:val="5"/>
    <w:next w:val="1"/>
    <w:autoRedefine/>
    <w:unhideWhenUsed/>
    <w:qFormat/>
    <w:uiPriority w:val="39"/>
    <w:pPr>
      <w:keepLines/>
      <w:widowControl/>
      <w:overflowPunct/>
      <w:snapToGrid/>
      <w:spacing w:before="480" w:after="0" w:line="276" w:lineRule="auto"/>
      <w:ind w:left="0" w:firstLine="0"/>
      <w:jc w:val="left"/>
      <w:outlineLvl w:val="9"/>
    </w:pPr>
    <w:rPr>
      <w:rFonts w:ascii="Cambria" w:hAnsi="Cambria" w:eastAsia="宋体"/>
      <w:color w:val="365F91"/>
      <w:kern w:val="0"/>
      <w:sz w:val="28"/>
      <w:szCs w:val="28"/>
    </w:rPr>
  </w:style>
  <w:style w:type="paragraph" w:customStyle="1" w:styleId="122">
    <w:name w:val="reader-word-layer"/>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123">
    <w:name w:val="样式 题注 + 首行缩进:  2 字符"/>
    <w:basedOn w:val="13"/>
    <w:autoRedefine/>
    <w:qFormat/>
    <w:uiPriority w:val="0"/>
    <w:pPr>
      <w:snapToGrid w:val="0"/>
      <w:spacing w:line="360" w:lineRule="auto"/>
      <w:ind w:firstLine="502" w:firstLineChars="100"/>
      <w:jc w:val="center"/>
    </w:pPr>
    <w:rPr>
      <w:rFonts w:ascii="黑体" w:hAnsi="Times New Roman"/>
      <w:b/>
      <w:sz w:val="24"/>
    </w:rPr>
  </w:style>
  <w:style w:type="paragraph" w:customStyle="1" w:styleId="124">
    <w:name w:val="四级标题1.1.1.1"/>
    <w:basedOn w:val="1"/>
    <w:next w:val="1"/>
    <w:autoRedefine/>
    <w:qFormat/>
    <w:uiPriority w:val="0"/>
    <w:pPr>
      <w:keepNext/>
      <w:keepLines/>
      <w:widowControl/>
      <w:adjustRightInd w:val="0"/>
      <w:spacing w:before="40" w:after="40" w:line="360" w:lineRule="auto"/>
      <w:ind w:firstLine="200" w:firstLineChars="200"/>
      <w:textAlignment w:val="baseline"/>
      <w:outlineLvl w:val="3"/>
    </w:pPr>
    <w:rPr>
      <w:rFonts w:eastAsia="仿宋_GB2312" w:cs="宋体"/>
      <w:b/>
      <w:kern w:val="0"/>
      <w:sz w:val="24"/>
      <w:szCs w:val="28"/>
    </w:rPr>
  </w:style>
  <w:style w:type="paragraph" w:customStyle="1" w:styleId="125">
    <w:name w:val="绘图"/>
    <w:basedOn w:val="1"/>
    <w:autoRedefine/>
    <w:qFormat/>
    <w:uiPriority w:val="0"/>
    <w:pPr>
      <w:jc w:val="center"/>
    </w:pPr>
    <w:rPr>
      <w:rFonts w:ascii="Calibri" w:hAnsi="Calibri" w:eastAsia="黑体"/>
      <w:kern w:val="0"/>
      <w:sz w:val="24"/>
      <w:szCs w:val="20"/>
    </w:rPr>
  </w:style>
  <w:style w:type="paragraph" w:customStyle="1" w:styleId="126">
    <w:name w:val="环评样式1"/>
    <w:basedOn w:val="1"/>
    <w:autoRedefine/>
    <w:qFormat/>
    <w:uiPriority w:val="0"/>
    <w:pPr>
      <w:spacing w:line="500" w:lineRule="exact"/>
      <w:ind w:firstLine="612"/>
    </w:pPr>
    <w:rPr>
      <w:rFonts w:ascii="仿宋_GB2312" w:hAnsi="宋体" w:eastAsia="仿宋_GB2312"/>
      <w:sz w:val="28"/>
    </w:rPr>
  </w:style>
  <w:style w:type="paragraph" w:customStyle="1" w:styleId="127">
    <w:name w:val="正文小四"/>
    <w:basedOn w:val="1"/>
    <w:autoRedefine/>
    <w:qFormat/>
    <w:uiPriority w:val="0"/>
    <w:pPr>
      <w:widowControl/>
      <w:jc w:val="left"/>
    </w:pPr>
  </w:style>
  <w:style w:type="paragraph" w:customStyle="1" w:styleId="128">
    <w:name w:val="图表题"/>
    <w:basedOn w:val="1"/>
    <w:next w:val="1"/>
    <w:autoRedefine/>
    <w:qFormat/>
    <w:uiPriority w:val="0"/>
    <w:pPr>
      <w:adjustRightInd w:val="0"/>
      <w:snapToGrid w:val="0"/>
      <w:spacing w:line="360" w:lineRule="auto"/>
      <w:jc w:val="center"/>
    </w:pPr>
    <w:rPr>
      <w:rFonts w:eastAsia="黑体"/>
      <w:kern w:val="0"/>
      <w:sz w:val="24"/>
      <w:szCs w:val="20"/>
    </w:rPr>
  </w:style>
  <w:style w:type="paragraph" w:customStyle="1" w:styleId="129">
    <w:name w:val="TOC 标题2"/>
    <w:basedOn w:val="5"/>
    <w:next w:val="1"/>
    <w:autoRedefine/>
    <w:qFormat/>
    <w:uiPriority w:val="39"/>
    <w:pPr>
      <w:keepLines/>
      <w:widowControl/>
      <w:overflowPunct/>
      <w:snapToGrid/>
      <w:spacing w:before="240" w:after="0"/>
      <w:ind w:left="0" w:firstLine="0"/>
      <w:jc w:val="left"/>
      <w:outlineLvl w:val="9"/>
    </w:pPr>
    <w:rPr>
      <w:rFonts w:ascii="Cambria" w:hAnsi="Cambria" w:eastAsia="宋体"/>
      <w:b w:val="0"/>
      <w:bCs w:val="0"/>
      <w:color w:val="365F91"/>
      <w:kern w:val="0"/>
      <w:sz w:val="32"/>
      <w:szCs w:val="32"/>
    </w:rPr>
  </w:style>
  <w:style w:type="paragraph" w:customStyle="1" w:styleId="130">
    <w:name w:val="标准"/>
    <w:basedOn w:val="1"/>
    <w:autoRedefine/>
    <w:qFormat/>
    <w:uiPriority w:val="0"/>
    <w:pPr>
      <w:adjustRightInd w:val="0"/>
      <w:spacing w:line="312" w:lineRule="atLeast"/>
      <w:jc w:val="center"/>
      <w:textAlignment w:val="baseline"/>
    </w:pPr>
    <w:rPr>
      <w:kern w:val="0"/>
      <w:szCs w:val="20"/>
    </w:rPr>
  </w:style>
  <w:style w:type="paragraph" w:customStyle="1" w:styleId="131">
    <w:name w:val="样式 样式 小四 段前: 7.8 磅 段后: 7.8 磅 行距: 1.5 倍行距 + 首行缩进:  2 字符"/>
    <w:basedOn w:val="1"/>
    <w:autoRedefine/>
    <w:qFormat/>
    <w:uiPriority w:val="0"/>
    <w:pPr>
      <w:ind w:firstLine="388" w:firstLineChars="200"/>
    </w:pPr>
    <w:rPr>
      <w:rFonts w:hAnsi="宋体"/>
      <w:spacing w:val="-8"/>
      <w:szCs w:val="21"/>
    </w:rPr>
  </w:style>
  <w:style w:type="paragraph" w:customStyle="1" w:styleId="132">
    <w:name w:val="0"/>
    <w:basedOn w:val="1"/>
    <w:autoRedefine/>
    <w:qFormat/>
    <w:uiPriority w:val="0"/>
    <w:pPr>
      <w:widowControl/>
      <w:jc w:val="left"/>
    </w:pPr>
    <w:rPr>
      <w:kern w:val="0"/>
      <w:szCs w:val="21"/>
    </w:rPr>
  </w:style>
  <w:style w:type="table" w:customStyle="1" w:styleId="133">
    <w:name w:val="标准表格"/>
    <w:basedOn w:val="35"/>
    <w:autoRedefine/>
    <w:qFormat/>
    <w:uiPriority w:val="99"/>
    <w:pPr>
      <w:spacing w:before="74"/>
      <w:jc w:val="center"/>
    </w:pPr>
    <w:rPr>
      <w:sz w:val="18"/>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FFFFFF"/>
      <w:vAlign w:val="center"/>
    </w:tcPr>
    <w:tblStylePr w:type="firstRow">
      <w:pPr>
        <w:wordWrap/>
        <w:spacing w:line="240" w:lineRule="auto"/>
        <w:ind w:left="0" w:leftChars="0" w:right="0" w:rightChars="0" w:firstLine="0" w:firstLineChars="0"/>
        <w:jc w:val="center"/>
      </w:pPr>
      <w:rPr>
        <w:rFonts w:hint="eastAsia" w:ascii="PMingLiU" w:hAnsi="PMingLiU" w:eastAsia="PMingLiU"/>
        <w:sz w:val="18"/>
        <w:szCs w:val="18"/>
      </w:rPr>
    </w:tblStylePr>
    <w:tblStylePr w:type="firstCol">
      <w:pPr>
        <w:jc w:val="center"/>
      </w:pPr>
    </w:tblStylePr>
  </w:style>
  <w:style w:type="character" w:customStyle="1" w:styleId="134">
    <w:name w:val="样式 表中文字 + 小四 Char"/>
    <w:link w:val="104"/>
    <w:autoRedefine/>
    <w:qFormat/>
    <w:uiPriority w:val="0"/>
    <w:rPr>
      <w:rFonts w:ascii="宋体" w:hAnsi="宋体"/>
      <w:szCs w:val="21"/>
    </w:rPr>
  </w:style>
  <w:style w:type="paragraph" w:customStyle="1" w:styleId="135">
    <w:name w:val="a正文"/>
    <w:basedOn w:val="1"/>
    <w:autoRedefine/>
    <w:qFormat/>
    <w:uiPriority w:val="0"/>
    <w:pPr>
      <w:spacing w:line="360" w:lineRule="auto"/>
      <w:ind w:firstLine="200" w:firstLineChars="200"/>
    </w:pPr>
    <w:rPr>
      <w:sz w:val="28"/>
      <w:szCs w:val="28"/>
    </w:rPr>
  </w:style>
  <w:style w:type="paragraph" w:customStyle="1" w:styleId="136">
    <w:name w:val="标准正文"/>
    <w:basedOn w:val="1"/>
    <w:autoRedefine/>
    <w:qFormat/>
    <w:uiPriority w:val="0"/>
    <w:pPr>
      <w:spacing w:line="280" w:lineRule="exact"/>
      <w:ind w:firstLine="480" w:firstLineChars="200"/>
    </w:pPr>
    <w:rPr>
      <w:rFonts w:hAnsi="宋体"/>
      <w:bCs/>
    </w:rPr>
  </w:style>
  <w:style w:type="paragraph" w:customStyle="1" w:styleId="137">
    <w:name w:val="正文 New"/>
    <w:autoRedefine/>
    <w:qFormat/>
    <w:uiPriority w:val="0"/>
    <w:pPr>
      <w:widowControl w:val="0"/>
      <w:adjustRightInd w:val="0"/>
      <w:snapToGrid w:val="0"/>
      <w:spacing w:line="480" w:lineRule="atLeast"/>
      <w:jc w:val="both"/>
    </w:pPr>
    <w:rPr>
      <w:rFonts w:ascii="宋体" w:hAnsi="Times New Roman" w:eastAsia="宋体" w:cs="Times New Roman"/>
      <w:kern w:val="2"/>
      <w:sz w:val="28"/>
      <w:szCs w:val="28"/>
      <w:lang w:val="en-US" w:eastAsia="zh-CN" w:bidi="ar-SA"/>
    </w:rPr>
  </w:style>
  <w:style w:type="paragraph" w:customStyle="1" w:styleId="138">
    <w:name w:val="样式 小四 首行缩进:  0.85 厘米 行距: 1.5 倍行距"/>
    <w:basedOn w:val="1"/>
    <w:autoRedefine/>
    <w:qFormat/>
    <w:uiPriority w:val="0"/>
    <w:pPr>
      <w:spacing w:line="360" w:lineRule="auto"/>
      <w:ind w:firstLine="480"/>
    </w:pPr>
    <w:rPr>
      <w:rFonts w:cs="宋体"/>
      <w:sz w:val="24"/>
      <w:szCs w:val="20"/>
    </w:rPr>
  </w:style>
  <w:style w:type="character" w:customStyle="1" w:styleId="139">
    <w:name w:val="font11"/>
    <w:basedOn w:val="37"/>
    <w:autoRedefine/>
    <w:qFormat/>
    <w:uiPriority w:val="0"/>
    <w:rPr>
      <w:rFonts w:hint="default" w:ascii="Times New Roman" w:hAnsi="Times New Roman" w:cs="Times New Roman"/>
      <w:color w:val="0000FF"/>
      <w:sz w:val="20"/>
      <w:szCs w:val="20"/>
      <w:u w:val="none"/>
    </w:rPr>
  </w:style>
  <w:style w:type="paragraph" w:customStyle="1" w:styleId="140">
    <w:name w:val="表内格式"/>
    <w:basedOn w:val="1"/>
    <w:autoRedefine/>
    <w:semiHidden/>
    <w:qFormat/>
    <w:uiPriority w:val="0"/>
    <w:pPr>
      <w:spacing w:line="280" w:lineRule="exact"/>
      <w:jc w:val="center"/>
    </w:pPr>
    <w:rPr>
      <w:rFonts w:ascii="宋体"/>
      <w:sz w:val="18"/>
      <w:szCs w:val="20"/>
    </w:rPr>
  </w:style>
  <w:style w:type="paragraph" w:customStyle="1" w:styleId="141">
    <w:name w:val="表格内容"/>
    <w:basedOn w:val="1"/>
    <w:qFormat/>
    <w:uiPriority w:val="0"/>
    <w:pPr>
      <w:overflowPunct w:val="0"/>
      <w:adjustRightInd w:val="0"/>
      <w:snapToGrid w:val="0"/>
      <w:jc w:val="center"/>
      <w:textAlignment w:val="baseline"/>
    </w:pPr>
    <w:rPr>
      <w:kern w:val="0"/>
      <w:szCs w:val="20"/>
    </w:rPr>
  </w:style>
  <w:style w:type="paragraph" w:customStyle="1" w:styleId="142">
    <w:name w:val="正文（首行缩进两个字） + 首行缩进:  2 字符"/>
    <w:basedOn w:val="1"/>
    <w:qFormat/>
    <w:uiPriority w:val="0"/>
    <w:pPr>
      <w:widowControl/>
      <w:spacing w:line="440" w:lineRule="exact"/>
      <w:ind w:firstLine="200" w:firstLineChars="200"/>
      <w:jc w:val="left"/>
    </w:pPr>
    <w:rPr>
      <w:rFonts w:eastAsia="Cambria" w:cs="宋体"/>
      <w:sz w:val="24"/>
      <w:szCs w:val="20"/>
      <w:lang w:val="zh-CN"/>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3" Type="http://schemas.openxmlformats.org/officeDocument/2006/relationships/fontTable" Target="fontTable.xml"/><Relationship Id="rId32" Type="http://schemas.openxmlformats.org/officeDocument/2006/relationships/numbering" Target="numbering.xml"/><Relationship Id="rId31" Type="http://schemas.openxmlformats.org/officeDocument/2006/relationships/image" Target="media/image15.png"/><Relationship Id="rId30" Type="http://schemas.openxmlformats.org/officeDocument/2006/relationships/image" Target="media/image14.png"/><Relationship Id="rId3" Type="http://schemas.openxmlformats.org/officeDocument/2006/relationships/footer" Target="footer1.xml"/><Relationship Id="rId29" Type="http://schemas.openxmlformats.org/officeDocument/2006/relationships/image" Target="media/image13.png"/><Relationship Id="rId28" Type="http://schemas.openxmlformats.org/officeDocument/2006/relationships/image" Target="media/image12.png"/><Relationship Id="rId27" Type="http://schemas.openxmlformats.org/officeDocument/2006/relationships/image" Target="media/image11.png"/><Relationship Id="rId26" Type="http://schemas.openxmlformats.org/officeDocument/2006/relationships/image" Target="media/image10.png"/><Relationship Id="rId25" Type="http://schemas.openxmlformats.org/officeDocument/2006/relationships/image" Target="media/image9.wmf"/><Relationship Id="rId24" Type="http://schemas.openxmlformats.org/officeDocument/2006/relationships/oleObject" Target="embeddings/oleObject8.bin"/><Relationship Id="rId23" Type="http://schemas.openxmlformats.org/officeDocument/2006/relationships/image" Target="media/image8.wmf"/><Relationship Id="rId22" Type="http://schemas.openxmlformats.org/officeDocument/2006/relationships/oleObject" Target="embeddings/oleObject7.bin"/><Relationship Id="rId21" Type="http://schemas.openxmlformats.org/officeDocument/2006/relationships/image" Target="media/image7.emf"/><Relationship Id="rId20" Type="http://schemas.openxmlformats.org/officeDocument/2006/relationships/oleObject" Target="embeddings/oleObject6.bin"/><Relationship Id="rId2" Type="http://schemas.openxmlformats.org/officeDocument/2006/relationships/settings" Target="settings.xml"/><Relationship Id="rId19" Type="http://schemas.openxmlformats.org/officeDocument/2006/relationships/image" Target="media/image6.emf"/><Relationship Id="rId18" Type="http://schemas.openxmlformats.org/officeDocument/2006/relationships/oleObject" Target="embeddings/oleObject5.bin"/><Relationship Id="rId17" Type="http://schemas.openxmlformats.org/officeDocument/2006/relationships/image" Target="media/image5.emf"/><Relationship Id="rId16" Type="http://schemas.openxmlformats.org/officeDocument/2006/relationships/oleObject" Target="embeddings/oleObject4.bin"/><Relationship Id="rId15" Type="http://schemas.openxmlformats.org/officeDocument/2006/relationships/image" Target="media/image4.emf"/><Relationship Id="rId14" Type="http://schemas.openxmlformats.org/officeDocument/2006/relationships/oleObject" Target="embeddings/oleObject3.bin"/><Relationship Id="rId13" Type="http://schemas.openxmlformats.org/officeDocument/2006/relationships/image" Target="media/image3.emf"/><Relationship Id="rId12" Type="http://schemas.openxmlformats.org/officeDocument/2006/relationships/oleObject" Target="embeddings/oleObject2.bin"/><Relationship Id="rId11" Type="http://schemas.openxmlformats.org/officeDocument/2006/relationships/image" Target="media/image2.emf"/><Relationship Id="rId10" Type="http://schemas.openxmlformats.org/officeDocument/2006/relationships/oleObject" Target="embeddings/oleObject1.bin"/><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HP</Company>
  <Pages>42</Pages>
  <Words>12198</Words>
  <Characters>13600</Characters>
  <Lines>208</Lines>
  <Paragraphs>58</Paragraphs>
  <TotalTime>3</TotalTime>
  <ScaleCrop>false</ScaleCrop>
  <LinksUpToDate>false</LinksUpToDate>
  <CharactersWithSpaces>13722</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2025-03-17T10:04:00Z</dcterms:created>
  <dc:creator>尚云环境</dc:creator>
  <cp:lastModifiedBy>文档存本地丢失不负责</cp:lastModifiedBy>
  <cp:lastPrinted>2020-12-29T10:43:00Z</cp:lastPrinted>
  <dcterms:modified xsi:type="dcterms:W3CDTF">2025-07-01T07:44:56Z</dcterms:modified>
  <dc:title>建设项目环境影响报告表（污染影响类）</dc:title>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3B50361CF3D648B1AD3153A8ABE442DF_13</vt:lpwstr>
  </property>
  <property fmtid="{D5CDD505-2E9C-101B-9397-08002B2CF9AE}" pid="4" name="KSOTemplateDocerSaveRecord">
    <vt:lpwstr>eyJoZGlkIjoiNGMwYzEwOWI2Yjc4NDVkNjk2YzU5M2Q5NzRhZTcxNWEiLCJ1c2VySWQiOiIxMzk4NTMzMjg4In0=</vt:lpwstr>
  </property>
</Properties>
</file>